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86" w:rsidRDefault="00843586" w:rsidP="00843586">
      <w:pPr>
        <w:ind w:firstLineChars="400" w:firstLine="1205"/>
        <w:rPr>
          <w:rFonts w:ascii="宋体" w:eastAsia="宋体" w:hAnsi="宋体"/>
          <w:b/>
          <w:bCs/>
          <w:sz w:val="30"/>
          <w:szCs w:val="30"/>
        </w:rPr>
      </w:pPr>
    </w:p>
    <w:p w:rsidR="00843586" w:rsidRPr="00843586" w:rsidRDefault="007D667F" w:rsidP="00843586">
      <w:pPr>
        <w:ind w:firstLineChars="400" w:firstLine="1205"/>
        <w:rPr>
          <w:rFonts w:ascii="宋体" w:eastAsia="宋体" w:hAnsi="宋体"/>
          <w:b/>
          <w:bCs/>
          <w:sz w:val="30"/>
          <w:szCs w:val="30"/>
        </w:rPr>
      </w:pPr>
      <w:r w:rsidRPr="00281DC4">
        <w:rPr>
          <w:rFonts w:ascii="宋体" w:eastAsia="宋体" w:hAnsi="宋体" w:hint="eastAsia"/>
          <w:b/>
          <w:bCs/>
          <w:sz w:val="30"/>
          <w:szCs w:val="30"/>
        </w:rPr>
        <w:t>泰州职业技术学院院级科研项目立项告知书</w:t>
      </w:r>
    </w:p>
    <w:p w:rsidR="003D2DBA" w:rsidRPr="00843586" w:rsidRDefault="003D2DBA" w:rsidP="003D2DBA">
      <w:pPr>
        <w:spacing w:after="0" w:line="360" w:lineRule="auto"/>
        <w:ind w:firstLineChars="200" w:firstLine="480"/>
        <w:rPr>
          <w:rFonts w:ascii="宋体" w:eastAsia="宋体" w:hAnsi="宋体"/>
          <w:kern w:val="2"/>
          <w:sz w:val="24"/>
          <w:szCs w:val="24"/>
        </w:rPr>
      </w:pPr>
      <w:r w:rsidRPr="00843586">
        <w:rPr>
          <w:rFonts w:ascii="宋体" w:eastAsia="宋体" w:hAnsi="宋体" w:hint="eastAsia"/>
          <w:kern w:val="2"/>
          <w:sz w:val="24"/>
          <w:szCs w:val="24"/>
        </w:rPr>
        <w:t>泰州职业技术学院院级科研项目管理依据《泰州职业技术学院科研和教研项目管理暂行规定》和《泰州职业技术学院纵向科研经费管理办法（试行）》等相关规定进行。现就项目研究过程中重要事项提醒如下：</w:t>
      </w:r>
    </w:p>
    <w:p w:rsidR="003D2DBA" w:rsidRPr="003D2DBA" w:rsidRDefault="003D2DBA" w:rsidP="003D2DBA">
      <w:pPr>
        <w:ind w:firstLineChars="350" w:firstLine="1054"/>
        <w:rPr>
          <w:rFonts w:ascii="宋体" w:eastAsia="宋体" w:hAnsi="宋体"/>
          <w:b/>
          <w:bCs/>
          <w:sz w:val="30"/>
          <w:szCs w:val="30"/>
        </w:rPr>
      </w:pPr>
    </w:p>
    <w:tbl>
      <w:tblPr>
        <w:tblStyle w:val="a8"/>
        <w:tblW w:w="8488" w:type="dxa"/>
        <w:jc w:val="center"/>
        <w:tblLook w:val="04A0" w:firstRow="1" w:lastRow="0" w:firstColumn="1" w:lastColumn="0" w:noHBand="0" w:noVBand="1"/>
      </w:tblPr>
      <w:tblGrid>
        <w:gridCol w:w="8488"/>
      </w:tblGrid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9B71C9" w:rsidRDefault="007D667F" w:rsidP="00317107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81DC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成果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认定</w:t>
            </w:r>
          </w:p>
        </w:tc>
      </w:tr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EE3F81" w:rsidRDefault="007D667F" w:rsidP="00317107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E3F81">
              <w:rPr>
                <w:rFonts w:ascii="宋体" w:eastAsia="宋体" w:hAnsi="宋体" w:hint="eastAsia"/>
                <w:sz w:val="24"/>
                <w:szCs w:val="24"/>
              </w:rPr>
              <w:t>项目负责人对照合同技术指标开展研究，论文、专利等研究成果须与项目主要研究内容相关。</w:t>
            </w:r>
          </w:p>
        </w:tc>
      </w:tr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EE3F81" w:rsidRDefault="007D667F" w:rsidP="00317107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E3F81">
              <w:rPr>
                <w:rFonts w:ascii="宋体" w:eastAsia="宋体" w:hAnsi="宋体" w:hint="eastAsia"/>
                <w:sz w:val="24"/>
                <w:szCs w:val="24"/>
              </w:rPr>
              <w:t>论文发表时标注“泰州职业技术学院院级科研项目（编号：X</w:t>
            </w:r>
            <w:r w:rsidRPr="00EE3F81">
              <w:rPr>
                <w:rFonts w:ascii="宋体" w:eastAsia="宋体" w:hAnsi="宋体"/>
                <w:sz w:val="24"/>
                <w:szCs w:val="24"/>
              </w:rPr>
              <w:t>XXX）</w:t>
            </w:r>
            <w:r w:rsidRPr="00EE3F81">
              <w:rPr>
                <w:rFonts w:ascii="宋体" w:eastAsia="宋体" w:hAnsi="宋体" w:hint="eastAsia"/>
                <w:sz w:val="24"/>
                <w:szCs w:val="24"/>
              </w:rPr>
              <w:t>”。</w:t>
            </w:r>
          </w:p>
        </w:tc>
      </w:tr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9B71C9" w:rsidRDefault="007D667F" w:rsidP="005F05BC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253C6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经费使用</w:t>
            </w:r>
          </w:p>
        </w:tc>
      </w:tr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EE3F81" w:rsidRDefault="007D667F" w:rsidP="00317107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E3F81">
              <w:rPr>
                <w:rFonts w:ascii="宋体" w:eastAsia="宋体" w:hAnsi="宋体" w:hint="eastAsia"/>
                <w:sz w:val="24"/>
                <w:szCs w:val="24"/>
              </w:rPr>
              <w:t>项目经费使用严格按照</w:t>
            </w:r>
            <w:r w:rsidR="00843586">
              <w:rPr>
                <w:rFonts w:ascii="宋体" w:eastAsia="宋体" w:hAnsi="宋体" w:hint="eastAsia"/>
                <w:sz w:val="24"/>
                <w:szCs w:val="24"/>
              </w:rPr>
              <w:t>经费预算和《泰州职业技术学院纵向科研经费管理办法（试行）》进行，</w:t>
            </w:r>
            <w:r w:rsidR="005F05BC">
              <w:rPr>
                <w:rFonts w:ascii="宋体" w:eastAsia="宋体" w:hAnsi="宋体" w:hint="eastAsia"/>
                <w:sz w:val="24"/>
                <w:szCs w:val="24"/>
              </w:rPr>
              <w:t>院级科研</w:t>
            </w:r>
            <w:r w:rsidR="00843586">
              <w:rPr>
                <w:rFonts w:ascii="宋体" w:eastAsia="宋体" w:hAnsi="宋体" w:hint="eastAsia"/>
                <w:sz w:val="24"/>
                <w:szCs w:val="24"/>
              </w:rPr>
              <w:t>项目经费在结题后三个月</w:t>
            </w:r>
            <w:r w:rsidR="00843586" w:rsidRPr="00EE3F81">
              <w:rPr>
                <w:rFonts w:ascii="宋体" w:eastAsia="宋体" w:hAnsi="宋体" w:hint="eastAsia"/>
                <w:sz w:val="24"/>
                <w:szCs w:val="24"/>
              </w:rPr>
              <w:t>内使用完毕</w:t>
            </w:r>
            <w:r w:rsidR="005F05BC">
              <w:rPr>
                <w:rFonts w:ascii="宋体" w:eastAsia="宋体" w:hAnsi="宋体" w:hint="eastAsia"/>
                <w:sz w:val="24"/>
                <w:szCs w:val="24"/>
              </w:rPr>
              <w:t>，未使用的经费</w:t>
            </w:r>
            <w:r w:rsidR="005F05BC" w:rsidRPr="005F05BC">
              <w:rPr>
                <w:rFonts w:ascii="宋体" w:eastAsia="宋体" w:hAnsi="宋体" w:hint="eastAsia"/>
                <w:sz w:val="24"/>
                <w:szCs w:val="24"/>
              </w:rPr>
              <w:t>由学校收回统筹于科学研究</w:t>
            </w:r>
            <w:r w:rsidR="00843586" w:rsidRPr="00EE3F81"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="00875119">
              <w:rPr>
                <w:rFonts w:ascii="宋体" w:eastAsia="宋体" w:hAnsi="宋体" w:hint="eastAsia"/>
                <w:sz w:val="24"/>
                <w:szCs w:val="24"/>
              </w:rPr>
              <w:t>备注：人文社科类一般项目经费0</w:t>
            </w:r>
            <w:r w:rsidR="00875119">
              <w:rPr>
                <w:rFonts w:ascii="宋体" w:eastAsia="宋体" w:hAnsi="宋体"/>
                <w:sz w:val="24"/>
                <w:szCs w:val="24"/>
              </w:rPr>
              <w:t>.6</w:t>
            </w:r>
            <w:r w:rsidR="00875119">
              <w:rPr>
                <w:rFonts w:ascii="宋体" w:eastAsia="宋体" w:hAnsi="宋体" w:hint="eastAsia"/>
                <w:sz w:val="24"/>
                <w:szCs w:val="24"/>
              </w:rPr>
              <w:t>万元，理工医类一般项目经费0</w:t>
            </w:r>
            <w:r w:rsidR="00875119">
              <w:rPr>
                <w:rFonts w:ascii="宋体" w:eastAsia="宋体" w:hAnsi="宋体"/>
                <w:sz w:val="24"/>
                <w:szCs w:val="24"/>
              </w:rPr>
              <w:t>.8</w:t>
            </w:r>
            <w:r w:rsidR="00875119">
              <w:rPr>
                <w:rFonts w:ascii="宋体" w:eastAsia="宋体" w:hAnsi="宋体" w:hint="eastAsia"/>
                <w:sz w:val="24"/>
                <w:szCs w:val="24"/>
              </w:rPr>
              <w:t>万元，理工医类重点项目经费1</w:t>
            </w:r>
            <w:r w:rsidR="00875119">
              <w:rPr>
                <w:rFonts w:ascii="宋体" w:eastAsia="宋体" w:hAnsi="宋体"/>
                <w:sz w:val="24"/>
                <w:szCs w:val="24"/>
              </w:rPr>
              <w:t>.6</w:t>
            </w:r>
            <w:r w:rsidR="00875119">
              <w:rPr>
                <w:rFonts w:ascii="宋体" w:eastAsia="宋体" w:hAnsi="宋体" w:hint="eastAsia"/>
                <w:sz w:val="24"/>
                <w:szCs w:val="24"/>
              </w:rPr>
              <w:t>万元。</w:t>
            </w:r>
          </w:p>
        </w:tc>
      </w:tr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B5266A" w:rsidRDefault="007D667F" w:rsidP="005F05BC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302A4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项目结题</w:t>
            </w:r>
          </w:p>
        </w:tc>
      </w:tr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EE3F81" w:rsidRDefault="007D667F" w:rsidP="001A1C2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E3F81">
              <w:rPr>
                <w:rFonts w:ascii="宋体" w:eastAsia="宋体" w:hAnsi="宋体" w:hint="eastAsia"/>
                <w:sz w:val="24"/>
                <w:szCs w:val="24"/>
              </w:rPr>
              <w:t>每年下半年科技处统一组织结题，项目组提交结题材料，经专家鉴定后结题。</w:t>
            </w:r>
            <w:r w:rsidR="001A1C2C" w:rsidRPr="001A1C2C">
              <w:rPr>
                <w:rFonts w:ascii="宋体" w:eastAsia="宋体" w:hAnsi="宋体" w:hint="eastAsia"/>
                <w:sz w:val="24"/>
                <w:szCs w:val="24"/>
              </w:rPr>
              <w:t>课题结题应取得与研究主题相关的公开发表、出版或采纳的成果，重点课题须在</w:t>
            </w:r>
            <w:r w:rsidR="001A1C2C">
              <w:rPr>
                <w:rFonts w:ascii="宋体" w:eastAsia="宋体" w:hAnsi="宋体" w:hint="eastAsia"/>
                <w:sz w:val="24"/>
                <w:szCs w:val="24"/>
              </w:rPr>
              <w:t>核心</w:t>
            </w:r>
            <w:r w:rsidR="001A1C2C" w:rsidRPr="001A1C2C">
              <w:rPr>
                <w:rFonts w:ascii="宋体" w:eastAsia="宋体" w:hAnsi="宋体" w:hint="eastAsia"/>
                <w:sz w:val="24"/>
                <w:szCs w:val="24"/>
              </w:rPr>
              <w:t>期刊公开发表1篇以上成果论文或出版专著，一般课题、专项课题结题须在省级以上期刊公开发表1篇以上成果论文。课题主持人应以第一作者至少完成1篇符合要求的论文或专著。发表论文要标注课题来源、编号。发表的期刊和论文均应在期刊全文数据库（中国中国知网期刊全文数据库或万方中</w:t>
            </w:r>
            <w:bookmarkStart w:id="0" w:name="_GoBack"/>
            <w:bookmarkEnd w:id="0"/>
            <w:r w:rsidR="001A1C2C" w:rsidRPr="001A1C2C">
              <w:rPr>
                <w:rFonts w:ascii="宋体" w:eastAsia="宋体" w:hAnsi="宋体" w:hint="eastAsia"/>
                <w:sz w:val="24"/>
                <w:szCs w:val="24"/>
              </w:rPr>
              <w:t>文期刊全文数据库或维普期刊全文数据库）检索得到。</w:t>
            </w:r>
          </w:p>
        </w:tc>
      </w:tr>
      <w:tr w:rsidR="007D667F" w:rsidTr="005F05BC">
        <w:trPr>
          <w:trHeight w:val="17"/>
          <w:jc w:val="center"/>
        </w:trPr>
        <w:tc>
          <w:tcPr>
            <w:tcW w:w="8488" w:type="dxa"/>
            <w:vAlign w:val="center"/>
          </w:tcPr>
          <w:p w:rsidR="007D667F" w:rsidRPr="00EE3F81" w:rsidRDefault="007D667F" w:rsidP="00843586">
            <w:pPr>
              <w:spacing w:line="450" w:lineRule="atLeast"/>
              <w:rPr>
                <w:rFonts w:ascii="宋体" w:eastAsia="宋体" w:hAnsi="宋体"/>
                <w:sz w:val="24"/>
                <w:szCs w:val="24"/>
              </w:rPr>
            </w:pPr>
            <w:r w:rsidRPr="00EE3F81">
              <w:rPr>
                <w:rFonts w:ascii="宋体" w:eastAsia="宋体" w:hAnsi="宋体" w:hint="eastAsia"/>
                <w:sz w:val="24"/>
                <w:szCs w:val="24"/>
              </w:rPr>
              <w:t>若在项目合同规定期限内未完成研究任务的，可向科技处提出延期结题申请，每个项目一般只允许延期一次，符合结题条件的参与下一年度集中验收，不再单独组织验收。</w:t>
            </w:r>
          </w:p>
        </w:tc>
      </w:tr>
    </w:tbl>
    <w:p w:rsidR="007D667F" w:rsidRPr="007D667F" w:rsidRDefault="007D667F" w:rsidP="007D667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4358AB" w:rsidRDefault="004358AB" w:rsidP="00D31D50">
      <w:pPr>
        <w:spacing w:line="220" w:lineRule="atLeast"/>
      </w:pPr>
    </w:p>
    <w:sectPr w:rsidR="004358AB" w:rsidSect="00545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1A" w:rsidRDefault="00792F1A" w:rsidP="000E35B6">
      <w:pPr>
        <w:spacing w:after="0"/>
      </w:pPr>
      <w:r>
        <w:separator/>
      </w:r>
    </w:p>
  </w:endnote>
  <w:endnote w:type="continuationSeparator" w:id="0">
    <w:p w:rsidR="00792F1A" w:rsidRDefault="00792F1A" w:rsidP="000E35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1A" w:rsidRDefault="00792F1A" w:rsidP="000E35B6">
      <w:pPr>
        <w:spacing w:after="0"/>
      </w:pPr>
      <w:r>
        <w:separator/>
      </w:r>
    </w:p>
  </w:footnote>
  <w:footnote w:type="continuationSeparator" w:id="0">
    <w:p w:rsidR="00792F1A" w:rsidRDefault="00792F1A" w:rsidP="000E35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6719C"/>
    <w:multiLevelType w:val="hybridMultilevel"/>
    <w:tmpl w:val="31923482"/>
    <w:lvl w:ilvl="0" w:tplc="B372B6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2350B4"/>
    <w:multiLevelType w:val="hybridMultilevel"/>
    <w:tmpl w:val="FA0C3F5C"/>
    <w:lvl w:ilvl="0" w:tplc="9C888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05FE"/>
    <w:rsid w:val="0005154A"/>
    <w:rsid w:val="00053D7D"/>
    <w:rsid w:val="000E35B6"/>
    <w:rsid w:val="001125EE"/>
    <w:rsid w:val="00155192"/>
    <w:rsid w:val="001A1C2C"/>
    <w:rsid w:val="001C29AF"/>
    <w:rsid w:val="0028569A"/>
    <w:rsid w:val="00323B43"/>
    <w:rsid w:val="00361BCC"/>
    <w:rsid w:val="0038645F"/>
    <w:rsid w:val="003A6C25"/>
    <w:rsid w:val="003D2DBA"/>
    <w:rsid w:val="003D37D8"/>
    <w:rsid w:val="00426133"/>
    <w:rsid w:val="004358AB"/>
    <w:rsid w:val="004468C3"/>
    <w:rsid w:val="004D3F65"/>
    <w:rsid w:val="004F3742"/>
    <w:rsid w:val="00566C97"/>
    <w:rsid w:val="005F05BC"/>
    <w:rsid w:val="00682AC0"/>
    <w:rsid w:val="00792F1A"/>
    <w:rsid w:val="007D667F"/>
    <w:rsid w:val="0083330A"/>
    <w:rsid w:val="00843586"/>
    <w:rsid w:val="00872924"/>
    <w:rsid w:val="00875119"/>
    <w:rsid w:val="008B7726"/>
    <w:rsid w:val="008E05B5"/>
    <w:rsid w:val="009425B5"/>
    <w:rsid w:val="00A27048"/>
    <w:rsid w:val="00C778AD"/>
    <w:rsid w:val="00CC24D8"/>
    <w:rsid w:val="00CD0580"/>
    <w:rsid w:val="00D31D50"/>
    <w:rsid w:val="00D9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3B957"/>
  <w15:docId w15:val="{425539FB-0681-41CB-8ADE-FC6E1986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5B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35B6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35B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35B6"/>
    <w:rPr>
      <w:rFonts w:ascii="Tahoma" w:hAnsi="Tahoma"/>
      <w:sz w:val="18"/>
      <w:szCs w:val="18"/>
    </w:rPr>
  </w:style>
  <w:style w:type="paragraph" w:styleId="a7">
    <w:name w:val="List Paragraph"/>
    <w:basedOn w:val="a"/>
    <w:uiPriority w:val="34"/>
    <w:qFormat/>
    <w:rsid w:val="000E35B6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  <w:style w:type="table" w:styleId="a8">
    <w:name w:val="Table Grid"/>
    <w:basedOn w:val="a1"/>
    <w:uiPriority w:val="39"/>
    <w:rsid w:val="007D667F"/>
    <w:pPr>
      <w:spacing w:after="0" w:line="240" w:lineRule="auto"/>
    </w:pPr>
    <w:rPr>
      <w:rFonts w:eastAsiaTheme="minorEastAsia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</cp:lastModifiedBy>
  <cp:revision>6</cp:revision>
  <dcterms:created xsi:type="dcterms:W3CDTF">2021-10-06T02:15:00Z</dcterms:created>
  <dcterms:modified xsi:type="dcterms:W3CDTF">2023-09-06T00:57:00Z</dcterms:modified>
</cp:coreProperties>
</file>