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173" w:rsidRPr="00514418" w:rsidRDefault="00062173" w:rsidP="00062173">
      <w:pPr>
        <w:ind w:firstLineChars="750" w:firstLine="2400"/>
        <w:rPr>
          <w:sz w:val="32"/>
          <w:szCs w:val="32"/>
        </w:rPr>
      </w:pPr>
      <w:r>
        <w:rPr>
          <w:rFonts w:hint="eastAsia"/>
          <w:sz w:val="32"/>
          <w:szCs w:val="32"/>
        </w:rPr>
        <w:t>202</w:t>
      </w:r>
      <w:r w:rsidR="00C45BFC">
        <w:rPr>
          <w:sz w:val="32"/>
          <w:szCs w:val="32"/>
        </w:rPr>
        <w:t>3</w:t>
      </w:r>
      <w:r w:rsidRPr="00514418">
        <w:rPr>
          <w:rFonts w:hint="eastAsia"/>
          <w:sz w:val="32"/>
          <w:szCs w:val="32"/>
        </w:rPr>
        <w:t>年度</w:t>
      </w:r>
      <w:r>
        <w:rPr>
          <w:rFonts w:hint="eastAsia"/>
          <w:sz w:val="32"/>
          <w:szCs w:val="32"/>
        </w:rPr>
        <w:t>泰州职业技术学院</w:t>
      </w:r>
      <w:r w:rsidRPr="00514418">
        <w:rPr>
          <w:rFonts w:hint="eastAsia"/>
          <w:sz w:val="32"/>
          <w:szCs w:val="32"/>
        </w:rPr>
        <w:t>院级科研项目立项</w:t>
      </w:r>
      <w:r w:rsidR="001F7A74">
        <w:rPr>
          <w:rFonts w:hint="eastAsia"/>
          <w:sz w:val="32"/>
          <w:szCs w:val="32"/>
        </w:rPr>
        <w:t>项目一览表</w:t>
      </w:r>
    </w:p>
    <w:p w:rsidR="00062173" w:rsidRPr="00062173" w:rsidRDefault="00062173" w:rsidP="00062173">
      <w:pPr>
        <w:pStyle w:val="a3"/>
        <w:shd w:val="clear" w:color="auto" w:fill="FFFFFF"/>
        <w:spacing w:before="0" w:beforeAutospacing="0" w:after="0" w:afterAutospacing="0"/>
        <w:rPr>
          <w:rFonts w:ascii="仿宋_gb2312" w:eastAsia="仿宋_gb2312" w:hAnsi="微软雅黑"/>
          <w:color w:val="333333"/>
        </w:rPr>
      </w:pPr>
    </w:p>
    <w:p w:rsidR="00C45BFC" w:rsidRDefault="00C45BFC" w:rsidP="00C45BFC">
      <w:pPr>
        <w:spacing w:line="360" w:lineRule="auto"/>
        <w:rPr>
          <w:rFonts w:ascii="Times New Roman" w:hAnsi="Times New Roman"/>
          <w:sz w:val="24"/>
          <w:szCs w:val="24"/>
        </w:rPr>
      </w:pPr>
      <w:r>
        <w:rPr>
          <w:rFonts w:ascii="Times New Roman" w:hAnsi="Times New Roman" w:cs="宋体" w:hint="eastAsia"/>
          <w:sz w:val="24"/>
          <w:szCs w:val="24"/>
        </w:rPr>
        <w:t>附件</w:t>
      </w:r>
      <w:r>
        <w:rPr>
          <w:rFonts w:ascii="Times New Roman" w:hAnsi="Times New Roman" w:cs="宋体"/>
          <w:sz w:val="24"/>
          <w:szCs w:val="24"/>
        </w:rPr>
        <w:t>1</w:t>
      </w:r>
      <w:r>
        <w:rPr>
          <w:rFonts w:ascii="Times New Roman" w:hAnsi="Times New Roman" w:cs="宋体" w:hint="eastAsia"/>
          <w:sz w:val="24"/>
          <w:szCs w:val="24"/>
        </w:rPr>
        <w:t>：</w:t>
      </w:r>
    </w:p>
    <w:p w:rsidR="00C45BFC" w:rsidRDefault="00C45BFC" w:rsidP="00C45BFC">
      <w:pPr>
        <w:ind w:firstLineChars="2107" w:firstLine="5077"/>
        <w:rPr>
          <w:rFonts w:ascii="Times New Roman" w:hAnsi="Times New Roman"/>
          <w:b/>
          <w:bCs/>
          <w:sz w:val="24"/>
          <w:szCs w:val="24"/>
        </w:rPr>
      </w:pPr>
    </w:p>
    <w:tbl>
      <w:tblPr>
        <w:tblpPr w:leftFromText="180" w:rightFromText="180" w:vertAnchor="text" w:horzAnchor="margin" w:tblpXSpec="center" w:tblpY="224"/>
        <w:tblW w:w="10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7826"/>
        <w:gridCol w:w="1134"/>
      </w:tblGrid>
      <w:tr w:rsidR="00C45BFC" w:rsidTr="00C45BFC">
        <w:trPr>
          <w:trHeight w:val="483"/>
        </w:trPr>
        <w:tc>
          <w:tcPr>
            <w:tcW w:w="1809" w:type="dxa"/>
            <w:tcBorders>
              <w:top w:val="single" w:sz="4" w:space="0" w:color="auto"/>
              <w:left w:val="single" w:sz="4" w:space="0" w:color="auto"/>
              <w:bottom w:val="single" w:sz="4" w:space="0" w:color="auto"/>
              <w:right w:val="single" w:sz="4" w:space="0" w:color="auto"/>
            </w:tcBorders>
            <w:vAlign w:val="center"/>
            <w:hideMark/>
          </w:tcPr>
          <w:p w:rsidR="00C45BFC" w:rsidRDefault="00C45BFC">
            <w:r>
              <w:rPr>
                <w:rFonts w:hint="eastAsia"/>
              </w:rPr>
              <w:t>项目编号</w:t>
            </w:r>
          </w:p>
        </w:tc>
        <w:tc>
          <w:tcPr>
            <w:tcW w:w="7825" w:type="dxa"/>
            <w:tcBorders>
              <w:top w:val="single" w:sz="4" w:space="0" w:color="auto"/>
              <w:left w:val="single" w:sz="4" w:space="0" w:color="auto"/>
              <w:bottom w:val="single" w:sz="4" w:space="0" w:color="auto"/>
              <w:right w:val="single" w:sz="4" w:space="0" w:color="auto"/>
            </w:tcBorders>
            <w:vAlign w:val="center"/>
            <w:hideMark/>
          </w:tcPr>
          <w:p w:rsidR="00C45BFC" w:rsidRDefault="00C45BFC">
            <w:r>
              <w:rPr>
                <w:rFonts w:hint="eastAsia"/>
              </w:rPr>
              <w:t>项目名称</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5BFC" w:rsidRDefault="00C45BFC">
            <w:r>
              <w:rPr>
                <w:rFonts w:hint="eastAsia"/>
              </w:rPr>
              <w:t>立项类别</w:t>
            </w:r>
          </w:p>
        </w:tc>
      </w:tr>
      <w:tr w:rsidR="00C45BFC" w:rsidTr="00C45BFC">
        <w:trPr>
          <w:trHeight w:val="283"/>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TZYKYZD-23-1</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t>YTHDC1</w:t>
            </w:r>
            <w:r>
              <w:rPr>
                <w:rFonts w:hint="eastAsia"/>
              </w:rPr>
              <w:t>上调</w:t>
            </w:r>
            <w:r>
              <w:t>CRABP2</w:t>
            </w:r>
            <w:r>
              <w:rPr>
                <w:rFonts w:hint="eastAsia"/>
              </w:rPr>
              <w:t>对</w:t>
            </w:r>
            <w:r>
              <w:t>HPV16</w:t>
            </w:r>
            <w:r>
              <w:rPr>
                <w:rFonts w:hint="eastAsia"/>
              </w:rPr>
              <w:t>相关宫颈癌发生发展的影响及分子机制研究</w:t>
            </w:r>
          </w:p>
        </w:tc>
        <w:tc>
          <w:tcPr>
            <w:tcW w:w="1134" w:type="dxa"/>
            <w:tcBorders>
              <w:top w:val="nil"/>
              <w:left w:val="single" w:sz="4" w:space="0" w:color="auto"/>
              <w:bottom w:val="single" w:sz="4" w:space="0" w:color="auto"/>
              <w:right w:val="single" w:sz="4" w:space="0" w:color="auto"/>
            </w:tcBorders>
            <w:hideMark/>
          </w:tcPr>
          <w:p w:rsidR="00C45BFC" w:rsidRDefault="00C45BFC">
            <w:pPr>
              <w:jc w:val="center"/>
            </w:pPr>
            <w:r>
              <w:rPr>
                <w:rFonts w:hint="eastAsia"/>
              </w:rPr>
              <w:t>重点</w:t>
            </w:r>
          </w:p>
        </w:tc>
      </w:tr>
      <w:tr w:rsidR="00C45BFC" w:rsidTr="00C45BFC">
        <w:trPr>
          <w:trHeight w:val="335"/>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TZYKYZD-23-2</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含</w:t>
            </w:r>
            <w:r>
              <w:t>RGD</w:t>
            </w:r>
            <w:r>
              <w:rPr>
                <w:rFonts w:hint="eastAsia"/>
              </w:rPr>
              <w:t>和透明质酸的双功能聚乙烯醇水凝胶的制备及对成骨细胞的影响研究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重点</w:t>
            </w:r>
          </w:p>
        </w:tc>
      </w:tr>
      <w:tr w:rsidR="00C45BFC" w:rsidTr="00C45BFC">
        <w:trPr>
          <w:trHeight w:val="311"/>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TZYKYZD-23-3</w:t>
            </w:r>
          </w:p>
        </w:tc>
        <w:tc>
          <w:tcPr>
            <w:tcW w:w="7825" w:type="dxa"/>
            <w:tcBorders>
              <w:top w:val="single" w:sz="4" w:space="0" w:color="auto"/>
              <w:left w:val="single" w:sz="4" w:space="0" w:color="auto"/>
              <w:bottom w:val="single" w:sz="4" w:space="0" w:color="auto"/>
              <w:right w:val="single" w:sz="4" w:space="0" w:color="auto"/>
            </w:tcBorders>
            <w:vAlign w:val="center"/>
            <w:hideMark/>
          </w:tcPr>
          <w:p w:rsidR="00C45BFC" w:rsidRDefault="00C45BFC">
            <w:r>
              <w:rPr>
                <w:rFonts w:hint="eastAsia"/>
              </w:rPr>
              <w:t>基于遗传算法的机床主轴轴承参数优化</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重点</w:t>
            </w:r>
          </w:p>
        </w:tc>
      </w:tr>
      <w:tr w:rsidR="00C45BFC" w:rsidTr="00C45BFC">
        <w:trPr>
          <w:trHeight w:val="255"/>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TZYKY-23-4</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t>Ang-(1-7)/Mas</w:t>
            </w:r>
            <w:r>
              <w:rPr>
                <w:rFonts w:hint="eastAsia"/>
              </w:rPr>
              <w:t>旁路活化抑制细胞焦亡参与慢性肾病的保护作用研究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285"/>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TZYKY-23-5</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苯腙类席夫碱的合成及抗菌构效关系研究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315"/>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TZYKY-23-6</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基于非靶向代谢组学技术探讨抗痛风组合物对高尿酸血症大鼠血清代谢物的影响</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262"/>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TZYKY-23-7</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苯甲醛苯甲酰腙类化合物合成及其抗真菌活性研究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61"/>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TZYKY-23-8</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t>METTL5</w:t>
            </w:r>
            <w:r>
              <w:rPr>
                <w:rFonts w:hint="eastAsia"/>
              </w:rPr>
              <w:t>参与头颈鳞状细胞癌免疫治疗及预后相关性的机制研究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329"/>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TZYKY-23-9</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黄芪中药渣吸附去除水体重金属污染的研究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TZYKY-23-10</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双碳背景下复杂钢结构工程基于</w:t>
            </w:r>
            <w:r>
              <w:t>BIM</w:t>
            </w:r>
            <w:r>
              <w:rPr>
                <w:rFonts w:hint="eastAsia"/>
              </w:rPr>
              <w:t>的绿色建造关键技术开发研究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TZYKY-23-11</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全自动超薄锂带打箔装置设计</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TZYKY-23-12</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车用活塞压缩机运动部件优化设计</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TZYKY-23-13</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基于</w:t>
            </w:r>
            <w:r>
              <w:t>ZigBee</w:t>
            </w:r>
            <w:r>
              <w:rPr>
                <w:rFonts w:hint="eastAsia"/>
              </w:rPr>
              <w:t>的智能家居环境监测系统</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TZYKY-23-14</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t xml:space="preserve">AI </w:t>
            </w:r>
            <w:r>
              <w:rPr>
                <w:rFonts w:hint="eastAsia"/>
              </w:rPr>
              <w:t>人工智能在室内设计领域中的应用初探</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259"/>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TZYKY-23-15</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局部遮挡条件下的人脸检测算法的研究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TZYKY-23-16</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“三生”共融的泰州地区乡村公共空间优化策略研究</w:t>
            </w:r>
            <w:r>
              <w:t>"</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TZYKY-23-17</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基于</w:t>
            </w:r>
            <w:r>
              <w:t xml:space="preserve"> BIM </w:t>
            </w:r>
            <w:r>
              <w:rPr>
                <w:rFonts w:hint="eastAsia"/>
              </w:rPr>
              <w:t>与人工智能融合技术在高职院校老旧校区建筑运维管理中的应用研究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TZYKY-23-18</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基于数字化的覆膜机裁切装置研究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lastRenderedPageBreak/>
              <w:t>TZYKY-23-19</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基于</w:t>
            </w:r>
            <w:r>
              <w:t>H5</w:t>
            </w:r>
            <w:r>
              <w:rPr>
                <w:rFonts w:hint="eastAsia"/>
              </w:rPr>
              <w:t>的在线考试系统设计研究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TZYKY-23-20</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清季所得税思想研究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TZYKY-23-21</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价值链视角下制药企业数字化转型对成本控制的影响研究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TZYKY-23-22</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“文化</w:t>
            </w:r>
            <w:r>
              <w:t>+</w:t>
            </w:r>
            <w:r>
              <w:rPr>
                <w:rFonts w:hint="eastAsia"/>
              </w:rPr>
              <w:t>科技”背景下泰州旅游项目设计研究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TZYKY-23-23</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文旅融合视域下泰州市旅游业态创新发展研究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TZYKY-23-24</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泰州老街地域文化传承与更新发展研究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TZYKY-23-25</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大健康背景下泰州新型乡村旅游产业促进城乡融合发展对策研究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TZYKY-23-26</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t>"</w:t>
            </w:r>
            <w:r>
              <w:rPr>
                <w:rFonts w:hint="eastAsia"/>
              </w:rPr>
              <w:t>基于短视频平台传播中医药文化——以泰州职业技术学院中药学专业为例</w:t>
            </w:r>
            <w:r>
              <w:t>"</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329"/>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TZYKY-23-27</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乡村振兴背景下的新文旅</w:t>
            </w:r>
            <w:r>
              <w:t>MG</w:t>
            </w:r>
            <w:r>
              <w:rPr>
                <w:rFonts w:hint="eastAsia"/>
              </w:rPr>
              <w:t>动画应用研究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180"/>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TZYKY-23-28</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“百姓日用即道”理念下高职院校数字媒体专业促进泰州文化产业发展的开发与应用研究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384"/>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TZYKY-23-29</w:t>
            </w:r>
          </w:p>
        </w:tc>
        <w:tc>
          <w:tcPr>
            <w:tcW w:w="7825" w:type="dxa"/>
            <w:tcBorders>
              <w:top w:val="single" w:sz="4" w:space="0" w:color="auto"/>
              <w:left w:val="single" w:sz="4" w:space="0" w:color="auto"/>
              <w:bottom w:val="single" w:sz="4" w:space="0" w:color="auto"/>
              <w:right w:val="single" w:sz="4" w:space="0" w:color="auto"/>
            </w:tcBorders>
            <w:hideMark/>
          </w:tcPr>
          <w:p w:rsidR="00C45BFC" w:rsidRDefault="00C45BFC">
            <w:r>
              <w:rPr>
                <w:rFonts w:hint="eastAsia"/>
              </w:rPr>
              <w:t>文明冲突视角下习近平正确义利观中“道义”研究</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r w:rsidR="00C45BFC" w:rsidTr="00C45BFC">
        <w:trPr>
          <w:trHeight w:val="322"/>
        </w:trPr>
        <w:tc>
          <w:tcPr>
            <w:tcW w:w="1809" w:type="dxa"/>
            <w:tcBorders>
              <w:top w:val="single" w:sz="4" w:space="0" w:color="auto"/>
              <w:left w:val="single" w:sz="4" w:space="0" w:color="auto"/>
              <w:bottom w:val="single" w:sz="4" w:space="0" w:color="auto"/>
              <w:right w:val="single" w:sz="4" w:space="0" w:color="auto"/>
            </w:tcBorders>
            <w:hideMark/>
          </w:tcPr>
          <w:p w:rsidR="00C45BFC" w:rsidRDefault="00C45BFC">
            <w:r>
              <w:t>TZYKY-23-30</w:t>
            </w:r>
          </w:p>
        </w:tc>
        <w:tc>
          <w:tcPr>
            <w:tcW w:w="7825" w:type="dxa"/>
            <w:tcBorders>
              <w:top w:val="single" w:sz="4" w:space="0" w:color="auto"/>
              <w:left w:val="single" w:sz="4" w:space="0" w:color="auto"/>
              <w:bottom w:val="single" w:sz="4" w:space="0" w:color="auto"/>
              <w:right w:val="single" w:sz="4" w:space="0" w:color="auto"/>
            </w:tcBorders>
            <w:vAlign w:val="center"/>
            <w:hideMark/>
          </w:tcPr>
          <w:p w:rsidR="00C45BFC" w:rsidRDefault="00C45BFC">
            <w:r>
              <w:rPr>
                <w:rFonts w:hint="eastAsia"/>
              </w:rPr>
              <w:t>高校篮球专项对外服务路径探析—以泰州市为例</w:t>
            </w:r>
          </w:p>
        </w:tc>
        <w:tc>
          <w:tcPr>
            <w:tcW w:w="1134" w:type="dxa"/>
            <w:tcBorders>
              <w:top w:val="single" w:sz="4" w:space="0" w:color="auto"/>
              <w:left w:val="single" w:sz="4" w:space="0" w:color="auto"/>
              <w:bottom w:val="single" w:sz="4" w:space="0" w:color="auto"/>
              <w:right w:val="single" w:sz="4" w:space="0" w:color="auto"/>
            </w:tcBorders>
            <w:hideMark/>
          </w:tcPr>
          <w:p w:rsidR="00C45BFC" w:rsidRDefault="00C45BFC">
            <w:pPr>
              <w:jc w:val="center"/>
            </w:pPr>
            <w:r>
              <w:rPr>
                <w:rFonts w:hint="eastAsia"/>
              </w:rPr>
              <w:t>一般</w:t>
            </w:r>
          </w:p>
        </w:tc>
      </w:tr>
    </w:tbl>
    <w:p w:rsidR="00D4006B" w:rsidRPr="00F87927" w:rsidRDefault="00D4006B" w:rsidP="00C45BFC">
      <w:pPr>
        <w:ind w:firstLineChars="2107" w:firstLine="3793"/>
        <w:rPr>
          <w:rFonts w:ascii="等线" w:eastAsia="等线"/>
          <w:color w:val="000000"/>
          <w:sz w:val="18"/>
          <w:szCs w:val="18"/>
        </w:rPr>
      </w:pPr>
      <w:bookmarkStart w:id="0" w:name="_GoBack"/>
      <w:bookmarkEnd w:id="0"/>
    </w:p>
    <w:sectPr w:rsidR="00D4006B" w:rsidRPr="00F87927" w:rsidSect="008934A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948" w:rsidRDefault="00421948" w:rsidP="00C45BFC">
      <w:r>
        <w:separator/>
      </w:r>
    </w:p>
  </w:endnote>
  <w:endnote w:type="continuationSeparator" w:id="0">
    <w:p w:rsidR="00421948" w:rsidRDefault="00421948" w:rsidP="00C45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948" w:rsidRDefault="00421948" w:rsidP="00C45BFC">
      <w:r>
        <w:separator/>
      </w:r>
    </w:p>
  </w:footnote>
  <w:footnote w:type="continuationSeparator" w:id="0">
    <w:p w:rsidR="00421948" w:rsidRDefault="00421948" w:rsidP="00C45B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9EB"/>
    <w:rsid w:val="00062173"/>
    <w:rsid w:val="001F7A74"/>
    <w:rsid w:val="002268D0"/>
    <w:rsid w:val="00421948"/>
    <w:rsid w:val="00632D17"/>
    <w:rsid w:val="00893250"/>
    <w:rsid w:val="008934A8"/>
    <w:rsid w:val="00B109B3"/>
    <w:rsid w:val="00C20579"/>
    <w:rsid w:val="00C45BFC"/>
    <w:rsid w:val="00CC39EB"/>
    <w:rsid w:val="00CF355E"/>
    <w:rsid w:val="00D4006B"/>
    <w:rsid w:val="00ED11B7"/>
    <w:rsid w:val="00F87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87F24"/>
  <w15:docId w15:val="{4C548AAD-4EA2-4FF9-A964-CFADCC1E2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17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2173"/>
    <w:pPr>
      <w:widowControl/>
      <w:spacing w:before="100" w:beforeAutospacing="1" w:after="100" w:afterAutospacing="1"/>
      <w:jc w:val="left"/>
    </w:pPr>
    <w:rPr>
      <w:rFonts w:ascii="宋体" w:hAnsi="宋体" w:cs="宋体"/>
      <w:kern w:val="0"/>
      <w:sz w:val="24"/>
      <w:szCs w:val="24"/>
    </w:rPr>
  </w:style>
  <w:style w:type="paragraph" w:styleId="a4">
    <w:name w:val="header"/>
    <w:basedOn w:val="a"/>
    <w:link w:val="a5"/>
    <w:uiPriority w:val="99"/>
    <w:unhideWhenUsed/>
    <w:rsid w:val="00C45BF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45BFC"/>
    <w:rPr>
      <w:rFonts w:ascii="Calibri" w:eastAsia="宋体" w:hAnsi="Calibri" w:cs="Times New Roman"/>
      <w:sz w:val="18"/>
      <w:szCs w:val="18"/>
    </w:rPr>
  </w:style>
  <w:style w:type="paragraph" w:styleId="a6">
    <w:name w:val="footer"/>
    <w:basedOn w:val="a"/>
    <w:link w:val="a7"/>
    <w:uiPriority w:val="99"/>
    <w:unhideWhenUsed/>
    <w:rsid w:val="00C45BFC"/>
    <w:pPr>
      <w:tabs>
        <w:tab w:val="center" w:pos="4153"/>
        <w:tab w:val="right" w:pos="8306"/>
      </w:tabs>
      <w:snapToGrid w:val="0"/>
      <w:jc w:val="left"/>
    </w:pPr>
    <w:rPr>
      <w:sz w:val="18"/>
      <w:szCs w:val="18"/>
    </w:rPr>
  </w:style>
  <w:style w:type="character" w:customStyle="1" w:styleId="a7">
    <w:name w:val="页脚 字符"/>
    <w:basedOn w:val="a0"/>
    <w:link w:val="a6"/>
    <w:uiPriority w:val="99"/>
    <w:rsid w:val="00C45BF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92750">
      <w:bodyDiv w:val="1"/>
      <w:marLeft w:val="0"/>
      <w:marRight w:val="0"/>
      <w:marTop w:val="0"/>
      <w:marBottom w:val="0"/>
      <w:divBdr>
        <w:top w:val="none" w:sz="0" w:space="0" w:color="auto"/>
        <w:left w:val="none" w:sz="0" w:space="0" w:color="auto"/>
        <w:bottom w:val="none" w:sz="0" w:space="0" w:color="auto"/>
        <w:right w:val="none" w:sz="0" w:space="0" w:color="auto"/>
      </w:divBdr>
    </w:div>
    <w:div w:id="556085541">
      <w:bodyDiv w:val="1"/>
      <w:marLeft w:val="0"/>
      <w:marRight w:val="0"/>
      <w:marTop w:val="0"/>
      <w:marBottom w:val="0"/>
      <w:divBdr>
        <w:top w:val="none" w:sz="0" w:space="0" w:color="auto"/>
        <w:left w:val="none" w:sz="0" w:space="0" w:color="auto"/>
        <w:bottom w:val="none" w:sz="0" w:space="0" w:color="auto"/>
        <w:right w:val="none" w:sz="0" w:space="0" w:color="auto"/>
      </w:divBdr>
    </w:div>
    <w:div w:id="991635888">
      <w:bodyDiv w:val="1"/>
      <w:marLeft w:val="0"/>
      <w:marRight w:val="0"/>
      <w:marTop w:val="0"/>
      <w:marBottom w:val="0"/>
      <w:divBdr>
        <w:top w:val="none" w:sz="0" w:space="0" w:color="auto"/>
        <w:left w:val="none" w:sz="0" w:space="0" w:color="auto"/>
        <w:bottom w:val="none" w:sz="0" w:space="0" w:color="auto"/>
        <w:right w:val="none" w:sz="0" w:space="0" w:color="auto"/>
      </w:divBdr>
    </w:div>
    <w:div w:id="1057432860">
      <w:bodyDiv w:val="1"/>
      <w:marLeft w:val="0"/>
      <w:marRight w:val="0"/>
      <w:marTop w:val="0"/>
      <w:marBottom w:val="0"/>
      <w:divBdr>
        <w:top w:val="none" w:sz="0" w:space="0" w:color="auto"/>
        <w:left w:val="none" w:sz="0" w:space="0" w:color="auto"/>
        <w:bottom w:val="none" w:sz="0" w:space="0" w:color="auto"/>
        <w:right w:val="none" w:sz="0" w:space="0" w:color="auto"/>
      </w:divBdr>
    </w:div>
    <w:div w:id="1109282045">
      <w:bodyDiv w:val="1"/>
      <w:marLeft w:val="0"/>
      <w:marRight w:val="0"/>
      <w:marTop w:val="0"/>
      <w:marBottom w:val="0"/>
      <w:divBdr>
        <w:top w:val="none" w:sz="0" w:space="0" w:color="auto"/>
        <w:left w:val="none" w:sz="0" w:space="0" w:color="auto"/>
        <w:bottom w:val="none" w:sz="0" w:space="0" w:color="auto"/>
        <w:right w:val="none" w:sz="0" w:space="0" w:color="auto"/>
      </w:divBdr>
    </w:div>
    <w:div w:id="1705017060">
      <w:bodyDiv w:val="1"/>
      <w:marLeft w:val="0"/>
      <w:marRight w:val="0"/>
      <w:marTop w:val="0"/>
      <w:marBottom w:val="0"/>
      <w:divBdr>
        <w:top w:val="none" w:sz="0" w:space="0" w:color="auto"/>
        <w:left w:val="none" w:sz="0" w:space="0" w:color="auto"/>
        <w:bottom w:val="none" w:sz="0" w:space="0" w:color="auto"/>
        <w:right w:val="none" w:sz="0" w:space="0" w:color="auto"/>
      </w:divBdr>
    </w:div>
    <w:div w:id="1719428151">
      <w:bodyDiv w:val="1"/>
      <w:marLeft w:val="0"/>
      <w:marRight w:val="0"/>
      <w:marTop w:val="0"/>
      <w:marBottom w:val="0"/>
      <w:divBdr>
        <w:top w:val="none" w:sz="0" w:space="0" w:color="auto"/>
        <w:left w:val="none" w:sz="0" w:space="0" w:color="auto"/>
        <w:bottom w:val="none" w:sz="0" w:space="0" w:color="auto"/>
        <w:right w:val="none" w:sz="0" w:space="0" w:color="auto"/>
      </w:divBdr>
    </w:div>
    <w:div w:id="1805196222">
      <w:bodyDiv w:val="1"/>
      <w:marLeft w:val="0"/>
      <w:marRight w:val="0"/>
      <w:marTop w:val="0"/>
      <w:marBottom w:val="0"/>
      <w:divBdr>
        <w:top w:val="none" w:sz="0" w:space="0" w:color="auto"/>
        <w:left w:val="none" w:sz="0" w:space="0" w:color="auto"/>
        <w:bottom w:val="none" w:sz="0" w:space="0" w:color="auto"/>
        <w:right w:val="none" w:sz="0" w:space="0" w:color="auto"/>
      </w:divBdr>
    </w:div>
    <w:div w:id="212811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189</Words>
  <Characters>1079</Characters>
  <Application>Microsoft Office Word</Application>
  <DocSecurity>0</DocSecurity>
  <Lines>8</Lines>
  <Paragraphs>2</Paragraphs>
  <ScaleCrop>false</ScaleCrop>
  <Company>Microsoft</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cp:lastModifiedBy>
  <cp:revision>5</cp:revision>
  <dcterms:created xsi:type="dcterms:W3CDTF">2022-11-11T01:12:00Z</dcterms:created>
  <dcterms:modified xsi:type="dcterms:W3CDTF">2023-09-06T00:34:00Z</dcterms:modified>
</cp:coreProperties>
</file>