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eastAsia="黑体" w:cs="黑体"/>
          <w:kern w:val="0"/>
          <w:sz w:val="72"/>
          <w:szCs w:val="72"/>
        </w:rPr>
      </w:pPr>
    </w:p>
    <w:p>
      <w:pPr>
        <w:jc w:val="center"/>
        <w:rPr>
          <w:rFonts w:ascii="黑体" w:eastAsia="黑体"/>
          <w:sz w:val="52"/>
          <w:szCs w:val="52"/>
        </w:rPr>
      </w:pPr>
      <w:r>
        <w:rPr>
          <w:rFonts w:hint="eastAsia" w:ascii="黑体" w:eastAsia="黑体"/>
          <w:sz w:val="52"/>
          <w:szCs w:val="52"/>
        </w:rPr>
        <w:t>泰州市房屋建筑和市政工程施工</w:t>
      </w:r>
    </w:p>
    <w:p>
      <w:pPr>
        <w:jc w:val="center"/>
        <w:rPr>
          <w:rFonts w:ascii="黑体" w:eastAsia="黑体"/>
          <w:sz w:val="52"/>
          <w:szCs w:val="52"/>
        </w:rPr>
      </w:pPr>
      <w:r>
        <w:rPr>
          <w:rFonts w:hint="eastAsia" w:ascii="黑体" w:eastAsia="黑体"/>
          <w:sz w:val="52"/>
          <w:szCs w:val="52"/>
        </w:rPr>
        <w:t>招标文件范本</w:t>
      </w:r>
    </w:p>
    <w:p>
      <w:pPr>
        <w:rPr>
          <w:rFonts w:ascii="黑体" w:eastAsia="黑体"/>
          <w:sz w:val="32"/>
          <w:szCs w:val="32"/>
        </w:rPr>
      </w:pPr>
    </w:p>
    <w:p/>
    <w:p/>
    <w:p/>
    <w:p/>
    <w:p/>
    <w:p/>
    <w:p/>
    <w:p/>
    <w:p>
      <w:pPr>
        <w:widowControl/>
        <w:jc w:val="center"/>
        <w:rPr>
          <w:rFonts w:ascii="黑体" w:eastAsia="黑体"/>
          <w:sz w:val="28"/>
          <w:szCs w:val="28"/>
        </w:rPr>
      </w:pPr>
      <w:r>
        <w:rPr>
          <w:rFonts w:hint="eastAsia" w:ascii="黑体" w:eastAsia="黑体"/>
          <w:sz w:val="28"/>
          <w:szCs w:val="28"/>
          <w:lang w:eastAsia="zh-CN"/>
        </w:rPr>
        <w:t>数字媒体实训中心改造工程</w:t>
      </w:r>
      <w:r>
        <w:rPr>
          <w:rFonts w:hint="eastAsia" w:ascii="黑体" w:eastAsia="黑体"/>
          <w:sz w:val="28"/>
          <w:szCs w:val="28"/>
        </w:rPr>
        <w:t>招标</w:t>
      </w:r>
    </w:p>
    <w:p>
      <w:pPr>
        <w:rPr>
          <w:sz w:val="28"/>
          <w:szCs w:val="28"/>
        </w:rPr>
      </w:pPr>
    </w:p>
    <w:p>
      <w:pPr>
        <w:rPr>
          <w:sz w:val="28"/>
          <w:szCs w:val="28"/>
        </w:rPr>
      </w:pPr>
    </w:p>
    <w:p>
      <w:pPr>
        <w:rPr>
          <w:sz w:val="28"/>
          <w:szCs w:val="28"/>
        </w:rPr>
      </w:pPr>
    </w:p>
    <w:p>
      <w:pPr>
        <w:jc w:val="center"/>
        <w:rPr>
          <w:rFonts w:ascii="黑体" w:eastAsia="黑体"/>
          <w:sz w:val="52"/>
          <w:szCs w:val="52"/>
        </w:rPr>
      </w:pPr>
      <w:r>
        <w:rPr>
          <w:rFonts w:hint="eastAsia" w:ascii="黑体" w:eastAsia="黑体"/>
          <w:sz w:val="52"/>
          <w:szCs w:val="52"/>
        </w:rPr>
        <w:t>招标文件</w:t>
      </w:r>
    </w:p>
    <w:p>
      <w:pPr>
        <w:ind w:firstLine="3360" w:firstLineChars="1050"/>
        <w:rPr>
          <w:rFonts w:ascii="黑体" w:eastAsia="黑体"/>
          <w:sz w:val="32"/>
          <w:szCs w:val="32"/>
        </w:rPr>
      </w:pPr>
    </w:p>
    <w:p>
      <w:pPr>
        <w:ind w:firstLine="3360" w:firstLineChars="1050"/>
        <w:rPr>
          <w:rFonts w:ascii="黑体" w:eastAsia="黑体"/>
          <w:sz w:val="32"/>
          <w:szCs w:val="32"/>
        </w:rPr>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ind w:firstLine="420" w:firstLineChars="150"/>
        <w:rPr>
          <w:rFonts w:ascii="黑体" w:eastAsia="黑体"/>
          <w:sz w:val="28"/>
          <w:szCs w:val="28"/>
        </w:rPr>
      </w:pPr>
      <w:r>
        <w:rPr>
          <w:rFonts w:hint="eastAsia" w:ascii="宋体" w:hAnsi="宋体" w:cs="宋体"/>
          <w:sz w:val="28"/>
          <w:szCs w:val="28"/>
        </w:rPr>
        <w:t>招 标 人：</w:t>
      </w:r>
      <w:r>
        <w:rPr>
          <w:rFonts w:hint="eastAsia" w:ascii="黑体" w:eastAsia="黑体"/>
          <w:sz w:val="28"/>
          <w:szCs w:val="28"/>
          <w:u w:val="single"/>
          <w:lang w:eastAsia="zh-CN"/>
        </w:rPr>
        <w:t>泰州职业技术学院</w:t>
      </w:r>
      <w:r>
        <w:rPr>
          <w:rFonts w:hint="eastAsia" w:ascii="黑体" w:eastAsia="黑体"/>
          <w:sz w:val="28"/>
          <w:szCs w:val="28"/>
        </w:rPr>
        <w:t>（</w:t>
      </w:r>
      <w:r>
        <w:rPr>
          <w:rFonts w:hint="eastAsia" w:ascii="宋体"/>
          <w:sz w:val="28"/>
          <w:szCs w:val="28"/>
        </w:rPr>
        <w:t>盖单位章</w:t>
      </w:r>
      <w:r>
        <w:rPr>
          <w:rFonts w:hint="eastAsia" w:ascii="黑体" w:eastAsia="黑体"/>
          <w:sz w:val="28"/>
          <w:szCs w:val="28"/>
        </w:rPr>
        <w:t>）</w:t>
      </w:r>
    </w:p>
    <w:p>
      <w:pPr>
        <w:ind w:firstLine="420" w:firstLineChars="150"/>
        <w:rPr>
          <w:sz w:val="28"/>
          <w:szCs w:val="28"/>
        </w:rPr>
      </w:pPr>
    </w:p>
    <w:p>
      <w:pPr>
        <w:ind w:firstLine="420" w:firstLineChars="150"/>
        <w:rPr>
          <w:sz w:val="28"/>
          <w:szCs w:val="28"/>
        </w:rPr>
      </w:pPr>
      <w:r>
        <w:rPr>
          <w:rFonts w:hint="eastAsia"/>
          <w:sz w:val="28"/>
          <w:szCs w:val="28"/>
        </w:rPr>
        <w:t>代理机构：</w:t>
      </w:r>
      <w:r>
        <w:rPr>
          <w:rFonts w:hint="eastAsia" w:ascii="黑体" w:eastAsia="黑体"/>
          <w:sz w:val="28"/>
          <w:szCs w:val="28"/>
          <w:u w:val="single"/>
        </w:rPr>
        <w:t>泰州林诚项目管理有限公司</w:t>
      </w:r>
      <w:r>
        <w:rPr>
          <w:rFonts w:hint="eastAsia" w:ascii="黑体" w:eastAsia="黑体"/>
          <w:sz w:val="28"/>
          <w:szCs w:val="28"/>
        </w:rPr>
        <w:t>（</w:t>
      </w:r>
      <w:r>
        <w:rPr>
          <w:rFonts w:hint="eastAsia" w:ascii="宋体"/>
          <w:sz w:val="28"/>
          <w:szCs w:val="28"/>
        </w:rPr>
        <w:t>盖单位章</w:t>
      </w:r>
      <w:r>
        <w:rPr>
          <w:rFonts w:hint="eastAsia" w:ascii="黑体" w:eastAsia="黑体"/>
          <w:sz w:val="28"/>
          <w:szCs w:val="28"/>
        </w:rPr>
        <w:t>）</w:t>
      </w:r>
    </w:p>
    <w:p>
      <w:pPr>
        <w:ind w:firstLine="420" w:firstLineChars="150"/>
        <w:rPr>
          <w:rFonts w:ascii="宋体"/>
          <w:sz w:val="28"/>
          <w:szCs w:val="28"/>
        </w:rPr>
      </w:pPr>
    </w:p>
    <w:p>
      <w:pPr>
        <w:jc w:val="center"/>
      </w:pPr>
      <w:r>
        <w:rPr>
          <w:rFonts w:hint="eastAsia" w:ascii="宋体"/>
          <w:sz w:val="28"/>
          <w:szCs w:val="28"/>
        </w:rPr>
        <w:t>日期：</w:t>
      </w:r>
      <w:r>
        <w:rPr>
          <w:rFonts w:hint="eastAsia" w:ascii="宋体"/>
          <w:sz w:val="28"/>
          <w:szCs w:val="28"/>
          <w:lang w:eastAsia="zh-CN"/>
        </w:rPr>
        <w:t>2022</w:t>
      </w:r>
      <w:r>
        <w:rPr>
          <w:rFonts w:hint="eastAsia" w:ascii="宋体"/>
          <w:sz w:val="28"/>
          <w:szCs w:val="28"/>
        </w:rPr>
        <w:t>年</w:t>
      </w:r>
      <w:r>
        <w:rPr>
          <w:rFonts w:hint="eastAsia" w:ascii="宋体"/>
          <w:sz w:val="28"/>
          <w:szCs w:val="28"/>
          <w:lang w:val="en-US" w:eastAsia="zh-CN"/>
        </w:rPr>
        <w:t>8</w:t>
      </w:r>
      <w:r>
        <w:rPr>
          <w:rFonts w:hint="eastAsia" w:ascii="宋体"/>
          <w:sz w:val="28"/>
          <w:szCs w:val="28"/>
        </w:rPr>
        <w:t>月</w:t>
      </w:r>
    </w:p>
    <w:p/>
    <w:p/>
    <w:p/>
    <w:p/>
    <w:p/>
    <w:p>
      <w:pPr>
        <w:jc w:val="center"/>
        <w:rPr>
          <w:rFonts w:ascii="黑体" w:eastAsia="黑体"/>
          <w:spacing w:val="60"/>
          <w:sz w:val="32"/>
          <w:szCs w:val="32"/>
        </w:rPr>
      </w:pPr>
      <w:r>
        <w:rPr>
          <w:rFonts w:hint="eastAsia" w:ascii="黑体" w:eastAsia="黑体"/>
          <w:spacing w:val="60"/>
          <w:sz w:val="32"/>
          <w:szCs w:val="32"/>
        </w:rPr>
        <w:t>说明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199"/>
        <w:textAlignment w:val="auto"/>
        <w:rPr>
          <w:rFonts w:ascii="宋体"/>
          <w:b/>
          <w:szCs w:val="21"/>
        </w:rPr>
      </w:pPr>
      <w:r>
        <w:rPr>
          <w:rFonts w:hint="eastAsia" w:ascii="宋体" w:hAnsi="宋体"/>
          <w:b/>
          <w:szCs w:val="21"/>
        </w:rPr>
        <w:t>一、编制依据和参考</w:t>
      </w:r>
    </w:p>
    <w:p>
      <w:pPr>
        <w:keepNext w:val="0"/>
        <w:keepLines w:val="0"/>
        <w:pageBreakBefore w:val="0"/>
        <w:widowControl w:val="0"/>
        <w:kinsoku/>
        <w:wordWrap/>
        <w:overflowPunct/>
        <w:topLinePunct w:val="0"/>
        <w:autoSpaceDE/>
        <w:autoSpaceDN/>
        <w:bidi w:val="0"/>
        <w:adjustRightInd/>
        <w:snapToGrid/>
        <w:spacing w:line="360" w:lineRule="auto"/>
        <w:ind w:firstLine="315" w:firstLineChars="150"/>
        <w:textAlignment w:val="auto"/>
        <w:rPr>
          <w:rFonts w:ascii="宋体"/>
          <w:szCs w:val="21"/>
        </w:rPr>
      </w:pPr>
      <w:r>
        <w:rPr>
          <w:rFonts w:hint="eastAsia" w:ascii="宋体" w:hAnsi="宋体"/>
          <w:szCs w:val="21"/>
        </w:rPr>
        <w:t>《泰州市房屋建筑和市政工程施工招标文件范本》（以下简称《施工招标文件范本》），是以国家住房和城乡建设部《房屋建筑和市政工程标准施工招标文件》和九部委《标准施工招标文件》（第</w:t>
      </w:r>
      <w:r>
        <w:rPr>
          <w:rFonts w:ascii="宋体" w:hAnsi="宋体"/>
          <w:szCs w:val="21"/>
        </w:rPr>
        <w:t>56</w:t>
      </w:r>
      <w:r>
        <w:rPr>
          <w:rFonts w:hint="eastAsia" w:ascii="宋体" w:hAnsi="宋体"/>
          <w:szCs w:val="21"/>
        </w:rPr>
        <w:t>号令）为依据进行调整和补充，供招标人、招标代理机构、投标人在招投标活动中使用。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199"/>
        <w:textAlignment w:val="auto"/>
        <w:rPr>
          <w:rFonts w:ascii="宋体"/>
          <w:b/>
          <w:szCs w:val="21"/>
        </w:rPr>
      </w:pPr>
      <w:r>
        <w:rPr>
          <w:rFonts w:hint="eastAsia" w:ascii="宋体" w:hAnsi="宋体"/>
          <w:b/>
          <w:szCs w:val="21"/>
        </w:rPr>
        <w:t>二、适用范围</w:t>
      </w:r>
    </w:p>
    <w:p>
      <w:pPr>
        <w:keepNext w:val="0"/>
        <w:keepLines w:val="0"/>
        <w:pageBreakBefore w:val="0"/>
        <w:widowControl w:val="0"/>
        <w:kinsoku/>
        <w:wordWrap/>
        <w:overflowPunct/>
        <w:topLinePunct w:val="0"/>
        <w:autoSpaceDE/>
        <w:autoSpaceDN/>
        <w:bidi w:val="0"/>
        <w:adjustRightInd/>
        <w:snapToGrid/>
        <w:spacing w:line="360" w:lineRule="auto"/>
        <w:ind w:firstLine="315" w:firstLineChars="150"/>
        <w:textAlignment w:val="auto"/>
        <w:rPr>
          <w:rFonts w:ascii="宋体"/>
          <w:szCs w:val="21"/>
        </w:rPr>
      </w:pPr>
      <w:r>
        <w:rPr>
          <w:rFonts w:hint="eastAsia" w:ascii="宋体" w:hAnsi="宋体"/>
          <w:szCs w:val="21"/>
        </w:rPr>
        <w:t>《泰州市房屋建筑和市政工程施工招标文件范本》，适用于泰州市区域内设计和施工不是由同一承包商承担的不属于依法必须进行招标的房屋建筑和市政基础设施工程的施工招标。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199"/>
        <w:textAlignment w:val="auto"/>
        <w:rPr>
          <w:rFonts w:ascii="宋体"/>
          <w:b/>
          <w:szCs w:val="21"/>
        </w:rPr>
      </w:pPr>
      <w:r>
        <w:rPr>
          <w:rFonts w:hint="eastAsia" w:ascii="宋体" w:hAnsi="宋体"/>
          <w:b/>
          <w:szCs w:val="21"/>
        </w:rPr>
        <w:t>三、使用要求</w:t>
      </w:r>
    </w:p>
    <w:p>
      <w:pPr>
        <w:keepNext w:val="0"/>
        <w:keepLines w:val="0"/>
        <w:pageBreakBefore w:val="0"/>
        <w:widowControl w:val="0"/>
        <w:kinsoku/>
        <w:wordWrap/>
        <w:overflowPunct/>
        <w:topLinePunct w:val="0"/>
        <w:autoSpaceDE/>
        <w:autoSpaceDN/>
        <w:bidi w:val="0"/>
        <w:adjustRightInd/>
        <w:snapToGrid/>
        <w:spacing w:line="360" w:lineRule="auto"/>
        <w:ind w:firstLine="315" w:firstLineChars="150"/>
        <w:textAlignment w:val="auto"/>
        <w:rPr>
          <w:rFonts w:ascii="宋体"/>
          <w:szCs w:val="21"/>
        </w:rPr>
      </w:pPr>
      <w:r>
        <w:rPr>
          <w:rFonts w:hint="eastAsia" w:ascii="宋体" w:hAnsi="宋体"/>
          <w:szCs w:val="21"/>
        </w:rPr>
        <w:t>《施工招标文件范本》用相同序号标示的章、节、条、款、项、目，供招标人和投标人选择使用；以空格标示的位置，由招标人根据国家和地方有关法律法规的规定以及招标项目具体特点和实际需要填写具体内容，空格后以括号标示的选择性内容，也由招标人根据提示内容填写，确实没有需要填写的，在空格中用“</w:t>
      </w:r>
      <w:r>
        <w:rPr>
          <w:rFonts w:ascii="宋体" w:hAnsi="宋体"/>
          <w:szCs w:val="21"/>
        </w:rPr>
        <w:t>/</w:t>
      </w:r>
      <w:r>
        <w:rPr>
          <w:rFonts w:hint="eastAsia" w:ascii="宋体" w:hAnsi="宋体"/>
          <w:szCs w:val="21"/>
        </w:rPr>
        <w:t>”标示；在选择项中，招标人可结合实际情况在选择的“□”里打“√”；其余内容应不加修改直接引用。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199"/>
        <w:textAlignment w:val="auto"/>
        <w:rPr>
          <w:rFonts w:ascii="宋体"/>
          <w:b/>
          <w:szCs w:val="21"/>
        </w:rPr>
      </w:pPr>
      <w:r>
        <w:rPr>
          <w:rFonts w:hint="eastAsia" w:ascii="宋体" w:hAnsi="宋体"/>
          <w:b/>
          <w:szCs w:val="21"/>
        </w:rPr>
        <w:t>四、合同条款及格式有关说明</w:t>
      </w:r>
    </w:p>
    <w:p>
      <w:pPr>
        <w:keepNext w:val="0"/>
        <w:keepLines w:val="0"/>
        <w:pageBreakBefore w:val="0"/>
        <w:widowControl w:val="0"/>
        <w:kinsoku/>
        <w:wordWrap/>
        <w:overflowPunct/>
        <w:topLinePunct w:val="0"/>
        <w:autoSpaceDE/>
        <w:autoSpaceDN/>
        <w:bidi w:val="0"/>
        <w:adjustRightInd/>
        <w:snapToGrid/>
        <w:spacing w:line="360" w:lineRule="auto"/>
        <w:ind w:firstLine="315" w:firstLineChars="150"/>
        <w:textAlignment w:val="auto"/>
        <w:rPr>
          <w:rFonts w:ascii="宋体"/>
          <w:szCs w:val="21"/>
        </w:rPr>
      </w:pPr>
      <w:r>
        <w:rPr>
          <w:rFonts w:hint="eastAsia" w:ascii="宋体" w:hAnsi="宋体"/>
          <w:szCs w:val="21"/>
        </w:rPr>
        <w:t>《施工招标文件范本》仅列出专用合同条款，通用合同条款全部采用《建设工程施工合同（示范文本）》（</w:t>
      </w:r>
      <w:r>
        <w:rPr>
          <w:rFonts w:ascii="宋体" w:hAnsi="宋体"/>
          <w:szCs w:val="21"/>
        </w:rPr>
        <w:t>GF—201</w:t>
      </w:r>
      <w:r>
        <w:rPr>
          <w:rFonts w:hint="eastAsia" w:ascii="宋体" w:hAnsi="宋体"/>
          <w:szCs w:val="21"/>
        </w:rPr>
        <w:t>7</w:t>
      </w:r>
      <w:r>
        <w:rPr>
          <w:rFonts w:ascii="宋体" w:hAnsi="宋体"/>
          <w:szCs w:val="21"/>
        </w:rPr>
        <w:t>—0201</w:t>
      </w:r>
      <w:r>
        <w:rPr>
          <w:rFonts w:hint="eastAsia" w:ascii="宋体" w:hAnsi="宋体"/>
          <w:szCs w:val="21"/>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199"/>
        <w:textAlignment w:val="auto"/>
        <w:rPr>
          <w:rFonts w:ascii="宋体"/>
          <w:b/>
          <w:szCs w:val="21"/>
        </w:rPr>
      </w:pPr>
      <w:r>
        <w:rPr>
          <w:rFonts w:hint="eastAsia" w:ascii="宋体" w:hAnsi="宋体"/>
          <w:b/>
          <w:szCs w:val="21"/>
        </w:rPr>
        <w:t>五、工程量清单有关说明</w:t>
      </w:r>
    </w:p>
    <w:p>
      <w:pPr>
        <w:keepNext w:val="0"/>
        <w:keepLines w:val="0"/>
        <w:pageBreakBefore w:val="0"/>
        <w:widowControl w:val="0"/>
        <w:kinsoku/>
        <w:wordWrap/>
        <w:overflowPunct/>
        <w:topLinePunct w:val="0"/>
        <w:autoSpaceDE/>
        <w:autoSpaceDN/>
        <w:bidi w:val="0"/>
        <w:adjustRightInd/>
        <w:snapToGrid/>
        <w:spacing w:line="360" w:lineRule="auto"/>
        <w:ind w:firstLine="315" w:firstLineChars="150"/>
        <w:textAlignment w:val="auto"/>
        <w:rPr>
          <w:rFonts w:ascii="宋体"/>
          <w:szCs w:val="21"/>
        </w:rPr>
      </w:pPr>
      <w:r>
        <w:rPr>
          <w:rFonts w:hint="eastAsia" w:ascii="宋体" w:hAnsi="宋体"/>
          <w:szCs w:val="21"/>
        </w:rPr>
        <w:t>《施工招标文件范本》第五章“工程量清单”由招标人根据工程量清单的国家标准、省、市相关规定，以及招标项目具体特点和实际需要编制，并与“投标人须知”、“专用合同条款”、“技术标准和要求”、“图纸”相衔接。</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b/>
          <w:szCs w:val="21"/>
        </w:rPr>
      </w:pPr>
      <w:r>
        <w:rPr>
          <w:rFonts w:hint="eastAsia" w:ascii="宋体" w:hAnsi="宋体"/>
          <w:b/>
          <w:szCs w:val="21"/>
        </w:rPr>
        <w:t>六、图纸有关说明</w:t>
      </w:r>
    </w:p>
    <w:p>
      <w:pPr>
        <w:keepNext w:val="0"/>
        <w:keepLines w:val="0"/>
        <w:pageBreakBefore w:val="0"/>
        <w:widowControl w:val="0"/>
        <w:kinsoku/>
        <w:wordWrap/>
        <w:overflowPunct/>
        <w:topLinePunct w:val="0"/>
        <w:autoSpaceDE/>
        <w:autoSpaceDN/>
        <w:bidi w:val="0"/>
        <w:adjustRightInd/>
        <w:snapToGrid/>
        <w:spacing w:line="360" w:lineRule="auto"/>
        <w:ind w:firstLine="315" w:firstLineChars="150"/>
        <w:textAlignment w:val="auto"/>
        <w:rPr>
          <w:rFonts w:ascii="宋体"/>
          <w:szCs w:val="21"/>
        </w:rPr>
      </w:pPr>
      <w:r>
        <w:rPr>
          <w:rFonts w:hint="eastAsia" w:ascii="宋体" w:hAnsi="宋体"/>
          <w:szCs w:val="21"/>
        </w:rPr>
        <w:t>《施工招标文件范本》第六章“图纸”由招标人根据招标项目具体特点和实际需要编制，并与“投标人须知”、“专用合同条款”、“技术标准和要求”相衔接。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199"/>
        <w:textAlignment w:val="auto"/>
        <w:rPr>
          <w:rFonts w:ascii="宋体"/>
          <w:b/>
          <w:szCs w:val="21"/>
        </w:rPr>
      </w:pPr>
      <w:r>
        <w:rPr>
          <w:rFonts w:hint="eastAsia" w:ascii="宋体" w:hAnsi="宋体"/>
          <w:b/>
          <w:szCs w:val="21"/>
        </w:rPr>
        <w:t>七、技术标准和要求有关说明</w:t>
      </w:r>
    </w:p>
    <w:p>
      <w:pPr>
        <w:keepNext w:val="0"/>
        <w:keepLines w:val="0"/>
        <w:pageBreakBefore w:val="0"/>
        <w:widowControl w:val="0"/>
        <w:kinsoku/>
        <w:wordWrap/>
        <w:overflowPunct/>
        <w:topLinePunct w:val="0"/>
        <w:autoSpaceDE/>
        <w:autoSpaceDN/>
        <w:bidi w:val="0"/>
        <w:adjustRightInd/>
        <w:snapToGrid/>
        <w:spacing w:line="360" w:lineRule="auto"/>
        <w:ind w:firstLine="315" w:firstLineChars="150"/>
        <w:textAlignment w:val="auto"/>
        <w:rPr>
          <w:rFonts w:ascii="宋体"/>
          <w:szCs w:val="21"/>
        </w:rPr>
      </w:pPr>
      <w:r>
        <w:rPr>
          <w:rFonts w:hint="eastAsia" w:ascii="宋体" w:hAnsi="宋体"/>
          <w:szCs w:val="21"/>
        </w:rPr>
        <w:t>《施工招标文件范本》第七章“技术标准和要求”由招标人根据招标项目具体特点和实际需要编制。“技术标准和要求”中的各项技术标准应符合国家强制性标准，不得要求或标明某一特定的专利、商标、名称、设计、原产地或生产供应者，不得含有倾向或者排斥潜在投标人的其他内容。如果必须引用某一生产供应者的技术标准才能准确或清楚地说明拟招标项目的技术标准时，则应当在参照后面加上“或相当于”字样。</w:t>
      </w:r>
    </w:p>
    <w:p>
      <w:pPr>
        <w:keepNext w:val="0"/>
        <w:keepLines w:val="0"/>
        <w:pageBreakBefore w:val="0"/>
        <w:widowControl w:val="0"/>
        <w:kinsoku/>
        <w:wordWrap/>
        <w:overflowPunct/>
        <w:topLinePunct w:val="0"/>
        <w:autoSpaceDE/>
        <w:autoSpaceDN/>
        <w:bidi w:val="0"/>
        <w:adjustRightInd/>
        <w:snapToGrid/>
        <w:spacing w:line="360" w:lineRule="auto"/>
        <w:ind w:firstLine="424" w:firstLineChars="201"/>
        <w:textAlignment w:val="auto"/>
        <w:rPr>
          <w:rFonts w:ascii="宋体" w:hAnsi="宋体"/>
          <w:b/>
          <w:szCs w:val="21"/>
        </w:rPr>
      </w:pPr>
      <w:r>
        <w:rPr>
          <w:rFonts w:hint="eastAsia" w:ascii="宋体" w:hAnsi="宋体"/>
          <w:b/>
          <w:szCs w:val="21"/>
        </w:rPr>
        <w:t>八、原件、复印件、公证件、传真件等有关说明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szCs w:val="21"/>
        </w:rPr>
      </w:pPr>
      <w:r>
        <w:rPr>
          <w:rFonts w:hint="eastAsia" w:ascii="宋体" w:hAnsi="宋体"/>
          <w:szCs w:val="21"/>
        </w:rPr>
        <w:t>投标文件中要求提供的原件证明材料，不得使用复印件、公证件、传真件、彩色扫描件等代替原件，社保机关证明可以使用社保机构网上打印件，但必须真实，且满足招标文件要求。</w:t>
      </w:r>
    </w:p>
    <w:p>
      <w:pPr>
        <w:rPr>
          <w:rFonts w:ascii="宋体" w:hAnsi="宋体"/>
          <w:b/>
          <w:strike/>
          <w:szCs w:val="21"/>
        </w:rPr>
      </w:pPr>
    </w:p>
    <w:p>
      <w:pPr>
        <w:rPr>
          <w:rFonts w:ascii="宋体" w:hAnsi="宋体"/>
          <w:b/>
          <w:strike/>
          <w:szCs w:val="21"/>
        </w:rPr>
      </w:pPr>
    </w:p>
    <w:p/>
    <w:p>
      <w:pPr>
        <w:jc w:val="center"/>
        <w:rPr>
          <w:rFonts w:ascii="黑体" w:eastAsia="黑体"/>
          <w:b/>
          <w:sz w:val="36"/>
          <w:szCs w:val="36"/>
        </w:rPr>
      </w:pPr>
    </w:p>
    <w:p>
      <w:pPr>
        <w:jc w:val="center"/>
        <w:rPr>
          <w:rFonts w:ascii="黑体" w:eastAsia="黑体"/>
          <w:b/>
          <w:sz w:val="36"/>
          <w:szCs w:val="36"/>
        </w:rPr>
      </w:pPr>
      <w:r>
        <w:rPr>
          <w:rFonts w:hint="eastAsia" w:ascii="黑体" w:eastAsia="黑体"/>
          <w:b/>
          <w:sz w:val="36"/>
          <w:szCs w:val="36"/>
        </w:rPr>
        <w:t>目录</w:t>
      </w:r>
    </w:p>
    <w:p/>
    <w:p>
      <w:pPr>
        <w:keepNext w:val="0"/>
        <w:keepLines w:val="0"/>
        <w:pageBreakBefore w:val="0"/>
        <w:widowControl w:val="0"/>
        <w:kinsoku/>
        <w:wordWrap/>
        <w:overflowPunct/>
        <w:topLinePunct w:val="0"/>
        <w:bidi w:val="0"/>
        <w:snapToGrid/>
        <w:spacing w:line="360" w:lineRule="auto"/>
        <w:textAlignment w:val="auto"/>
        <w:rPr>
          <w:rFonts w:hint="default" w:eastAsia="宋体"/>
          <w:b/>
          <w:lang w:val="en-US" w:eastAsia="zh-CN"/>
        </w:rPr>
      </w:pPr>
      <w:r>
        <w:rPr>
          <w:rFonts w:hint="eastAsia"/>
          <w:b/>
        </w:rPr>
        <w:t>第一章</w:t>
      </w:r>
      <w:r>
        <w:rPr>
          <w:rFonts w:hint="eastAsia"/>
          <w:b/>
          <w:lang w:val="en-US" w:eastAsia="zh-CN"/>
        </w:rPr>
        <w:t>招标公告</w:t>
      </w:r>
    </w:p>
    <w:p>
      <w:pPr>
        <w:keepNext w:val="0"/>
        <w:keepLines w:val="0"/>
        <w:pageBreakBefore w:val="0"/>
        <w:widowControl w:val="0"/>
        <w:kinsoku/>
        <w:wordWrap/>
        <w:overflowPunct/>
        <w:topLinePunct w:val="0"/>
        <w:bidi w:val="0"/>
        <w:snapToGrid/>
        <w:spacing w:line="360" w:lineRule="auto"/>
        <w:textAlignment w:val="auto"/>
        <w:rPr>
          <w:b/>
        </w:rPr>
      </w:pPr>
      <w:r>
        <w:rPr>
          <w:rFonts w:hint="eastAsia"/>
          <w:b/>
        </w:rPr>
        <w:t>第二章投标人须知</w:t>
      </w:r>
    </w:p>
    <w:p>
      <w:pPr>
        <w:keepNext w:val="0"/>
        <w:keepLines w:val="0"/>
        <w:pageBreakBefore w:val="0"/>
        <w:widowControl w:val="0"/>
        <w:kinsoku/>
        <w:wordWrap/>
        <w:overflowPunct/>
        <w:topLinePunct w:val="0"/>
        <w:bidi w:val="0"/>
        <w:snapToGrid/>
        <w:spacing w:line="360" w:lineRule="auto"/>
        <w:textAlignment w:val="auto"/>
      </w:pPr>
      <w:r>
        <w:rPr>
          <w:rFonts w:hint="eastAsia"/>
        </w:rPr>
        <w:t>投标人须知前附表</w:t>
      </w:r>
    </w:p>
    <w:p>
      <w:pPr>
        <w:keepNext w:val="0"/>
        <w:keepLines w:val="0"/>
        <w:pageBreakBefore w:val="0"/>
        <w:widowControl w:val="0"/>
        <w:kinsoku/>
        <w:wordWrap/>
        <w:overflowPunct/>
        <w:topLinePunct w:val="0"/>
        <w:bidi w:val="0"/>
        <w:snapToGrid/>
        <w:spacing w:line="360" w:lineRule="auto"/>
        <w:textAlignment w:val="auto"/>
      </w:pPr>
      <w:r>
        <w:t xml:space="preserve">1 </w:t>
      </w:r>
      <w:r>
        <w:rPr>
          <w:rFonts w:hint="eastAsia"/>
        </w:rPr>
        <w:t>总则</w:t>
      </w:r>
    </w:p>
    <w:p>
      <w:pPr>
        <w:keepNext w:val="0"/>
        <w:keepLines w:val="0"/>
        <w:pageBreakBefore w:val="0"/>
        <w:widowControl w:val="0"/>
        <w:kinsoku/>
        <w:wordWrap/>
        <w:overflowPunct/>
        <w:topLinePunct w:val="0"/>
        <w:bidi w:val="0"/>
        <w:snapToGrid/>
        <w:spacing w:line="360" w:lineRule="auto"/>
        <w:textAlignment w:val="auto"/>
      </w:pPr>
      <w:r>
        <w:t xml:space="preserve">2 </w:t>
      </w:r>
      <w:r>
        <w:rPr>
          <w:rFonts w:hint="eastAsia"/>
        </w:rPr>
        <w:t>招标文件</w:t>
      </w:r>
    </w:p>
    <w:p>
      <w:pPr>
        <w:keepNext w:val="0"/>
        <w:keepLines w:val="0"/>
        <w:pageBreakBefore w:val="0"/>
        <w:widowControl w:val="0"/>
        <w:kinsoku/>
        <w:wordWrap/>
        <w:overflowPunct/>
        <w:topLinePunct w:val="0"/>
        <w:bidi w:val="0"/>
        <w:snapToGrid/>
        <w:spacing w:line="360" w:lineRule="auto"/>
        <w:textAlignment w:val="auto"/>
      </w:pPr>
      <w:r>
        <w:t xml:space="preserve">3 </w:t>
      </w:r>
      <w:r>
        <w:rPr>
          <w:rFonts w:hint="eastAsia"/>
        </w:rPr>
        <w:t>投标文件</w:t>
      </w:r>
    </w:p>
    <w:p>
      <w:pPr>
        <w:keepNext w:val="0"/>
        <w:keepLines w:val="0"/>
        <w:pageBreakBefore w:val="0"/>
        <w:widowControl w:val="0"/>
        <w:kinsoku/>
        <w:wordWrap/>
        <w:overflowPunct/>
        <w:topLinePunct w:val="0"/>
        <w:bidi w:val="0"/>
        <w:snapToGrid/>
        <w:spacing w:line="360" w:lineRule="auto"/>
        <w:textAlignment w:val="auto"/>
      </w:pPr>
      <w:r>
        <w:t xml:space="preserve">4 </w:t>
      </w:r>
      <w:r>
        <w:rPr>
          <w:rFonts w:hint="eastAsia"/>
        </w:rPr>
        <w:t>投标</w:t>
      </w:r>
    </w:p>
    <w:p>
      <w:pPr>
        <w:keepNext w:val="0"/>
        <w:keepLines w:val="0"/>
        <w:pageBreakBefore w:val="0"/>
        <w:widowControl w:val="0"/>
        <w:kinsoku/>
        <w:wordWrap/>
        <w:overflowPunct/>
        <w:topLinePunct w:val="0"/>
        <w:bidi w:val="0"/>
        <w:snapToGrid/>
        <w:spacing w:line="360" w:lineRule="auto"/>
        <w:textAlignment w:val="auto"/>
      </w:pPr>
      <w:r>
        <w:t>5</w:t>
      </w:r>
      <w:r>
        <w:rPr>
          <w:rFonts w:hint="eastAsia"/>
        </w:rPr>
        <w:t>．开标</w:t>
      </w:r>
    </w:p>
    <w:p>
      <w:pPr>
        <w:keepNext w:val="0"/>
        <w:keepLines w:val="0"/>
        <w:pageBreakBefore w:val="0"/>
        <w:widowControl w:val="0"/>
        <w:kinsoku/>
        <w:wordWrap/>
        <w:overflowPunct/>
        <w:topLinePunct w:val="0"/>
        <w:bidi w:val="0"/>
        <w:snapToGrid/>
        <w:spacing w:line="360" w:lineRule="auto"/>
        <w:textAlignment w:val="auto"/>
      </w:pPr>
      <w:r>
        <w:t xml:space="preserve">6 </w:t>
      </w:r>
      <w:r>
        <w:rPr>
          <w:rFonts w:hint="eastAsia"/>
        </w:rPr>
        <w:t>评标</w:t>
      </w:r>
    </w:p>
    <w:p>
      <w:pPr>
        <w:keepNext w:val="0"/>
        <w:keepLines w:val="0"/>
        <w:pageBreakBefore w:val="0"/>
        <w:widowControl w:val="0"/>
        <w:kinsoku/>
        <w:wordWrap/>
        <w:overflowPunct/>
        <w:topLinePunct w:val="0"/>
        <w:bidi w:val="0"/>
        <w:snapToGrid/>
        <w:spacing w:line="360" w:lineRule="auto"/>
        <w:textAlignment w:val="auto"/>
      </w:pPr>
      <w:r>
        <w:t xml:space="preserve">7 </w:t>
      </w:r>
      <w:r>
        <w:rPr>
          <w:rFonts w:hint="eastAsia"/>
        </w:rPr>
        <w:t>合同授予</w:t>
      </w:r>
    </w:p>
    <w:p>
      <w:pPr>
        <w:keepNext w:val="0"/>
        <w:keepLines w:val="0"/>
        <w:pageBreakBefore w:val="0"/>
        <w:widowControl w:val="0"/>
        <w:kinsoku/>
        <w:wordWrap/>
        <w:overflowPunct/>
        <w:topLinePunct w:val="0"/>
        <w:bidi w:val="0"/>
        <w:snapToGrid/>
        <w:spacing w:line="360" w:lineRule="auto"/>
        <w:textAlignment w:val="auto"/>
      </w:pPr>
      <w:r>
        <w:t xml:space="preserve">8 </w:t>
      </w:r>
      <w:r>
        <w:rPr>
          <w:rFonts w:hint="eastAsia"/>
        </w:rPr>
        <w:t>重新招标和不再招标</w:t>
      </w:r>
    </w:p>
    <w:p>
      <w:pPr>
        <w:keepNext w:val="0"/>
        <w:keepLines w:val="0"/>
        <w:pageBreakBefore w:val="0"/>
        <w:widowControl w:val="0"/>
        <w:kinsoku/>
        <w:wordWrap/>
        <w:overflowPunct/>
        <w:topLinePunct w:val="0"/>
        <w:bidi w:val="0"/>
        <w:snapToGrid/>
        <w:spacing w:line="360" w:lineRule="auto"/>
        <w:textAlignment w:val="auto"/>
      </w:pPr>
      <w:r>
        <w:t xml:space="preserve">9 </w:t>
      </w:r>
      <w:r>
        <w:rPr>
          <w:rFonts w:hint="eastAsia"/>
        </w:rPr>
        <w:t>纪律和监督</w:t>
      </w:r>
    </w:p>
    <w:p>
      <w:pPr>
        <w:keepNext w:val="0"/>
        <w:keepLines w:val="0"/>
        <w:pageBreakBefore w:val="0"/>
        <w:widowControl w:val="0"/>
        <w:kinsoku/>
        <w:wordWrap/>
        <w:overflowPunct/>
        <w:topLinePunct w:val="0"/>
        <w:bidi w:val="0"/>
        <w:snapToGrid/>
        <w:spacing w:line="360" w:lineRule="auto"/>
        <w:textAlignment w:val="auto"/>
      </w:pPr>
      <w:r>
        <w:t xml:space="preserve">10 </w:t>
      </w:r>
      <w:r>
        <w:rPr>
          <w:rFonts w:hint="eastAsia"/>
        </w:rPr>
        <w:t>需要补充的其他内容</w:t>
      </w:r>
    </w:p>
    <w:p>
      <w:pPr>
        <w:keepNext w:val="0"/>
        <w:keepLines w:val="0"/>
        <w:pageBreakBefore w:val="0"/>
        <w:widowControl w:val="0"/>
        <w:kinsoku/>
        <w:wordWrap/>
        <w:overflowPunct/>
        <w:topLinePunct w:val="0"/>
        <w:bidi w:val="0"/>
        <w:snapToGrid/>
        <w:spacing w:line="360" w:lineRule="auto"/>
        <w:textAlignment w:val="auto"/>
        <w:rPr>
          <w:b/>
        </w:rPr>
      </w:pPr>
      <w:r>
        <w:rPr>
          <w:rFonts w:hint="eastAsia"/>
          <w:b/>
        </w:rPr>
        <w:t>第三章评标办法（经评审的最低投标价法）</w:t>
      </w:r>
    </w:p>
    <w:p>
      <w:pPr>
        <w:keepNext w:val="0"/>
        <w:keepLines w:val="0"/>
        <w:pageBreakBefore w:val="0"/>
        <w:widowControl w:val="0"/>
        <w:kinsoku/>
        <w:wordWrap/>
        <w:overflowPunct/>
        <w:topLinePunct w:val="0"/>
        <w:bidi w:val="0"/>
        <w:snapToGrid/>
        <w:spacing w:line="360" w:lineRule="auto"/>
        <w:textAlignment w:val="auto"/>
      </w:pPr>
      <w:r>
        <w:rPr>
          <w:rFonts w:hint="eastAsia"/>
        </w:rPr>
        <w:t>评标办法前附表</w:t>
      </w:r>
    </w:p>
    <w:p>
      <w:pPr>
        <w:keepNext w:val="0"/>
        <w:keepLines w:val="0"/>
        <w:pageBreakBefore w:val="0"/>
        <w:widowControl w:val="0"/>
        <w:kinsoku/>
        <w:wordWrap/>
        <w:overflowPunct/>
        <w:topLinePunct w:val="0"/>
        <w:bidi w:val="0"/>
        <w:snapToGrid/>
        <w:spacing w:line="360" w:lineRule="auto"/>
        <w:textAlignment w:val="auto"/>
      </w:pPr>
      <w:r>
        <w:rPr>
          <w:rFonts w:hint="eastAsia"/>
        </w:rPr>
        <w:t>评标办法（经评审的最低投标价法）正文部分</w:t>
      </w:r>
    </w:p>
    <w:p>
      <w:pPr>
        <w:keepNext w:val="0"/>
        <w:keepLines w:val="0"/>
        <w:pageBreakBefore w:val="0"/>
        <w:widowControl w:val="0"/>
        <w:kinsoku/>
        <w:wordWrap/>
        <w:overflowPunct/>
        <w:topLinePunct w:val="0"/>
        <w:bidi w:val="0"/>
        <w:snapToGrid/>
        <w:spacing w:line="360" w:lineRule="auto"/>
        <w:textAlignment w:val="auto"/>
      </w:pPr>
      <w:r>
        <w:rPr>
          <w:rFonts w:hint="eastAsia"/>
        </w:rPr>
        <w:t>附件</w:t>
      </w:r>
      <w:r>
        <w:t>A:</w:t>
      </w:r>
      <w:r>
        <w:rPr>
          <w:rFonts w:hint="eastAsia"/>
        </w:rPr>
        <w:t>评标详细程序</w:t>
      </w:r>
    </w:p>
    <w:p>
      <w:pPr>
        <w:keepNext w:val="0"/>
        <w:keepLines w:val="0"/>
        <w:pageBreakBefore w:val="0"/>
        <w:widowControl w:val="0"/>
        <w:kinsoku/>
        <w:wordWrap/>
        <w:overflowPunct/>
        <w:topLinePunct w:val="0"/>
        <w:bidi w:val="0"/>
        <w:snapToGrid/>
        <w:spacing w:line="360" w:lineRule="auto"/>
        <w:textAlignment w:val="auto"/>
      </w:pPr>
      <w:r>
        <w:rPr>
          <w:rFonts w:hint="eastAsia"/>
        </w:rPr>
        <w:t>附件</w:t>
      </w:r>
      <w:r>
        <w:t>B</w:t>
      </w:r>
      <w:r>
        <w:rPr>
          <w:rFonts w:hint="eastAsia"/>
        </w:rPr>
        <w:t>否决投标条件</w:t>
      </w:r>
    </w:p>
    <w:p>
      <w:pPr>
        <w:keepNext w:val="0"/>
        <w:keepLines w:val="0"/>
        <w:pageBreakBefore w:val="0"/>
        <w:widowControl w:val="0"/>
        <w:kinsoku/>
        <w:wordWrap/>
        <w:overflowPunct/>
        <w:topLinePunct w:val="0"/>
        <w:bidi w:val="0"/>
        <w:snapToGrid/>
        <w:spacing w:line="360" w:lineRule="auto"/>
        <w:textAlignment w:val="auto"/>
      </w:pPr>
      <w:r>
        <w:rPr>
          <w:rFonts w:hint="eastAsia"/>
        </w:rPr>
        <w:t>附件</w:t>
      </w:r>
      <w:r>
        <w:t>C</w:t>
      </w:r>
      <w:r>
        <w:rPr>
          <w:rFonts w:hint="eastAsia"/>
        </w:rPr>
        <w:t>投标人成本评审办法</w:t>
      </w:r>
    </w:p>
    <w:p>
      <w:pPr>
        <w:keepNext w:val="0"/>
        <w:keepLines w:val="0"/>
        <w:pageBreakBefore w:val="0"/>
        <w:widowControl w:val="0"/>
        <w:kinsoku/>
        <w:wordWrap/>
        <w:overflowPunct/>
        <w:topLinePunct w:val="0"/>
        <w:bidi w:val="0"/>
        <w:snapToGrid/>
        <w:spacing w:line="360" w:lineRule="auto"/>
        <w:textAlignment w:val="auto"/>
        <w:rPr>
          <w:b/>
        </w:rPr>
      </w:pPr>
      <w:r>
        <w:rPr>
          <w:rFonts w:hint="eastAsia"/>
          <w:b/>
        </w:rPr>
        <w:t>第四章合同条款及格式</w:t>
      </w:r>
    </w:p>
    <w:p>
      <w:pPr>
        <w:keepNext w:val="0"/>
        <w:keepLines w:val="0"/>
        <w:pageBreakBefore w:val="0"/>
        <w:widowControl w:val="0"/>
        <w:kinsoku/>
        <w:wordWrap/>
        <w:overflowPunct/>
        <w:topLinePunct w:val="0"/>
        <w:bidi w:val="0"/>
        <w:snapToGrid/>
        <w:spacing w:line="360" w:lineRule="auto"/>
        <w:textAlignment w:val="auto"/>
      </w:pPr>
      <w:r>
        <w:rPr>
          <w:rFonts w:hint="eastAsia"/>
        </w:rPr>
        <w:t>通用合同条款</w:t>
      </w:r>
    </w:p>
    <w:p>
      <w:pPr>
        <w:keepNext w:val="0"/>
        <w:keepLines w:val="0"/>
        <w:pageBreakBefore w:val="0"/>
        <w:widowControl w:val="0"/>
        <w:kinsoku/>
        <w:wordWrap/>
        <w:overflowPunct/>
        <w:topLinePunct w:val="0"/>
        <w:bidi w:val="0"/>
        <w:snapToGrid/>
        <w:spacing w:line="360" w:lineRule="auto"/>
        <w:textAlignment w:val="auto"/>
      </w:pPr>
      <w:r>
        <w:rPr>
          <w:rFonts w:hint="eastAsia"/>
        </w:rPr>
        <w:t>专用合同条款</w:t>
      </w:r>
    </w:p>
    <w:p>
      <w:pPr>
        <w:keepNext w:val="0"/>
        <w:keepLines w:val="0"/>
        <w:pageBreakBefore w:val="0"/>
        <w:widowControl w:val="0"/>
        <w:kinsoku/>
        <w:wordWrap/>
        <w:overflowPunct/>
        <w:topLinePunct w:val="0"/>
        <w:bidi w:val="0"/>
        <w:snapToGrid/>
        <w:spacing w:line="360" w:lineRule="auto"/>
        <w:textAlignment w:val="auto"/>
        <w:rPr>
          <w:b/>
        </w:rPr>
      </w:pPr>
      <w:r>
        <w:rPr>
          <w:rFonts w:hint="eastAsia"/>
          <w:b/>
        </w:rPr>
        <w:t>第五章工程量清单</w:t>
      </w:r>
    </w:p>
    <w:p>
      <w:pPr>
        <w:keepNext w:val="0"/>
        <w:keepLines w:val="0"/>
        <w:pageBreakBefore w:val="0"/>
        <w:widowControl w:val="0"/>
        <w:kinsoku/>
        <w:wordWrap/>
        <w:overflowPunct/>
        <w:topLinePunct w:val="0"/>
        <w:bidi w:val="0"/>
        <w:snapToGrid/>
        <w:spacing w:line="360" w:lineRule="auto"/>
        <w:textAlignment w:val="auto"/>
        <w:rPr>
          <w:b/>
        </w:rPr>
      </w:pPr>
      <w:r>
        <w:rPr>
          <w:rFonts w:hint="eastAsia"/>
          <w:b/>
        </w:rPr>
        <w:t>第六章图纸</w:t>
      </w:r>
    </w:p>
    <w:p>
      <w:pPr>
        <w:keepNext w:val="0"/>
        <w:keepLines w:val="0"/>
        <w:pageBreakBefore w:val="0"/>
        <w:widowControl w:val="0"/>
        <w:kinsoku/>
        <w:wordWrap/>
        <w:overflowPunct/>
        <w:topLinePunct w:val="0"/>
        <w:bidi w:val="0"/>
        <w:snapToGrid/>
        <w:spacing w:line="360" w:lineRule="auto"/>
        <w:textAlignment w:val="auto"/>
        <w:rPr>
          <w:b/>
        </w:rPr>
      </w:pPr>
      <w:r>
        <w:rPr>
          <w:rFonts w:hint="eastAsia"/>
          <w:b/>
        </w:rPr>
        <w:t>第七章技术标准和要求</w:t>
      </w:r>
    </w:p>
    <w:p>
      <w:pPr>
        <w:keepNext w:val="0"/>
        <w:keepLines w:val="0"/>
        <w:pageBreakBefore w:val="0"/>
        <w:widowControl w:val="0"/>
        <w:kinsoku/>
        <w:wordWrap/>
        <w:overflowPunct/>
        <w:topLinePunct w:val="0"/>
        <w:bidi w:val="0"/>
        <w:snapToGrid/>
        <w:spacing w:line="360" w:lineRule="auto"/>
        <w:textAlignment w:val="auto"/>
        <w:rPr>
          <w:b/>
        </w:rPr>
      </w:pPr>
      <w:r>
        <w:rPr>
          <w:rFonts w:hint="eastAsia"/>
          <w:b/>
        </w:rPr>
        <w:t>第八章投标文件格式</w:t>
      </w:r>
    </w:p>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ascii="黑体" w:eastAsia="黑体" w:cs="黑体"/>
          <w:kern w:val="0"/>
          <w:sz w:val="24"/>
        </w:rPr>
      </w:pPr>
    </w:p>
    <w:p>
      <w:pPr>
        <w:autoSpaceDE w:val="0"/>
        <w:autoSpaceDN w:val="0"/>
        <w:adjustRightInd w:val="0"/>
        <w:jc w:val="center"/>
        <w:rPr>
          <w:rFonts w:ascii="黑体" w:eastAsia="黑体" w:cs="黑体"/>
          <w:kern w:val="0"/>
          <w:sz w:val="24"/>
        </w:rPr>
      </w:pPr>
    </w:p>
    <w:p>
      <w:pPr>
        <w:autoSpaceDE w:val="0"/>
        <w:autoSpaceDN w:val="0"/>
        <w:adjustRightInd w:val="0"/>
        <w:jc w:val="center"/>
        <w:rPr>
          <w:rFonts w:ascii="黑体" w:eastAsia="黑体" w:cs="黑体"/>
          <w:kern w:val="0"/>
          <w:sz w:val="24"/>
        </w:rPr>
      </w:pPr>
    </w:p>
    <w:p>
      <w:pPr>
        <w:autoSpaceDE w:val="0"/>
        <w:autoSpaceDN w:val="0"/>
        <w:adjustRightInd w:val="0"/>
        <w:jc w:val="center"/>
        <w:rPr>
          <w:rFonts w:ascii="黑体" w:eastAsia="黑体" w:cs="黑体"/>
          <w:kern w:val="0"/>
          <w:sz w:val="24"/>
        </w:rPr>
      </w:pPr>
    </w:p>
    <w:p>
      <w:pPr>
        <w:autoSpaceDE w:val="0"/>
        <w:autoSpaceDN w:val="0"/>
        <w:adjustRightInd w:val="0"/>
        <w:jc w:val="center"/>
        <w:rPr>
          <w:rFonts w:ascii="黑体" w:eastAsia="黑体" w:cs="黑体"/>
          <w:kern w:val="0"/>
          <w:sz w:val="24"/>
        </w:rPr>
      </w:pPr>
    </w:p>
    <w:p>
      <w:pPr>
        <w:autoSpaceDE w:val="0"/>
        <w:autoSpaceDN w:val="0"/>
        <w:adjustRightInd w:val="0"/>
        <w:jc w:val="center"/>
        <w:rPr>
          <w:rFonts w:ascii="黑体" w:eastAsia="黑体" w:cs="黑体"/>
          <w:kern w:val="0"/>
          <w:sz w:val="24"/>
        </w:rPr>
      </w:pPr>
    </w:p>
    <w:p>
      <w:pPr>
        <w:autoSpaceDE w:val="0"/>
        <w:autoSpaceDN w:val="0"/>
        <w:adjustRightInd w:val="0"/>
        <w:jc w:val="center"/>
        <w:rPr>
          <w:rFonts w:ascii="黑体" w:eastAsia="黑体" w:cs="黑体"/>
          <w:kern w:val="0"/>
          <w:sz w:val="24"/>
        </w:rPr>
      </w:pPr>
    </w:p>
    <w:p>
      <w:pPr>
        <w:pStyle w:val="4"/>
        <w:pageBreakBefore/>
        <w:rPr>
          <w:rFonts w:hint="default" w:ascii="宋体" w:hAnsi="宋体" w:eastAsia="宋体" w:cs="宋体"/>
          <w:lang w:val="en-US" w:eastAsia="zh-CN"/>
        </w:rPr>
      </w:pPr>
      <w:bookmarkStart w:id="0" w:name="_Toc179632535"/>
      <w:bookmarkStart w:id="1" w:name="_Toc241484501"/>
      <w:bookmarkStart w:id="2" w:name="_Toc144974486"/>
      <w:bookmarkStart w:id="3" w:name="_Toc152045518"/>
      <w:bookmarkStart w:id="4" w:name="_Toc152042294"/>
      <w:bookmarkStart w:id="5" w:name="_Toc263239393"/>
      <w:bookmarkStart w:id="6" w:name="_Toc241459604"/>
      <w:bookmarkStart w:id="7" w:name="_Toc275956087"/>
      <w:bookmarkStart w:id="8" w:name="_Toc266951027"/>
      <w:r>
        <w:rPr>
          <w:rFonts w:hint="eastAsia" w:ascii="宋体" w:hAnsi="宋体" w:eastAsia="宋体" w:cs="宋体"/>
        </w:rPr>
        <w:t>第一章</w:t>
      </w:r>
      <w:bookmarkEnd w:id="0"/>
      <w:bookmarkEnd w:id="1"/>
      <w:bookmarkEnd w:id="2"/>
      <w:bookmarkEnd w:id="3"/>
      <w:bookmarkEnd w:id="4"/>
      <w:bookmarkEnd w:id="5"/>
      <w:bookmarkEnd w:id="6"/>
      <w:bookmarkEnd w:id="7"/>
      <w:bookmarkEnd w:id="8"/>
      <w:r>
        <w:rPr>
          <w:rFonts w:hint="eastAsia" w:ascii="宋体" w:hAnsi="宋体" w:eastAsia="宋体" w:cs="宋体"/>
          <w:lang w:val="en-US" w:eastAsia="zh-CN"/>
        </w:rPr>
        <w:t xml:space="preserve"> 招标公告</w:t>
      </w:r>
    </w:p>
    <w:p>
      <w:pPr>
        <w:pStyle w:val="5"/>
        <w:pageBreakBefore w:val="0"/>
        <w:kinsoku/>
        <w:wordWrap/>
        <w:overflowPunct/>
        <w:autoSpaceDE/>
        <w:autoSpaceDN/>
        <w:bidi w:val="0"/>
        <w:adjustRightInd/>
        <w:snapToGrid/>
        <w:spacing w:before="0" w:after="0" w:line="360" w:lineRule="auto"/>
        <w:textAlignment w:val="auto"/>
        <w:rPr>
          <w:rFonts w:ascii="宋体" w:hAnsi="宋体" w:eastAsia="宋体" w:cs="宋体"/>
        </w:rPr>
      </w:pPr>
      <w:bookmarkStart w:id="9" w:name="_Toc152045519"/>
      <w:bookmarkStart w:id="10" w:name="_Toc241459605"/>
      <w:bookmarkStart w:id="11" w:name="_Toc263239394"/>
      <w:bookmarkStart w:id="12" w:name="_Toc144974487"/>
      <w:bookmarkStart w:id="13" w:name="_Toc152042295"/>
      <w:bookmarkStart w:id="14" w:name="_Toc179632536"/>
      <w:bookmarkStart w:id="15" w:name="_Toc275956088"/>
      <w:bookmarkStart w:id="16" w:name="_Toc266951028"/>
      <w:bookmarkStart w:id="17" w:name="_Toc241484502"/>
      <w:r>
        <w:rPr>
          <w:rFonts w:hint="eastAsia" w:ascii="宋体" w:hAnsi="宋体" w:eastAsia="宋体" w:cs="宋体"/>
        </w:rPr>
        <w:t>1. 招标条件</w:t>
      </w:r>
      <w:bookmarkEnd w:id="9"/>
      <w:bookmarkEnd w:id="10"/>
      <w:bookmarkEnd w:id="11"/>
      <w:bookmarkEnd w:id="12"/>
      <w:bookmarkEnd w:id="13"/>
      <w:bookmarkEnd w:id="14"/>
      <w:bookmarkEnd w:id="15"/>
      <w:bookmarkEnd w:id="16"/>
      <w:bookmarkEnd w:id="17"/>
    </w:p>
    <w:p>
      <w:pPr>
        <w:pageBreakBefore w:val="0"/>
        <w:kinsoku/>
        <w:wordWrap/>
        <w:overflowPunct/>
        <w:autoSpaceDE/>
        <w:autoSpaceDN/>
        <w:bidi w:val="0"/>
        <w:adjustRightInd/>
        <w:snapToGrid/>
        <w:spacing w:after="120" w:afterLines="50" w:line="360" w:lineRule="auto"/>
        <w:ind w:firstLine="420" w:firstLineChars="200"/>
        <w:textAlignment w:val="auto"/>
        <w:rPr>
          <w:rFonts w:ascii="宋体" w:hAnsi="宋体" w:cs="宋体"/>
          <w:szCs w:val="21"/>
        </w:rPr>
      </w:pPr>
      <w:r>
        <w:rPr>
          <w:rFonts w:hint="eastAsia" w:ascii="宋体" w:hAnsi="宋体" w:cs="宋体"/>
          <w:szCs w:val="21"/>
        </w:rPr>
        <w:t>本招标项目</w:t>
      </w:r>
      <w:r>
        <w:rPr>
          <w:rFonts w:hint="eastAsia" w:ascii="宋体" w:hAnsi="宋体" w:cs="宋体"/>
          <w:szCs w:val="21"/>
          <w:u w:val="single"/>
          <w:lang w:eastAsia="zh-CN"/>
        </w:rPr>
        <w:t>数字媒体实训中心改造工程</w:t>
      </w:r>
      <w:r>
        <w:rPr>
          <w:rFonts w:hint="eastAsia" w:ascii="宋体" w:hAnsi="宋体" w:cs="宋体"/>
          <w:szCs w:val="21"/>
          <w:u w:val="single"/>
        </w:rPr>
        <w:t xml:space="preserve"> </w:t>
      </w:r>
      <w:r>
        <w:rPr>
          <w:rFonts w:hint="eastAsia" w:ascii="宋体" w:hAnsi="宋体" w:cs="宋体"/>
          <w:szCs w:val="21"/>
        </w:rPr>
        <w:t>已批准建设，项目业主为</w:t>
      </w:r>
      <w:r>
        <w:rPr>
          <w:rFonts w:hint="eastAsia" w:ascii="宋体" w:hAnsi="宋体" w:cs="宋体"/>
          <w:szCs w:val="21"/>
          <w:u w:val="single"/>
        </w:rPr>
        <w:t xml:space="preserve"> </w:t>
      </w:r>
      <w:r>
        <w:rPr>
          <w:rFonts w:hint="eastAsia" w:ascii="宋体" w:hAnsi="宋体" w:cs="Arial"/>
          <w:szCs w:val="21"/>
          <w:u w:val="single"/>
          <w:lang w:eastAsia="zh-CN"/>
        </w:rPr>
        <w:t>泰州职业技术学院</w:t>
      </w:r>
      <w:r>
        <w:rPr>
          <w:rFonts w:hint="eastAsia" w:ascii="宋体" w:hAnsi="宋体" w:cs="宋体"/>
          <w:szCs w:val="21"/>
        </w:rPr>
        <w:t>。工程建设资金来自</w:t>
      </w:r>
      <w:r>
        <w:rPr>
          <w:rFonts w:hint="eastAsia" w:ascii="宋体" w:hAnsi="宋体" w:cs="宋体"/>
          <w:szCs w:val="21"/>
          <w:u w:val="single"/>
        </w:rPr>
        <w:t xml:space="preserve"> 自筹 </w:t>
      </w:r>
      <w:r>
        <w:rPr>
          <w:rFonts w:hint="eastAsia" w:ascii="宋体" w:hAnsi="宋体" w:cs="宋体"/>
          <w:szCs w:val="21"/>
        </w:rPr>
        <w:t>，项目出资比例为</w:t>
      </w:r>
      <w:r>
        <w:rPr>
          <w:rFonts w:hint="eastAsia" w:ascii="宋体" w:hAnsi="宋体" w:cs="宋体"/>
          <w:szCs w:val="21"/>
          <w:u w:val="single"/>
        </w:rPr>
        <w:t xml:space="preserve"> 100% </w:t>
      </w:r>
      <w:r>
        <w:rPr>
          <w:rFonts w:hint="eastAsia" w:ascii="宋体" w:hAnsi="宋体" w:cs="宋体"/>
          <w:szCs w:val="21"/>
        </w:rPr>
        <w:t>，招标项目已具备招标条件，现邀请你单位参加本项目的投标。</w:t>
      </w:r>
    </w:p>
    <w:p>
      <w:pPr>
        <w:pStyle w:val="5"/>
        <w:pageBreakBefore w:val="0"/>
        <w:kinsoku/>
        <w:wordWrap/>
        <w:overflowPunct/>
        <w:autoSpaceDE/>
        <w:autoSpaceDN/>
        <w:bidi w:val="0"/>
        <w:adjustRightInd/>
        <w:snapToGrid/>
        <w:spacing w:before="0" w:after="0" w:line="360" w:lineRule="auto"/>
        <w:textAlignment w:val="auto"/>
        <w:rPr>
          <w:rFonts w:ascii="宋体" w:hAnsi="宋体" w:eastAsia="宋体" w:cs="宋体"/>
        </w:rPr>
      </w:pPr>
      <w:bookmarkStart w:id="18" w:name="_Toc144974488"/>
      <w:bookmarkStart w:id="19" w:name="_Toc152045520"/>
      <w:bookmarkStart w:id="20" w:name="_Toc263239395"/>
      <w:bookmarkStart w:id="21" w:name="_Toc241484503"/>
      <w:bookmarkStart w:id="22" w:name="_Toc275956089"/>
      <w:bookmarkStart w:id="23" w:name="_Toc179632537"/>
      <w:bookmarkStart w:id="24" w:name="_Toc266951029"/>
      <w:bookmarkStart w:id="25" w:name="_Toc152042296"/>
      <w:bookmarkStart w:id="26" w:name="_Toc241459606"/>
      <w:r>
        <w:rPr>
          <w:rFonts w:hint="eastAsia" w:ascii="宋体" w:hAnsi="宋体" w:eastAsia="宋体" w:cs="宋体"/>
        </w:rPr>
        <w:t>2. 项目概况与招标范围</w:t>
      </w:r>
      <w:bookmarkEnd w:id="18"/>
      <w:bookmarkEnd w:id="19"/>
      <w:bookmarkEnd w:id="20"/>
      <w:bookmarkEnd w:id="21"/>
      <w:bookmarkEnd w:id="22"/>
      <w:bookmarkEnd w:id="23"/>
      <w:bookmarkEnd w:id="24"/>
      <w:bookmarkEnd w:id="25"/>
      <w:bookmarkEnd w:id="26"/>
    </w:p>
    <w:p>
      <w:pPr>
        <w:pStyle w:val="27"/>
        <w:pageBreakBefore w:val="0"/>
        <w:kinsoku/>
        <w:wordWrap/>
        <w:overflowPunct/>
        <w:autoSpaceDE/>
        <w:autoSpaceDN/>
        <w:bidi w:val="0"/>
        <w:adjustRightInd/>
        <w:snapToGrid/>
        <w:spacing w:line="360" w:lineRule="auto"/>
        <w:textAlignment w:val="auto"/>
        <w:rPr>
          <w:rFonts w:ascii="宋体" w:hAnsi="宋体" w:cs="Arial"/>
          <w:szCs w:val="21"/>
          <w:u w:val="single"/>
        </w:rPr>
      </w:pPr>
      <w:r>
        <w:rPr>
          <w:rFonts w:hint="eastAsia" w:ascii="宋体" w:hAnsi="宋体" w:cs="Arial"/>
          <w:szCs w:val="21"/>
          <w:u w:val="single"/>
        </w:rPr>
        <w:t>本次招标主要内容为</w:t>
      </w:r>
      <w:r>
        <w:rPr>
          <w:rFonts w:hint="eastAsia" w:ascii="宋体" w:hAnsi="宋体" w:cs="宋体"/>
          <w:szCs w:val="21"/>
          <w:u w:val="single"/>
          <w:lang w:eastAsia="zh-CN"/>
        </w:rPr>
        <w:t>数字媒体实训中心改造工程</w:t>
      </w:r>
      <w:r>
        <w:rPr>
          <w:rFonts w:hint="eastAsia" w:ascii="宋体" w:hAnsi="宋体" w:cs="Arial"/>
          <w:szCs w:val="21"/>
          <w:u w:val="single"/>
        </w:rPr>
        <w:t>，包括</w:t>
      </w:r>
      <w:bookmarkStart w:id="323" w:name="_GoBack"/>
      <w:bookmarkEnd w:id="323"/>
      <w:r>
        <w:rPr>
          <w:rFonts w:hint="eastAsia" w:ascii="宋体" w:hAnsi="宋体" w:cs="Arial"/>
          <w:szCs w:val="21"/>
          <w:u w:val="single"/>
        </w:rPr>
        <w:t>工程量清单中载明的全部内容</w:t>
      </w:r>
      <w:r>
        <w:rPr>
          <w:rFonts w:hint="eastAsia" w:ascii="宋体" w:hAnsi="宋体" w:cs="宋体"/>
          <w:color w:val="333333"/>
          <w:kern w:val="0"/>
          <w:sz w:val="24"/>
          <w:lang w:bidi="ar"/>
        </w:rPr>
        <w:t>。</w:t>
      </w:r>
      <w:r>
        <w:rPr>
          <w:rFonts w:hint="eastAsia" w:ascii="宋体" w:hAnsi="宋体" w:cs="Arial"/>
          <w:szCs w:val="21"/>
          <w:u w:val="single"/>
        </w:rPr>
        <w:t>本项目合同估算价约</w:t>
      </w:r>
      <w:r>
        <w:rPr>
          <w:rFonts w:hint="eastAsia" w:ascii="宋体" w:hAnsi="宋体" w:cs="Arial"/>
          <w:color w:val="auto"/>
          <w:szCs w:val="21"/>
          <w:u w:val="single"/>
          <w:lang w:val="en-US" w:eastAsia="zh-CN"/>
        </w:rPr>
        <w:t>54.999184万</w:t>
      </w:r>
      <w:r>
        <w:rPr>
          <w:rFonts w:hint="eastAsia" w:ascii="宋体" w:hAnsi="宋体" w:cs="Arial"/>
          <w:color w:val="auto"/>
          <w:szCs w:val="21"/>
          <w:u w:val="single"/>
        </w:rPr>
        <w:t>元</w:t>
      </w:r>
      <w:r>
        <w:rPr>
          <w:rFonts w:hint="eastAsia" w:ascii="宋体" w:hAnsi="宋体" w:cs="Arial"/>
          <w:szCs w:val="21"/>
          <w:u w:val="single"/>
        </w:rPr>
        <w:t>，为一个标段招标。</w:t>
      </w:r>
    </w:p>
    <w:p>
      <w:pPr>
        <w:pStyle w:val="5"/>
        <w:pageBreakBefore w:val="0"/>
        <w:kinsoku/>
        <w:wordWrap/>
        <w:overflowPunct/>
        <w:autoSpaceDE/>
        <w:autoSpaceDN/>
        <w:bidi w:val="0"/>
        <w:adjustRightInd/>
        <w:snapToGrid/>
        <w:spacing w:before="0" w:after="0" w:line="360" w:lineRule="auto"/>
        <w:textAlignment w:val="auto"/>
        <w:rPr>
          <w:rFonts w:ascii="宋体" w:hAnsi="宋体" w:eastAsia="宋体" w:cs="宋体"/>
        </w:rPr>
      </w:pPr>
      <w:bookmarkStart w:id="27" w:name="_Toc275956090"/>
      <w:bookmarkStart w:id="28" w:name="_Toc152042297"/>
      <w:bookmarkStart w:id="29" w:name="_Toc241484504"/>
      <w:bookmarkStart w:id="30" w:name="_Toc179632538"/>
      <w:bookmarkStart w:id="31" w:name="_Toc263239396"/>
      <w:bookmarkStart w:id="32" w:name="_Toc152045521"/>
      <w:bookmarkStart w:id="33" w:name="_Toc144974489"/>
      <w:bookmarkStart w:id="34" w:name="_Toc241459607"/>
      <w:bookmarkStart w:id="35" w:name="_Toc266951030"/>
      <w:r>
        <w:rPr>
          <w:rFonts w:hint="eastAsia" w:ascii="宋体" w:hAnsi="宋体" w:eastAsia="宋体" w:cs="宋体"/>
        </w:rPr>
        <w:t>3. 投标人资格要求</w:t>
      </w:r>
      <w:bookmarkEnd w:id="27"/>
      <w:bookmarkEnd w:id="28"/>
      <w:bookmarkEnd w:id="29"/>
      <w:bookmarkEnd w:id="30"/>
      <w:bookmarkEnd w:id="31"/>
      <w:bookmarkEnd w:id="32"/>
      <w:bookmarkEnd w:id="33"/>
      <w:bookmarkEnd w:id="34"/>
      <w:bookmarkEnd w:id="35"/>
    </w:p>
    <w:p>
      <w:pPr>
        <w:pageBreakBefore w:val="0"/>
        <w:kinsoku/>
        <w:wordWrap/>
        <w:overflowPunct/>
        <w:autoSpaceDE/>
        <w:autoSpaceDN/>
        <w:bidi w:val="0"/>
        <w:adjustRightInd/>
        <w:snapToGrid/>
        <w:spacing w:line="360" w:lineRule="auto"/>
        <w:ind w:firstLine="420" w:firstLineChars="200"/>
        <w:textAlignment w:val="auto"/>
        <w:rPr>
          <w:rFonts w:hint="default" w:ascii="宋体" w:hAnsi="宋体" w:eastAsia="宋体" w:cs="宋体"/>
          <w:szCs w:val="21"/>
          <w:lang w:val="en-US" w:eastAsia="zh-CN"/>
        </w:rPr>
      </w:pPr>
      <w:r>
        <w:rPr>
          <w:rFonts w:hint="eastAsia" w:ascii="宋体" w:hAnsi="宋体" w:cs="宋体"/>
          <w:szCs w:val="21"/>
        </w:rPr>
        <w:t xml:space="preserve">3.1 </w:t>
      </w:r>
      <w:r>
        <w:rPr>
          <w:rFonts w:hint="eastAsia" w:ascii="宋体" w:hAnsi="宋体" w:cs="宋体"/>
          <w:szCs w:val="21"/>
          <w:lang w:val="en-US" w:eastAsia="zh-CN"/>
        </w:rPr>
        <w:t>投标人具备独立法人资格，具有有效的营业执照；</w:t>
      </w:r>
    </w:p>
    <w:p>
      <w:pPr>
        <w:pageBreakBefore w:val="0"/>
        <w:kinsoku/>
        <w:wordWrap/>
        <w:overflowPunct/>
        <w:autoSpaceDE/>
        <w:autoSpaceDN/>
        <w:bidi w:val="0"/>
        <w:adjustRightInd/>
        <w:snapToGrid/>
        <w:spacing w:line="360" w:lineRule="auto"/>
        <w:ind w:firstLine="420" w:firstLineChars="200"/>
        <w:textAlignment w:val="auto"/>
        <w:rPr>
          <w:rFonts w:ascii="宋体" w:hAnsi="宋体" w:cs="宋体"/>
          <w:szCs w:val="21"/>
        </w:rPr>
      </w:pPr>
      <w:r>
        <w:rPr>
          <w:rFonts w:hint="eastAsia" w:ascii="宋体" w:hAnsi="宋体" w:cs="宋体"/>
          <w:szCs w:val="21"/>
          <w:lang w:val="en-US" w:eastAsia="zh-CN"/>
        </w:rPr>
        <w:t>3.2</w:t>
      </w:r>
      <w:r>
        <w:rPr>
          <w:rFonts w:hint="eastAsia" w:ascii="宋体" w:hAnsi="宋体" w:cs="宋体"/>
          <w:szCs w:val="21"/>
        </w:rPr>
        <w:t>本次招标要求投标人</w:t>
      </w:r>
      <w:r>
        <w:rPr>
          <w:rFonts w:hint="eastAsia" w:ascii="宋体" w:hAnsi="宋体" w:cs="宋体"/>
          <w:color w:val="auto"/>
          <w:szCs w:val="21"/>
        </w:rPr>
        <w:t>须具备</w:t>
      </w:r>
      <w:r>
        <w:rPr>
          <w:rFonts w:hint="eastAsia" w:ascii="宋体" w:hAnsi="宋体" w:cs="宋体"/>
          <w:color w:val="auto"/>
          <w:szCs w:val="21"/>
          <w:lang w:val="en-US" w:eastAsia="zh-CN"/>
        </w:rPr>
        <w:t>[建筑装饰装修</w:t>
      </w:r>
      <w:r>
        <w:rPr>
          <w:rFonts w:hint="eastAsia" w:ascii="宋体" w:hAnsi="宋体" w:cs="宋体"/>
          <w:color w:val="auto"/>
          <w:szCs w:val="21"/>
        </w:rPr>
        <w:t>工程(2015新标准)</w:t>
      </w:r>
      <w:r>
        <w:rPr>
          <w:rFonts w:hint="eastAsia" w:ascii="宋体" w:hAnsi="宋体" w:cs="宋体"/>
          <w:color w:val="auto"/>
          <w:szCs w:val="21"/>
          <w:lang w:val="en-US" w:eastAsia="zh-CN"/>
        </w:rPr>
        <w:t>二</w:t>
      </w:r>
      <w:r>
        <w:rPr>
          <w:rFonts w:hint="eastAsia" w:ascii="宋体" w:hAnsi="宋体" w:cs="宋体"/>
          <w:color w:val="auto"/>
          <w:szCs w:val="21"/>
        </w:rPr>
        <w:t>级](含)以上资质</w:t>
      </w:r>
      <w:r>
        <w:rPr>
          <w:rFonts w:hint="eastAsia" w:ascii="宋体" w:hAnsi="宋体" w:cs="宋体"/>
          <w:szCs w:val="21"/>
        </w:rPr>
        <w:t>；有企业安全生产许可证；</w:t>
      </w:r>
      <w:r>
        <w:rPr>
          <w:rFonts w:ascii="宋体" w:hAnsi="宋体" w:cs="宋体"/>
          <w:szCs w:val="21"/>
        </w:rPr>
        <w:t xml:space="preserve"> </w:t>
      </w:r>
    </w:p>
    <w:p>
      <w:pPr>
        <w:pageBreakBefore w:val="0"/>
        <w:kinsoku/>
        <w:wordWrap/>
        <w:overflowPunct/>
        <w:autoSpaceDE/>
        <w:autoSpaceDN/>
        <w:bidi w:val="0"/>
        <w:adjustRightInd/>
        <w:snapToGrid/>
        <w:spacing w:after="120" w:afterLines="50" w:line="360" w:lineRule="auto"/>
        <w:ind w:firstLine="420" w:firstLineChars="200"/>
        <w:textAlignment w:val="auto"/>
        <w:rPr>
          <w:rFonts w:ascii="宋体" w:hAnsi="宋体" w:cs="宋体"/>
          <w:szCs w:val="21"/>
        </w:rPr>
      </w:pPr>
      <w:r>
        <w:rPr>
          <w:rFonts w:hint="eastAsia" w:ascii="宋体" w:hAnsi="宋体" w:cs="宋体"/>
          <w:szCs w:val="21"/>
        </w:rPr>
        <w:t>3.</w:t>
      </w:r>
      <w:r>
        <w:rPr>
          <w:rFonts w:hint="eastAsia" w:ascii="宋体" w:hAnsi="宋体" w:cs="宋体"/>
          <w:szCs w:val="21"/>
          <w:lang w:val="en-US" w:eastAsia="zh-CN"/>
        </w:rPr>
        <w:t>3</w:t>
      </w:r>
      <w:r>
        <w:rPr>
          <w:rFonts w:hint="eastAsia" w:ascii="宋体" w:hAnsi="宋体" w:cs="宋体"/>
          <w:szCs w:val="21"/>
        </w:rPr>
        <w:t>本次招标要求投标人拟派项目经理具备[</w:t>
      </w:r>
      <w:r>
        <w:rPr>
          <w:rFonts w:hint="eastAsia" w:ascii="宋体" w:hAnsi="宋体" w:cs="宋体"/>
          <w:szCs w:val="21"/>
          <w:lang w:val="en-US" w:eastAsia="zh-CN"/>
        </w:rPr>
        <w:t>建筑</w:t>
      </w:r>
      <w:r>
        <w:rPr>
          <w:rFonts w:hint="eastAsia" w:ascii="宋体" w:hAnsi="宋体" w:cs="宋体"/>
          <w:szCs w:val="21"/>
        </w:rPr>
        <w:t>工程二级]（含）以上注册建造师执业资格，具备有效的安全生产考核合格证书。</w:t>
      </w:r>
    </w:p>
    <w:p>
      <w:pPr>
        <w:pStyle w:val="5"/>
        <w:pageBreakBefore w:val="0"/>
        <w:kinsoku/>
        <w:wordWrap/>
        <w:overflowPunct/>
        <w:autoSpaceDE/>
        <w:autoSpaceDN/>
        <w:bidi w:val="0"/>
        <w:adjustRightInd/>
        <w:snapToGrid/>
        <w:spacing w:before="0" w:after="0" w:line="360" w:lineRule="auto"/>
        <w:textAlignment w:val="auto"/>
        <w:rPr>
          <w:rFonts w:ascii="宋体" w:hAnsi="宋体" w:eastAsia="宋体" w:cs="宋体"/>
        </w:rPr>
      </w:pPr>
      <w:bookmarkStart w:id="36" w:name="_Toc179632539"/>
      <w:bookmarkStart w:id="37" w:name="_Toc241459608"/>
      <w:bookmarkStart w:id="38" w:name="_Toc152042298"/>
      <w:bookmarkStart w:id="39" w:name="_Toc144974490"/>
      <w:bookmarkStart w:id="40" w:name="_Toc275956091"/>
      <w:bookmarkStart w:id="41" w:name="_Toc263239397"/>
      <w:bookmarkStart w:id="42" w:name="_Toc266951031"/>
      <w:bookmarkStart w:id="43" w:name="_Toc241484505"/>
      <w:bookmarkStart w:id="44" w:name="_Toc152045522"/>
      <w:r>
        <w:rPr>
          <w:rFonts w:hint="eastAsia" w:ascii="宋体" w:hAnsi="宋体" w:eastAsia="宋体" w:cs="宋体"/>
        </w:rPr>
        <w:t>4. 招标文件的获取</w:t>
      </w:r>
      <w:bookmarkEnd w:id="36"/>
      <w:bookmarkEnd w:id="37"/>
      <w:bookmarkEnd w:id="38"/>
      <w:bookmarkEnd w:id="39"/>
      <w:bookmarkEnd w:id="40"/>
      <w:bookmarkEnd w:id="41"/>
      <w:bookmarkEnd w:id="42"/>
      <w:bookmarkEnd w:id="43"/>
      <w:bookmarkEnd w:id="44"/>
    </w:p>
    <w:p>
      <w:pPr>
        <w:pageBreakBefore w:val="0"/>
        <w:kinsoku/>
        <w:wordWrap/>
        <w:overflowPunct/>
        <w:autoSpaceDE/>
        <w:autoSpaceDN/>
        <w:bidi w:val="0"/>
        <w:adjustRightInd/>
        <w:snapToGrid/>
        <w:spacing w:after="120" w:afterLines="50" w:line="360" w:lineRule="auto"/>
        <w:ind w:firstLine="420" w:firstLineChars="200"/>
        <w:textAlignment w:val="auto"/>
        <w:rPr>
          <w:rFonts w:hint="default" w:ascii="宋体" w:hAnsi="宋体" w:eastAsia="宋体" w:cs="宋体"/>
          <w:szCs w:val="21"/>
          <w:lang w:val="en-US" w:eastAsia="zh-CN"/>
        </w:rPr>
      </w:pPr>
      <w:bookmarkStart w:id="45" w:name="_Toc241459609"/>
      <w:bookmarkStart w:id="46" w:name="_Toc266951032"/>
      <w:bookmarkStart w:id="47" w:name="_Toc152042299"/>
      <w:bookmarkStart w:id="48" w:name="_Toc144974491"/>
      <w:bookmarkStart w:id="49" w:name="_Toc241484506"/>
      <w:bookmarkStart w:id="50" w:name="_Toc179632540"/>
      <w:bookmarkStart w:id="51" w:name="_Toc275956093"/>
      <w:bookmarkStart w:id="52" w:name="_Toc152045523"/>
      <w:bookmarkStart w:id="53" w:name="_Toc263239398"/>
      <w:r>
        <w:rPr>
          <w:rFonts w:hint="eastAsia" w:ascii="宋体" w:hAnsi="宋体" w:cs="宋体"/>
          <w:szCs w:val="21"/>
        </w:rPr>
        <w:t>泰州职业技术学院官网</w:t>
      </w:r>
      <w:r>
        <w:rPr>
          <w:rFonts w:hint="eastAsia" w:ascii="宋体" w:hAnsi="宋体" w:cs="宋体"/>
          <w:szCs w:val="21"/>
          <w:lang w:eastAsia="zh-CN"/>
        </w:rPr>
        <w:t>（</w:t>
      </w:r>
      <w:r>
        <w:rPr>
          <w:rFonts w:hint="eastAsia" w:ascii="宋体" w:hAnsi="宋体" w:cs="宋体"/>
          <w:szCs w:val="21"/>
        </w:rPr>
        <w:t>https://www.tzpc.edu.cn</w:t>
      </w:r>
      <w:r>
        <w:rPr>
          <w:rFonts w:hint="eastAsia" w:ascii="宋体" w:hAnsi="宋体" w:cs="宋体"/>
          <w:szCs w:val="21"/>
          <w:lang w:eastAsia="zh-CN"/>
        </w:rPr>
        <w:t>）</w:t>
      </w:r>
      <w:r>
        <w:rPr>
          <w:rFonts w:hint="eastAsia" w:ascii="宋体" w:hAnsi="宋体" w:cs="宋体"/>
          <w:szCs w:val="21"/>
        </w:rPr>
        <w:t>自行下载。</w:t>
      </w:r>
      <w:r>
        <w:rPr>
          <w:rFonts w:hint="eastAsia" w:ascii="宋体" w:hAnsi="宋体" w:cs="宋体"/>
          <w:szCs w:val="21"/>
          <w:lang w:val="en-US" w:eastAsia="zh-CN"/>
        </w:rPr>
        <w:t>在2022年8月22日12时前将投标确认函发送至邮箱3317004925</w:t>
      </w:r>
      <w:r>
        <w:rPr>
          <w:rFonts w:hint="eastAsia" w:ascii="宋体" w:hAnsi="宋体" w:cs="宋体"/>
          <w:szCs w:val="21"/>
        </w:rPr>
        <w:t>@</w:t>
      </w:r>
      <w:r>
        <w:rPr>
          <w:rFonts w:hint="eastAsia" w:ascii="宋体" w:hAnsi="宋体" w:cs="宋体"/>
          <w:szCs w:val="21"/>
          <w:lang w:val="en-US" w:eastAsia="zh-CN"/>
        </w:rPr>
        <w:t>qq</w:t>
      </w:r>
      <w:r>
        <w:rPr>
          <w:rFonts w:hint="eastAsia" w:ascii="宋体" w:hAnsi="宋体" w:cs="宋体"/>
          <w:szCs w:val="21"/>
        </w:rPr>
        <w:t>.com</w:t>
      </w:r>
      <w:r>
        <w:rPr>
          <w:rFonts w:hint="eastAsia" w:ascii="宋体" w:hAnsi="宋体" w:cs="宋体"/>
          <w:szCs w:val="21"/>
          <w:lang w:eastAsia="zh-CN"/>
        </w:rPr>
        <w:t>，</w:t>
      </w:r>
      <w:r>
        <w:rPr>
          <w:rFonts w:hint="eastAsia" w:ascii="宋体" w:hAnsi="宋体" w:cs="宋体"/>
          <w:szCs w:val="21"/>
          <w:lang w:val="en-US" w:eastAsia="zh-CN"/>
        </w:rPr>
        <w:t>未在规定时间内发送确认函的，招标人有权拒绝其投标。</w:t>
      </w:r>
    </w:p>
    <w:p>
      <w:pPr>
        <w:pStyle w:val="5"/>
        <w:pageBreakBefore w:val="0"/>
        <w:kinsoku/>
        <w:wordWrap/>
        <w:overflowPunct/>
        <w:autoSpaceDE/>
        <w:autoSpaceDN/>
        <w:bidi w:val="0"/>
        <w:adjustRightInd/>
        <w:snapToGrid/>
        <w:spacing w:after="0" w:line="360" w:lineRule="auto"/>
        <w:textAlignment w:val="auto"/>
        <w:rPr>
          <w:rFonts w:ascii="宋体" w:hAnsi="宋体" w:eastAsia="宋体" w:cs="宋体"/>
        </w:rPr>
      </w:pPr>
      <w:r>
        <w:rPr>
          <w:rFonts w:hint="eastAsia" w:ascii="宋体" w:hAnsi="宋体" w:eastAsia="宋体" w:cs="宋体"/>
        </w:rPr>
        <w:t>5. 投标文件的递交</w:t>
      </w:r>
      <w:bookmarkEnd w:id="45"/>
      <w:bookmarkEnd w:id="46"/>
      <w:bookmarkEnd w:id="47"/>
      <w:bookmarkEnd w:id="48"/>
      <w:bookmarkEnd w:id="49"/>
      <w:bookmarkEnd w:id="50"/>
      <w:bookmarkEnd w:id="51"/>
      <w:bookmarkEnd w:id="52"/>
      <w:bookmarkEnd w:id="53"/>
    </w:p>
    <w:p>
      <w:pPr>
        <w:pageBreakBefore w:val="0"/>
        <w:widowControl/>
        <w:kinsoku/>
        <w:wordWrap/>
        <w:overflowPunct/>
        <w:autoSpaceDE/>
        <w:autoSpaceDN/>
        <w:bidi w:val="0"/>
        <w:adjustRightInd/>
        <w:snapToGrid/>
        <w:spacing w:line="360" w:lineRule="auto"/>
        <w:jc w:val="left"/>
        <w:textAlignment w:val="auto"/>
        <w:rPr>
          <w:rFonts w:ascii="宋体" w:hAnsi="宋体" w:cs="宋体"/>
          <w:kern w:val="0"/>
          <w:szCs w:val="21"/>
          <w:lang w:bidi="ar"/>
        </w:rPr>
      </w:pPr>
      <w:r>
        <w:rPr>
          <w:rFonts w:hint="eastAsia" w:ascii="宋体" w:hAnsi="宋体" w:cs="宋体"/>
          <w:szCs w:val="21"/>
        </w:rPr>
        <w:t xml:space="preserve">   投标文件递交的截止时</w:t>
      </w:r>
      <w:r>
        <w:rPr>
          <w:rFonts w:hint="eastAsia" w:ascii="宋体" w:hAnsi="宋体" w:cs="宋体"/>
          <w:kern w:val="0"/>
          <w:szCs w:val="21"/>
          <w:lang w:bidi="ar"/>
        </w:rPr>
        <w:t xml:space="preserve">间（投标截止时间，下同）为 </w:t>
      </w:r>
      <w:r>
        <w:rPr>
          <w:rFonts w:hint="eastAsia" w:ascii="宋体" w:hAnsi="宋体" w:cs="宋体"/>
          <w:kern w:val="0"/>
          <w:szCs w:val="21"/>
          <w:u w:val="single"/>
          <w:lang w:eastAsia="zh-CN" w:bidi="ar"/>
        </w:rPr>
        <w:t>2022</w:t>
      </w:r>
      <w:r>
        <w:rPr>
          <w:rFonts w:hint="eastAsia" w:ascii="宋体" w:hAnsi="宋体" w:cs="宋体"/>
          <w:kern w:val="0"/>
          <w:szCs w:val="21"/>
          <w:u w:val="single"/>
          <w:lang w:bidi="ar"/>
        </w:rPr>
        <w:t xml:space="preserve"> 年</w:t>
      </w:r>
      <w:r>
        <w:rPr>
          <w:rFonts w:hint="eastAsia" w:ascii="宋体" w:hAnsi="宋体" w:cs="宋体"/>
          <w:kern w:val="0"/>
          <w:szCs w:val="21"/>
          <w:u w:val="single"/>
          <w:lang w:val="en-US" w:eastAsia="zh-CN" w:bidi="ar"/>
        </w:rPr>
        <w:t>8</w:t>
      </w:r>
      <w:r>
        <w:rPr>
          <w:rFonts w:hint="eastAsia" w:ascii="宋体" w:hAnsi="宋体" w:cs="宋体"/>
          <w:kern w:val="0"/>
          <w:szCs w:val="21"/>
          <w:u w:val="single"/>
          <w:lang w:bidi="ar"/>
        </w:rPr>
        <w:t>月</w:t>
      </w:r>
      <w:r>
        <w:rPr>
          <w:rFonts w:hint="eastAsia" w:ascii="宋体" w:hAnsi="宋体" w:cs="宋体"/>
          <w:kern w:val="0"/>
          <w:szCs w:val="21"/>
          <w:u w:val="single"/>
          <w:lang w:val="en-US" w:eastAsia="zh-CN" w:bidi="ar"/>
        </w:rPr>
        <w:t>28</w:t>
      </w:r>
      <w:r>
        <w:rPr>
          <w:rFonts w:hint="eastAsia" w:ascii="宋体" w:hAnsi="宋体" w:cs="宋体"/>
          <w:kern w:val="0"/>
          <w:szCs w:val="21"/>
          <w:u w:val="single"/>
          <w:lang w:bidi="ar"/>
        </w:rPr>
        <w:t xml:space="preserve">日 </w:t>
      </w:r>
      <w:r>
        <w:rPr>
          <w:rFonts w:hint="eastAsia" w:ascii="宋体" w:hAnsi="宋体" w:cs="宋体"/>
          <w:kern w:val="0"/>
          <w:szCs w:val="21"/>
          <w:u w:val="single"/>
          <w:lang w:val="en-US" w:eastAsia="zh-CN" w:bidi="ar"/>
        </w:rPr>
        <w:t>14</w:t>
      </w:r>
      <w:r>
        <w:rPr>
          <w:rFonts w:hint="eastAsia" w:ascii="宋体" w:hAnsi="宋体" w:cs="宋体"/>
          <w:kern w:val="0"/>
          <w:szCs w:val="21"/>
          <w:u w:val="single"/>
          <w:lang w:bidi="ar"/>
        </w:rPr>
        <w:t xml:space="preserve"> 时 30 分</w:t>
      </w:r>
      <w:r>
        <w:rPr>
          <w:rFonts w:hint="eastAsia" w:ascii="宋体" w:hAnsi="宋体" w:cs="宋体"/>
          <w:kern w:val="0"/>
          <w:szCs w:val="21"/>
          <w:lang w:bidi="ar"/>
        </w:rPr>
        <w:t>，投标文件递交的地点：</w:t>
      </w:r>
      <w:r>
        <w:rPr>
          <w:rFonts w:hint="eastAsia" w:ascii="宋体" w:hAnsi="宋体" w:cs="Arial"/>
          <w:color w:val="000000"/>
          <w:szCs w:val="21"/>
          <w:u w:val="single"/>
        </w:rPr>
        <w:t>泰州市开发区雪铁龙路1号(梦创中心北楼三</w:t>
      </w:r>
      <w:r>
        <w:rPr>
          <w:rFonts w:hint="eastAsia" w:ascii="宋体" w:hAnsi="宋体" w:cs="Arial"/>
          <w:color w:val="000000"/>
          <w:szCs w:val="21"/>
          <w:u w:val="single"/>
          <w:lang w:val="en-US" w:eastAsia="zh-CN"/>
        </w:rPr>
        <w:t>楼</w:t>
      </w:r>
      <w:r>
        <w:rPr>
          <w:rFonts w:hint="eastAsia" w:ascii="宋体" w:hAnsi="宋体" w:cs="Arial"/>
          <w:color w:val="000000"/>
          <w:szCs w:val="21"/>
          <w:u w:val="single"/>
        </w:rPr>
        <w:t>培训室）</w:t>
      </w:r>
      <w:r>
        <w:rPr>
          <w:rFonts w:hint="eastAsia" w:ascii="宋体" w:hAnsi="宋体" w:cs="宋体"/>
          <w:kern w:val="0"/>
          <w:szCs w:val="21"/>
          <w:lang w:bidi="ar"/>
        </w:rPr>
        <w:t>。</w:t>
      </w:r>
    </w:p>
    <w:p>
      <w:pPr>
        <w:pStyle w:val="5"/>
        <w:pageBreakBefore w:val="0"/>
        <w:kinsoku/>
        <w:wordWrap/>
        <w:overflowPunct/>
        <w:autoSpaceDE/>
        <w:autoSpaceDN/>
        <w:bidi w:val="0"/>
        <w:adjustRightInd/>
        <w:snapToGrid/>
        <w:spacing w:line="360" w:lineRule="auto"/>
        <w:textAlignment w:val="auto"/>
        <w:rPr>
          <w:rFonts w:ascii="宋体" w:hAnsi="宋体" w:eastAsia="宋体" w:cs="宋体"/>
        </w:rPr>
      </w:pPr>
      <w:bookmarkStart w:id="54" w:name="_Toc152042301"/>
      <w:bookmarkStart w:id="55" w:name="_Toc266951034"/>
      <w:bookmarkStart w:id="56" w:name="_Toc179632542"/>
      <w:bookmarkStart w:id="57" w:name="_Toc241459611"/>
      <w:bookmarkStart w:id="58" w:name="_Toc152045525"/>
      <w:bookmarkStart w:id="59" w:name="_Toc144974493"/>
      <w:bookmarkStart w:id="60" w:name="_Toc275956095"/>
      <w:bookmarkStart w:id="61" w:name="_Toc241484508"/>
      <w:bookmarkStart w:id="62" w:name="_Toc263239400"/>
      <w:r>
        <w:rPr>
          <w:rFonts w:hint="eastAsia" w:ascii="宋体" w:hAnsi="宋体" w:eastAsia="宋体" w:cs="宋体"/>
        </w:rPr>
        <w:t>6. 联系方式</w:t>
      </w:r>
      <w:bookmarkEnd w:id="54"/>
      <w:bookmarkEnd w:id="55"/>
      <w:bookmarkEnd w:id="56"/>
      <w:bookmarkEnd w:id="57"/>
      <w:bookmarkEnd w:id="58"/>
      <w:bookmarkEnd w:id="59"/>
      <w:bookmarkEnd w:id="60"/>
      <w:bookmarkEnd w:id="61"/>
      <w:bookmarkEnd w:id="62"/>
    </w:p>
    <w:p>
      <w:pPr>
        <w:pageBreakBefore w:val="0"/>
        <w:kinsoku/>
        <w:wordWrap/>
        <w:overflowPunct/>
        <w:topLinePunct/>
        <w:autoSpaceDE/>
        <w:autoSpaceDN/>
        <w:bidi w:val="0"/>
        <w:adjustRightInd/>
        <w:snapToGrid/>
        <w:spacing w:line="360" w:lineRule="auto"/>
        <w:ind w:left="6510" w:leftChars="200" w:hanging="6090" w:hangingChars="2900"/>
        <w:textAlignment w:val="auto"/>
        <w:rPr>
          <w:rFonts w:ascii="宋体" w:hAnsi="宋体" w:cs="宋体"/>
          <w:szCs w:val="21"/>
        </w:rPr>
      </w:pPr>
      <w:r>
        <w:rPr>
          <w:rFonts w:hint="eastAsia" w:ascii="宋体" w:hAnsi="宋体" w:cs="宋体"/>
          <w:szCs w:val="21"/>
        </w:rPr>
        <w:t>招 标 人：</w:t>
      </w:r>
      <w:r>
        <w:rPr>
          <w:rFonts w:hint="eastAsia" w:ascii="宋体" w:hAnsi="宋体" w:cs="宋体"/>
          <w:szCs w:val="21"/>
          <w:u w:val="single"/>
        </w:rPr>
        <w:t xml:space="preserve">  </w:t>
      </w:r>
      <w:r>
        <w:rPr>
          <w:rFonts w:hint="eastAsia" w:ascii="宋体" w:hAnsi="宋体" w:cs="Arial"/>
          <w:szCs w:val="21"/>
          <w:u w:val="single"/>
          <w:lang w:eastAsia="zh-CN"/>
        </w:rPr>
        <w:t>泰州职业技术学院</w:t>
      </w:r>
      <w:r>
        <w:rPr>
          <w:rFonts w:hint="eastAsia" w:ascii="宋体" w:hAnsi="宋体" w:cs="Arial"/>
          <w:szCs w:val="21"/>
          <w:u w:val="single"/>
        </w:rPr>
        <w:t xml:space="preserve">   </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代理机构：</w:t>
      </w:r>
      <w:r>
        <w:rPr>
          <w:rFonts w:hint="eastAsia" w:ascii="宋体" w:hAnsi="宋体" w:cs="宋体"/>
          <w:szCs w:val="21"/>
          <w:u w:val="single"/>
        </w:rPr>
        <w:t>泰州林诚项目管理有限公司</w:t>
      </w:r>
    </w:p>
    <w:p>
      <w:pPr>
        <w:pageBreakBefore w:val="0"/>
        <w:kinsoku/>
        <w:wordWrap/>
        <w:overflowPunct/>
        <w:topLinePunct/>
        <w:autoSpaceDE/>
        <w:autoSpaceDN/>
        <w:bidi w:val="0"/>
        <w:adjustRightInd/>
        <w:snapToGrid/>
        <w:spacing w:line="360" w:lineRule="auto"/>
        <w:ind w:left="6510" w:leftChars="200" w:hanging="6090" w:hangingChars="2900"/>
        <w:textAlignment w:val="auto"/>
        <w:rPr>
          <w:rFonts w:ascii="宋体" w:hAnsi="宋体" w:cs="宋体"/>
          <w:szCs w:val="21"/>
        </w:rPr>
      </w:pPr>
      <w:r>
        <w:rPr>
          <w:rFonts w:hint="eastAsia" w:ascii="宋体" w:hAnsi="宋体" w:cs="宋体"/>
          <w:szCs w:val="21"/>
        </w:rPr>
        <w:t>联 系 人：</w:t>
      </w:r>
      <w:r>
        <w:rPr>
          <w:rFonts w:hint="eastAsia" w:ascii="宋体" w:hAnsi="宋体" w:cs="宋体"/>
          <w:szCs w:val="21"/>
          <w:u w:val="single"/>
        </w:rPr>
        <w:t xml:space="preserve">    </w:t>
      </w:r>
      <w:r>
        <w:rPr>
          <w:rFonts w:hint="eastAsia" w:ascii="宋体" w:hAnsi="宋体" w:cs="宋体"/>
          <w:szCs w:val="21"/>
          <w:u w:val="single"/>
          <w:lang w:val="en-US" w:eastAsia="zh-CN"/>
        </w:rPr>
        <w:t>郁老师</w:t>
      </w:r>
      <w:r>
        <w:rPr>
          <w:rFonts w:hint="eastAsia" w:ascii="宋体" w:hAnsi="宋体" w:cs="宋体"/>
          <w:szCs w:val="21"/>
          <w:u w:val="single"/>
        </w:rPr>
        <w:t xml:space="preserve">     </w:t>
      </w:r>
      <w:r>
        <w:rPr>
          <w:rFonts w:hint="eastAsia" w:ascii="宋体" w:hAnsi="宋体" w:cs="宋体"/>
          <w:szCs w:val="21"/>
        </w:rPr>
        <w:t xml:space="preserve">              联 系</w:t>
      </w:r>
      <w:r>
        <w:rPr>
          <w:rFonts w:hint="eastAsia" w:ascii="宋体" w:hAnsi="宋体" w:cs="宋体"/>
          <w:szCs w:val="21"/>
          <w:lang w:val="en-US" w:eastAsia="zh-CN"/>
        </w:rPr>
        <w:t xml:space="preserve"> </w:t>
      </w:r>
      <w:r>
        <w:rPr>
          <w:rFonts w:hint="eastAsia" w:ascii="宋体" w:hAnsi="宋体" w:cs="宋体"/>
          <w:szCs w:val="21"/>
        </w:rPr>
        <w:t>人：</w:t>
      </w:r>
      <w:r>
        <w:rPr>
          <w:rFonts w:hint="eastAsia" w:ascii="宋体" w:hAnsi="宋体" w:cs="宋体"/>
          <w:szCs w:val="21"/>
          <w:u w:val="single"/>
        </w:rPr>
        <w:t xml:space="preserve">      王工            </w:t>
      </w:r>
    </w:p>
    <w:p>
      <w:pPr>
        <w:pageBreakBefore w:val="0"/>
        <w:widowControl/>
        <w:kinsoku/>
        <w:wordWrap/>
        <w:overflowPunct/>
        <w:autoSpaceDE/>
        <w:autoSpaceDN/>
        <w:bidi w:val="0"/>
        <w:adjustRightInd/>
        <w:snapToGrid/>
        <w:spacing w:line="360" w:lineRule="auto"/>
        <w:ind w:firstLine="420" w:firstLineChars="200"/>
        <w:jc w:val="left"/>
        <w:textAlignment w:val="auto"/>
        <w:rPr>
          <w:rFonts w:ascii="宋体" w:hAnsi="宋体" w:cs="宋体"/>
          <w:szCs w:val="21"/>
        </w:rPr>
      </w:pPr>
      <w:r>
        <w:rPr>
          <w:rFonts w:hint="eastAsia" w:ascii="宋体" w:hAnsi="宋体" w:cs="宋体"/>
          <w:szCs w:val="21"/>
        </w:rPr>
        <w:t>电    话：</w:t>
      </w:r>
      <w:r>
        <w:rPr>
          <w:rFonts w:hint="eastAsia" w:ascii="宋体" w:hAnsi="宋体" w:cs="宋体"/>
          <w:szCs w:val="21"/>
          <w:u w:val="single"/>
        </w:rPr>
        <w:t xml:space="preserve">  </w:t>
      </w:r>
      <w:r>
        <w:rPr>
          <w:rFonts w:hint="eastAsia" w:ascii="宋体" w:hAnsi="宋体" w:cs="Arial"/>
          <w:szCs w:val="21"/>
          <w:u w:val="single"/>
        </w:rPr>
        <w:t xml:space="preserve"> </w:t>
      </w:r>
      <w:r>
        <w:rPr>
          <w:rFonts w:hint="eastAsia" w:ascii="宋体" w:hAnsi="宋体" w:eastAsia="宋体" w:cs="Arial"/>
          <w:szCs w:val="21"/>
          <w:u w:val="single"/>
          <w:lang w:val="en-US" w:eastAsia="zh-CN"/>
        </w:rPr>
        <w:t>0523-8666</w:t>
      </w:r>
      <w:r>
        <w:rPr>
          <w:rFonts w:hint="eastAsia" w:ascii="宋体" w:hAnsi="宋体" w:cs="Arial"/>
          <w:szCs w:val="21"/>
          <w:u w:val="single"/>
          <w:lang w:val="en-US" w:eastAsia="zh-CN"/>
        </w:rPr>
        <w:t>6573</w:t>
      </w:r>
      <w:r>
        <w:rPr>
          <w:rFonts w:hint="eastAsia" w:ascii="宋体" w:hAnsi="宋体" w:eastAsia="宋体" w:cs="Arial"/>
          <w:szCs w:val="21"/>
          <w:u w:val="single"/>
        </w:rPr>
        <w:t xml:space="preserve"> </w:t>
      </w:r>
      <w:r>
        <w:rPr>
          <w:rFonts w:hint="eastAsia" w:ascii="宋体" w:hAnsi="宋体" w:cs="宋体"/>
          <w:szCs w:val="21"/>
        </w:rPr>
        <w:t xml:space="preserve">            电    话：</w:t>
      </w:r>
      <w:r>
        <w:rPr>
          <w:rFonts w:hint="eastAsia" w:ascii="宋体" w:hAnsi="宋体" w:cs="宋体"/>
          <w:szCs w:val="21"/>
          <w:u w:val="single"/>
        </w:rPr>
        <w:t xml:space="preserve">   </w:t>
      </w:r>
      <w:r>
        <w:rPr>
          <w:rFonts w:hint="eastAsia" w:ascii="宋体" w:hAnsi="宋体" w:cs="Arial"/>
          <w:szCs w:val="21"/>
          <w:u w:val="single"/>
        </w:rPr>
        <w:t xml:space="preserve">  19951167066 </w:t>
      </w:r>
      <w:r>
        <w:rPr>
          <w:rFonts w:hint="eastAsia" w:ascii="宋体" w:hAnsi="宋体" w:cs="宋体"/>
          <w:szCs w:val="21"/>
          <w:u w:val="single"/>
        </w:rPr>
        <w:t xml:space="preserve">      </w:t>
      </w:r>
    </w:p>
    <w:p>
      <w:pPr>
        <w:pageBreakBefore w:val="0"/>
        <w:kinsoku/>
        <w:wordWrap/>
        <w:overflowPunct/>
        <w:autoSpaceDE/>
        <w:autoSpaceDN/>
        <w:bidi w:val="0"/>
        <w:adjustRightInd/>
        <w:snapToGrid/>
        <w:spacing w:line="360" w:lineRule="auto"/>
        <w:textAlignment w:val="auto"/>
        <w:rPr>
          <w:rFonts w:ascii="宋体" w:hAnsi="宋体" w:cs="宋体"/>
          <w:szCs w:val="21"/>
        </w:rPr>
      </w:pPr>
    </w:p>
    <w:p>
      <w:pPr>
        <w:pageBreakBefore w:val="0"/>
        <w:kinsoku/>
        <w:wordWrap/>
        <w:overflowPunct/>
        <w:autoSpaceDE/>
        <w:autoSpaceDN/>
        <w:bidi w:val="0"/>
        <w:adjustRightInd/>
        <w:snapToGrid/>
        <w:spacing w:line="360" w:lineRule="auto"/>
        <w:textAlignment w:val="auto"/>
        <w:rPr>
          <w:rFonts w:ascii="宋体" w:hAnsi="宋体" w:cs="宋体"/>
          <w:szCs w:val="21"/>
        </w:rPr>
      </w:pPr>
    </w:p>
    <w:p>
      <w:pPr>
        <w:pageBreakBefore w:val="0"/>
        <w:kinsoku/>
        <w:wordWrap/>
        <w:overflowPunct/>
        <w:autoSpaceDE/>
        <w:autoSpaceDN/>
        <w:bidi w:val="0"/>
        <w:adjustRightInd/>
        <w:snapToGrid/>
        <w:spacing w:line="360" w:lineRule="auto"/>
        <w:jc w:val="right"/>
        <w:textAlignment w:val="auto"/>
        <w:rPr>
          <w:rFonts w:ascii="宋体" w:hAnsi="宋体" w:cs="宋体"/>
        </w:rPr>
      </w:pPr>
      <w:r>
        <w:rPr>
          <w:rFonts w:hint="eastAsia" w:ascii="宋体" w:hAnsi="宋体" w:cs="宋体"/>
          <w:u w:val="single"/>
        </w:rPr>
        <w:t xml:space="preserve"> </w:t>
      </w:r>
      <w:r>
        <w:rPr>
          <w:rFonts w:hint="eastAsia" w:ascii="宋体" w:hAnsi="宋体" w:cs="宋体"/>
          <w:u w:val="single"/>
          <w:lang w:eastAsia="zh-CN"/>
        </w:rPr>
        <w:t>2022</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u w:val="single"/>
          <w:lang w:val="en-US" w:eastAsia="zh-CN"/>
        </w:rPr>
        <w:t>8</w:t>
      </w:r>
      <w:r>
        <w:rPr>
          <w:rFonts w:hint="eastAsia" w:ascii="宋体" w:hAnsi="宋体" w:cs="宋体"/>
        </w:rPr>
        <w:t>月</w:t>
      </w:r>
      <w:r>
        <w:rPr>
          <w:rFonts w:hint="eastAsia" w:ascii="宋体" w:hAnsi="宋体" w:cs="宋体"/>
          <w:u w:val="single"/>
          <w:lang w:val="en-US" w:eastAsia="zh-CN"/>
        </w:rPr>
        <w:t>14</w:t>
      </w:r>
      <w:r>
        <w:rPr>
          <w:rFonts w:hint="eastAsia" w:ascii="宋体" w:hAnsi="宋体" w:cs="宋体"/>
          <w:u w:val="single"/>
        </w:rPr>
        <w:t xml:space="preserve"> </w:t>
      </w:r>
      <w:r>
        <w:rPr>
          <w:rFonts w:hint="eastAsia" w:ascii="宋体" w:hAnsi="宋体" w:cs="宋体"/>
        </w:rPr>
        <w:t>日</w:t>
      </w:r>
    </w:p>
    <w:p>
      <w:pPr>
        <w:ind w:right="420" w:firstLine="525" w:firstLineChars="250"/>
        <w:jc w:val="right"/>
        <w:rPr>
          <w:rFonts w:ascii="宋体" w:hAnsi="宋体" w:cs="宋体"/>
          <w:szCs w:val="21"/>
        </w:rPr>
      </w:pPr>
    </w:p>
    <w:p>
      <w:pPr>
        <w:pStyle w:val="4"/>
      </w:pPr>
      <w:bookmarkStart w:id="63" w:name="_Toc275956099"/>
      <w:bookmarkStart w:id="64" w:name="_Toc266951038"/>
      <w:bookmarkStart w:id="65" w:name="_Toc241459614"/>
      <w:r>
        <w:rPr>
          <w:rFonts w:hint="eastAsia"/>
        </w:rPr>
        <w:t>第二章投标人须知</w:t>
      </w:r>
      <w:bookmarkEnd w:id="63"/>
      <w:bookmarkEnd w:id="64"/>
      <w:bookmarkEnd w:id="65"/>
    </w:p>
    <w:p>
      <w:pPr>
        <w:pStyle w:val="5"/>
      </w:pPr>
      <w:bookmarkStart w:id="66" w:name="_投标须知表"/>
      <w:bookmarkEnd w:id="66"/>
      <w:bookmarkStart w:id="67" w:name="_Toc266951039"/>
      <w:bookmarkStart w:id="68" w:name="_Toc275956100"/>
      <w:r>
        <w:rPr>
          <w:rFonts w:hint="eastAsia"/>
        </w:rPr>
        <w:t>投标人须知前附表</w:t>
      </w:r>
      <w:bookmarkEnd w:id="67"/>
      <w:bookmarkEnd w:id="68"/>
    </w:p>
    <w:tbl>
      <w:tblPr>
        <w:tblStyle w:val="15"/>
        <w:tblW w:w="10063"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6"/>
        <w:gridCol w:w="14"/>
        <w:gridCol w:w="20"/>
        <w:gridCol w:w="1827"/>
        <w:gridCol w:w="750"/>
        <w:gridCol w:w="75"/>
        <w:gridCol w:w="62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1120" w:type="dxa"/>
            <w:gridSpan w:val="3"/>
            <w:vAlign w:val="center"/>
          </w:tcPr>
          <w:p>
            <w:pPr>
              <w:jc w:val="center"/>
              <w:rPr>
                <w:rFonts w:ascii="宋体" w:cs="Arial"/>
                <w:b/>
                <w:sz w:val="28"/>
                <w:szCs w:val="28"/>
              </w:rPr>
            </w:pPr>
            <w:r>
              <w:rPr>
                <w:rFonts w:hint="eastAsia" w:ascii="宋体" w:hAnsi="宋体" w:cs="Arial"/>
                <w:b/>
                <w:sz w:val="28"/>
                <w:szCs w:val="28"/>
              </w:rPr>
              <w:t>条款号</w:t>
            </w:r>
          </w:p>
        </w:tc>
        <w:tc>
          <w:tcPr>
            <w:tcW w:w="2577" w:type="dxa"/>
            <w:gridSpan w:val="2"/>
            <w:vAlign w:val="center"/>
          </w:tcPr>
          <w:p>
            <w:pPr>
              <w:jc w:val="center"/>
              <w:rPr>
                <w:rFonts w:ascii="宋体" w:cs="Arial"/>
                <w:b/>
                <w:sz w:val="28"/>
                <w:szCs w:val="28"/>
              </w:rPr>
            </w:pPr>
            <w:r>
              <w:rPr>
                <w:rFonts w:hint="eastAsia" w:ascii="宋体" w:hAnsi="宋体" w:cs="Arial"/>
                <w:b/>
                <w:sz w:val="28"/>
                <w:szCs w:val="28"/>
              </w:rPr>
              <w:t>条款名称</w:t>
            </w:r>
          </w:p>
        </w:tc>
        <w:tc>
          <w:tcPr>
            <w:tcW w:w="6366" w:type="dxa"/>
            <w:gridSpan w:val="2"/>
            <w:vAlign w:val="center"/>
          </w:tcPr>
          <w:p>
            <w:pPr>
              <w:jc w:val="center"/>
              <w:rPr>
                <w:rFonts w:ascii="宋体" w:cs="Arial"/>
                <w:b/>
                <w:sz w:val="28"/>
                <w:szCs w:val="28"/>
              </w:rPr>
            </w:pPr>
            <w:r>
              <w:rPr>
                <w:rFonts w:hint="eastAsia" w:ascii="宋体" w:hAnsi="宋体" w:cs="Arial"/>
                <w:b/>
                <w:sz w:val="28"/>
                <w:szCs w:val="28"/>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120" w:type="dxa"/>
            <w:gridSpan w:val="3"/>
            <w:vAlign w:val="center"/>
          </w:tcPr>
          <w:p>
            <w:pPr>
              <w:jc w:val="center"/>
              <w:rPr>
                <w:rFonts w:ascii="宋体" w:cs="Arial"/>
                <w:b/>
                <w:sz w:val="24"/>
              </w:rPr>
            </w:pPr>
            <w:r>
              <w:rPr>
                <w:rFonts w:ascii="宋体" w:hAnsi="宋体" w:cs="Arial"/>
                <w:b/>
                <w:sz w:val="24"/>
              </w:rPr>
              <w:t>1</w:t>
            </w:r>
          </w:p>
        </w:tc>
        <w:tc>
          <w:tcPr>
            <w:tcW w:w="8943" w:type="dxa"/>
            <w:gridSpan w:val="4"/>
            <w:vAlign w:val="center"/>
          </w:tcPr>
          <w:p>
            <w:pPr>
              <w:ind w:firstLine="3220" w:firstLineChars="1150"/>
              <w:rPr>
                <w:rFonts w:ascii="宋体" w:cs="Arial"/>
                <w:szCs w:val="21"/>
              </w:rPr>
            </w:pPr>
            <w:r>
              <w:rPr>
                <w:rFonts w:hint="eastAsia" w:ascii="黑体" w:hAnsi="宋体" w:eastAsia="黑体" w:cs="黑体"/>
                <w:kern w:val="0"/>
                <w:sz w:val="28"/>
                <w:szCs w:val="28"/>
              </w:rPr>
              <w:t>总则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1120" w:type="dxa"/>
            <w:gridSpan w:val="3"/>
            <w:vAlign w:val="center"/>
          </w:tcPr>
          <w:p>
            <w:pPr>
              <w:jc w:val="center"/>
              <w:rPr>
                <w:rFonts w:ascii="宋体" w:cs="Arial"/>
                <w:szCs w:val="21"/>
              </w:rPr>
            </w:pPr>
            <w:bookmarkStart w:id="69" w:name="_1.1"/>
            <w:bookmarkEnd w:id="69"/>
            <w:r>
              <w:rPr>
                <w:rFonts w:ascii="宋体" w:hAnsi="宋体" w:cs="Arial"/>
                <w:szCs w:val="21"/>
              </w:rPr>
              <w:t>1.1.2</w:t>
            </w:r>
          </w:p>
        </w:tc>
        <w:tc>
          <w:tcPr>
            <w:tcW w:w="2577" w:type="dxa"/>
            <w:gridSpan w:val="2"/>
            <w:vAlign w:val="center"/>
          </w:tcPr>
          <w:p>
            <w:pPr>
              <w:jc w:val="center"/>
              <w:rPr>
                <w:rFonts w:ascii="宋体" w:cs="Arial"/>
                <w:szCs w:val="21"/>
              </w:rPr>
            </w:pPr>
            <w:r>
              <w:rPr>
                <w:rFonts w:hint="eastAsia" w:ascii="宋体" w:hAnsi="宋体" w:cs="Arial"/>
                <w:szCs w:val="21"/>
              </w:rPr>
              <w:t>招标人</w:t>
            </w:r>
          </w:p>
        </w:tc>
        <w:tc>
          <w:tcPr>
            <w:tcW w:w="6366" w:type="dxa"/>
            <w:gridSpan w:val="2"/>
            <w:vAlign w:val="center"/>
          </w:tcPr>
          <w:p>
            <w:pPr>
              <w:rPr>
                <w:rFonts w:hint="eastAsia" w:ascii="宋体" w:hAnsi="宋体" w:eastAsia="宋体" w:cs="Arial"/>
                <w:szCs w:val="21"/>
              </w:rPr>
            </w:pPr>
            <w:r>
              <w:rPr>
                <w:rFonts w:hint="eastAsia" w:ascii="宋体" w:hAnsi="宋体" w:eastAsia="宋体" w:cs="Arial"/>
                <w:szCs w:val="21"/>
              </w:rPr>
              <w:t>名称：</w:t>
            </w:r>
            <w:r>
              <w:rPr>
                <w:rFonts w:hint="eastAsia" w:ascii="宋体" w:hAnsi="宋体" w:cs="Arial"/>
                <w:szCs w:val="21"/>
                <w:lang w:eastAsia="zh-CN"/>
              </w:rPr>
              <w:t>泰州职业技术学院</w:t>
            </w:r>
            <w:r>
              <w:rPr>
                <w:rFonts w:hint="eastAsia" w:ascii="宋体" w:hAnsi="宋体" w:eastAsia="宋体" w:cs="Arial"/>
                <w:szCs w:val="21"/>
              </w:rPr>
              <w:t xml:space="preserve">   </w:t>
            </w:r>
          </w:p>
          <w:p>
            <w:pPr>
              <w:rPr>
                <w:rFonts w:hint="eastAsia" w:ascii="宋体" w:hAnsi="宋体" w:eastAsia="宋体" w:cs="Arial"/>
                <w:szCs w:val="21"/>
              </w:rPr>
            </w:pPr>
            <w:r>
              <w:rPr>
                <w:rFonts w:hint="eastAsia" w:ascii="宋体" w:hAnsi="宋体" w:eastAsia="宋体" w:cs="Arial"/>
                <w:szCs w:val="21"/>
              </w:rPr>
              <w:t>地址：</w:t>
            </w:r>
            <w:r>
              <w:rPr>
                <w:rFonts w:hint="eastAsia" w:ascii="宋体" w:hAnsi="宋体" w:eastAsia="宋体" w:cs="Arial"/>
                <w:szCs w:val="21"/>
                <w:lang w:val="en-US" w:eastAsia="zh-CN"/>
              </w:rPr>
              <w:t>泰州市</w:t>
            </w:r>
            <w:r>
              <w:rPr>
                <w:rFonts w:hint="eastAsia" w:ascii="宋体" w:hAnsi="宋体" w:cs="Arial"/>
                <w:szCs w:val="21"/>
                <w:lang w:val="en-US" w:eastAsia="zh-CN"/>
              </w:rPr>
              <w:t>高新</w:t>
            </w:r>
            <w:r>
              <w:rPr>
                <w:rFonts w:hint="eastAsia" w:ascii="宋体" w:hAnsi="宋体" w:eastAsia="宋体" w:cs="Arial"/>
                <w:szCs w:val="21"/>
                <w:lang w:val="en-US" w:eastAsia="zh-CN"/>
              </w:rPr>
              <w:t>区</w:t>
            </w:r>
            <w:r>
              <w:rPr>
                <w:rFonts w:hint="eastAsia" w:ascii="宋体" w:hAnsi="宋体" w:cs="Arial"/>
                <w:szCs w:val="21"/>
                <w:lang w:val="en-US" w:eastAsia="zh-CN"/>
              </w:rPr>
              <w:t>天星路8号</w:t>
            </w:r>
            <w:r>
              <w:rPr>
                <w:rFonts w:hint="eastAsia" w:ascii="宋体" w:hAnsi="宋体" w:eastAsia="宋体" w:cs="Arial"/>
                <w:szCs w:val="21"/>
                <w:lang w:eastAsia="zh-CN"/>
              </w:rPr>
              <w:t xml:space="preserve"> </w:t>
            </w:r>
          </w:p>
          <w:p>
            <w:pPr>
              <w:rPr>
                <w:rFonts w:ascii="宋体" w:hAnsi="宋体" w:cs="Arial"/>
                <w:szCs w:val="21"/>
              </w:rPr>
            </w:pPr>
            <w:r>
              <w:rPr>
                <w:rFonts w:hint="eastAsia" w:ascii="宋体" w:hAnsi="宋体" w:cs="Arial"/>
                <w:szCs w:val="21"/>
              </w:rPr>
              <w:t>联系人：</w:t>
            </w:r>
            <w:r>
              <w:rPr>
                <w:rFonts w:hint="eastAsia" w:ascii="宋体" w:hAnsi="宋体" w:cs="Arial"/>
                <w:szCs w:val="21"/>
                <w:u w:val="single"/>
                <w:lang w:val="en-US" w:eastAsia="zh-CN"/>
              </w:rPr>
              <w:t>郁老师</w:t>
            </w:r>
            <w:r>
              <w:rPr>
                <w:rFonts w:hint="eastAsia" w:ascii="宋体" w:hAnsi="宋体" w:cs="Arial"/>
                <w:szCs w:val="21"/>
                <w:u w:val="single"/>
              </w:rPr>
              <w:t xml:space="preserve">            </w:t>
            </w:r>
          </w:p>
          <w:p>
            <w:pPr>
              <w:rPr>
                <w:rFonts w:ascii="宋体" w:cs="Arial"/>
                <w:szCs w:val="21"/>
                <w:u w:val="single"/>
              </w:rPr>
            </w:pPr>
            <w:r>
              <w:rPr>
                <w:rFonts w:hint="eastAsia" w:ascii="宋体" w:hAnsi="宋体" w:cs="Arial"/>
                <w:szCs w:val="21"/>
              </w:rPr>
              <w:t>电话：</w:t>
            </w:r>
            <w:r>
              <w:rPr>
                <w:rFonts w:hint="eastAsia" w:ascii="宋体" w:hAnsi="宋体" w:eastAsia="宋体" w:cs="Arial"/>
                <w:szCs w:val="21"/>
                <w:u w:val="single"/>
                <w:lang w:val="en-US" w:eastAsia="zh-CN"/>
              </w:rPr>
              <w:t>0523-8666</w:t>
            </w:r>
            <w:r>
              <w:rPr>
                <w:rFonts w:hint="eastAsia" w:ascii="宋体" w:hAnsi="宋体" w:cs="Arial"/>
                <w:szCs w:val="21"/>
                <w:u w:val="single"/>
                <w:lang w:val="en-US" w:eastAsia="zh-CN"/>
              </w:rPr>
              <w:t>6573</w:t>
            </w:r>
            <w:r>
              <w:rPr>
                <w:rFonts w:hint="eastAsia" w:ascii="宋体" w:hAnsi="宋体" w:cs="Arial"/>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1120" w:type="dxa"/>
            <w:gridSpan w:val="3"/>
            <w:vAlign w:val="center"/>
          </w:tcPr>
          <w:p>
            <w:pPr>
              <w:jc w:val="center"/>
              <w:rPr>
                <w:rFonts w:ascii="宋体" w:cs="Arial"/>
                <w:szCs w:val="21"/>
              </w:rPr>
            </w:pPr>
            <w:r>
              <w:rPr>
                <w:rFonts w:ascii="宋体" w:hAnsi="宋体" w:cs="Arial"/>
                <w:szCs w:val="21"/>
              </w:rPr>
              <w:t>1.1.3</w:t>
            </w:r>
          </w:p>
        </w:tc>
        <w:tc>
          <w:tcPr>
            <w:tcW w:w="2577" w:type="dxa"/>
            <w:gridSpan w:val="2"/>
            <w:vAlign w:val="center"/>
          </w:tcPr>
          <w:p>
            <w:pPr>
              <w:jc w:val="center"/>
              <w:rPr>
                <w:rFonts w:ascii="宋体" w:cs="Arial"/>
                <w:szCs w:val="21"/>
              </w:rPr>
            </w:pPr>
            <w:r>
              <w:rPr>
                <w:rFonts w:hint="eastAsia" w:ascii="宋体" w:hAnsi="宋体" w:cs="Arial"/>
                <w:szCs w:val="21"/>
              </w:rPr>
              <w:t>招标代理机构</w:t>
            </w:r>
          </w:p>
        </w:tc>
        <w:tc>
          <w:tcPr>
            <w:tcW w:w="6366" w:type="dxa"/>
            <w:gridSpan w:val="2"/>
            <w:vAlign w:val="center"/>
          </w:tcPr>
          <w:p>
            <w:pPr>
              <w:rPr>
                <w:rFonts w:ascii="宋体" w:hAnsi="宋体" w:cs="Arial"/>
                <w:szCs w:val="21"/>
                <w:u w:val="single"/>
              </w:rPr>
            </w:pPr>
            <w:r>
              <w:rPr>
                <w:rFonts w:hint="eastAsia" w:ascii="宋体" w:hAnsi="宋体" w:cs="Arial"/>
                <w:szCs w:val="21"/>
              </w:rPr>
              <w:t>名称：</w:t>
            </w:r>
            <w:r>
              <w:rPr>
                <w:rFonts w:hint="eastAsia" w:ascii="宋体" w:hAnsi="宋体" w:cs="Arial"/>
                <w:szCs w:val="21"/>
                <w:u w:val="single"/>
              </w:rPr>
              <w:t xml:space="preserve">泰州林诚项目管理有限公司 </w:t>
            </w:r>
          </w:p>
          <w:p>
            <w:pPr>
              <w:rPr>
                <w:rFonts w:ascii="宋体" w:hAnsi="宋体" w:cs="Arial"/>
                <w:szCs w:val="21"/>
                <w:u w:val="single"/>
              </w:rPr>
            </w:pPr>
            <w:r>
              <w:rPr>
                <w:rFonts w:hint="eastAsia" w:ascii="宋体" w:hAnsi="宋体" w:cs="Arial"/>
                <w:szCs w:val="21"/>
              </w:rPr>
              <w:t>地址：</w:t>
            </w:r>
            <w:r>
              <w:rPr>
                <w:rFonts w:hint="eastAsia" w:ascii="宋体" w:hAnsi="宋体" w:cs="宋体"/>
                <w:kern w:val="0"/>
                <w:szCs w:val="21"/>
                <w:u w:val="single"/>
                <w:lang w:bidi="ar"/>
              </w:rPr>
              <w:t>泰州市开发区雪铁龙</w:t>
            </w:r>
            <w:r>
              <w:rPr>
                <w:rFonts w:hint="eastAsia" w:ascii="宋体" w:hAnsi="宋体" w:cs="宋体"/>
                <w:kern w:val="0"/>
                <w:szCs w:val="21"/>
                <w:u w:val="single"/>
                <w:lang w:val="en-US" w:eastAsia="zh-CN" w:bidi="ar"/>
              </w:rPr>
              <w:t>路</w:t>
            </w:r>
            <w:r>
              <w:rPr>
                <w:rFonts w:hint="eastAsia" w:ascii="宋体" w:hAnsi="宋体" w:cs="宋体"/>
                <w:kern w:val="0"/>
                <w:szCs w:val="21"/>
                <w:u w:val="single"/>
                <w:lang w:bidi="ar"/>
              </w:rPr>
              <w:t>1号(梦创中心北楼308室）</w:t>
            </w:r>
          </w:p>
          <w:p>
            <w:pPr>
              <w:rPr>
                <w:rFonts w:ascii="宋体" w:hAnsi="宋体" w:cs="Arial"/>
                <w:szCs w:val="21"/>
                <w:u w:val="single"/>
              </w:rPr>
            </w:pPr>
            <w:r>
              <w:rPr>
                <w:rFonts w:hint="eastAsia" w:ascii="宋体" w:hAnsi="宋体" w:cs="Arial"/>
                <w:szCs w:val="21"/>
              </w:rPr>
              <w:t>联系人：</w:t>
            </w:r>
            <w:r>
              <w:rPr>
                <w:rFonts w:hint="eastAsia" w:ascii="宋体" w:hAnsi="宋体" w:cs="Arial"/>
                <w:szCs w:val="21"/>
                <w:u w:val="single"/>
              </w:rPr>
              <w:t xml:space="preserve">王工                 </w:t>
            </w:r>
          </w:p>
          <w:p>
            <w:pPr>
              <w:rPr>
                <w:rFonts w:ascii="宋体" w:hAnsi="宋体" w:cs="Arial"/>
                <w:szCs w:val="21"/>
              </w:rPr>
            </w:pPr>
            <w:r>
              <w:rPr>
                <w:rFonts w:hint="eastAsia" w:ascii="宋体" w:hAnsi="宋体" w:cs="Arial"/>
                <w:szCs w:val="21"/>
              </w:rPr>
              <w:t>电话：</w:t>
            </w:r>
            <w:r>
              <w:rPr>
                <w:rFonts w:hint="eastAsia" w:ascii="宋体" w:hAnsi="宋体" w:cs="Arial"/>
                <w:szCs w:val="21"/>
                <w:u w:val="single"/>
              </w:rPr>
              <w:t xml:space="preserve">19951167066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120" w:type="dxa"/>
            <w:gridSpan w:val="3"/>
            <w:vAlign w:val="center"/>
          </w:tcPr>
          <w:p>
            <w:pPr>
              <w:jc w:val="center"/>
              <w:rPr>
                <w:rFonts w:ascii="宋体" w:cs="Arial"/>
                <w:szCs w:val="21"/>
              </w:rPr>
            </w:pPr>
            <w:r>
              <w:rPr>
                <w:rFonts w:ascii="宋体" w:hAnsi="宋体" w:cs="Arial"/>
                <w:szCs w:val="21"/>
              </w:rPr>
              <w:t>1.1.4</w:t>
            </w:r>
          </w:p>
        </w:tc>
        <w:tc>
          <w:tcPr>
            <w:tcW w:w="2577" w:type="dxa"/>
            <w:gridSpan w:val="2"/>
            <w:vAlign w:val="center"/>
          </w:tcPr>
          <w:p>
            <w:pPr>
              <w:jc w:val="center"/>
              <w:rPr>
                <w:rFonts w:ascii="宋体" w:cs="Arial"/>
                <w:szCs w:val="21"/>
              </w:rPr>
            </w:pPr>
            <w:r>
              <w:rPr>
                <w:rFonts w:hint="eastAsia" w:ascii="宋体" w:hAnsi="宋体" w:cs="Arial"/>
                <w:szCs w:val="21"/>
              </w:rPr>
              <w:t>项目名称</w:t>
            </w:r>
          </w:p>
        </w:tc>
        <w:tc>
          <w:tcPr>
            <w:tcW w:w="6366" w:type="dxa"/>
            <w:gridSpan w:val="2"/>
            <w:vAlign w:val="center"/>
          </w:tcPr>
          <w:p>
            <w:pPr>
              <w:rPr>
                <w:rFonts w:hint="eastAsia" w:ascii="宋体" w:hAnsi="宋体" w:eastAsia="宋体" w:cs="Arial"/>
                <w:szCs w:val="21"/>
                <w:lang w:eastAsia="zh-CN"/>
              </w:rPr>
            </w:pPr>
            <w:r>
              <w:rPr>
                <w:rFonts w:hint="eastAsia" w:ascii="宋体" w:hAnsi="宋体" w:cs="Arial"/>
                <w:szCs w:val="21"/>
                <w:lang w:eastAsia="zh-CN"/>
              </w:rPr>
              <w:t>数字媒体实训中心改造工程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120" w:type="dxa"/>
            <w:gridSpan w:val="3"/>
            <w:vAlign w:val="center"/>
          </w:tcPr>
          <w:p>
            <w:pPr>
              <w:jc w:val="center"/>
              <w:rPr>
                <w:rFonts w:ascii="宋体" w:cs="Arial"/>
                <w:szCs w:val="21"/>
              </w:rPr>
            </w:pPr>
            <w:r>
              <w:rPr>
                <w:rFonts w:ascii="宋体" w:hAnsi="宋体" w:cs="Arial"/>
                <w:szCs w:val="21"/>
              </w:rPr>
              <w:t>1.1.5</w:t>
            </w:r>
          </w:p>
        </w:tc>
        <w:tc>
          <w:tcPr>
            <w:tcW w:w="2577" w:type="dxa"/>
            <w:gridSpan w:val="2"/>
            <w:vAlign w:val="center"/>
          </w:tcPr>
          <w:p>
            <w:pPr>
              <w:jc w:val="center"/>
              <w:rPr>
                <w:rFonts w:ascii="宋体" w:cs="Arial"/>
                <w:szCs w:val="21"/>
              </w:rPr>
            </w:pPr>
            <w:r>
              <w:rPr>
                <w:rFonts w:hint="eastAsia" w:ascii="宋体" w:hAnsi="宋体" w:cs="Arial"/>
                <w:szCs w:val="21"/>
              </w:rPr>
              <w:t>建设地点</w:t>
            </w:r>
          </w:p>
        </w:tc>
        <w:tc>
          <w:tcPr>
            <w:tcW w:w="6366" w:type="dxa"/>
            <w:gridSpan w:val="2"/>
            <w:vAlign w:val="center"/>
          </w:tcPr>
          <w:p>
            <w:pPr>
              <w:rPr>
                <w:rFonts w:ascii="宋体" w:hAnsi="宋体" w:cs="Arial"/>
                <w:szCs w:val="21"/>
              </w:rPr>
            </w:pPr>
            <w:r>
              <w:rPr>
                <w:rFonts w:hint="eastAsia" w:ascii="宋体" w:cs="Arial"/>
                <w:szCs w:val="21"/>
              </w:rPr>
              <w:t>位于</w:t>
            </w:r>
            <w:r>
              <w:rPr>
                <w:rFonts w:hint="eastAsia" w:ascii="宋体" w:hAnsi="宋体" w:eastAsia="宋体" w:cs="Arial"/>
                <w:szCs w:val="21"/>
                <w:lang w:val="en-US" w:eastAsia="zh-CN"/>
              </w:rPr>
              <w:t>泰州市</w:t>
            </w:r>
            <w:r>
              <w:rPr>
                <w:rFonts w:hint="eastAsia" w:ascii="宋体" w:hAnsi="宋体" w:cs="Arial"/>
                <w:szCs w:val="21"/>
                <w:lang w:val="en-US" w:eastAsia="zh-CN"/>
              </w:rPr>
              <w:t>高新</w:t>
            </w:r>
            <w:r>
              <w:rPr>
                <w:rFonts w:hint="eastAsia" w:ascii="宋体" w:hAnsi="宋体" w:eastAsia="宋体" w:cs="Arial"/>
                <w:szCs w:val="21"/>
                <w:lang w:val="en-US" w:eastAsia="zh-CN"/>
              </w:rPr>
              <w:t>区</w:t>
            </w:r>
            <w:r>
              <w:rPr>
                <w:rFonts w:hint="eastAsia" w:ascii="宋体" w:hAnsi="宋体" w:cs="Arial"/>
                <w:szCs w:val="21"/>
                <w:lang w:val="en-US" w:eastAsia="zh-CN"/>
              </w:rPr>
              <w:t>天星路8号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120" w:type="dxa"/>
            <w:gridSpan w:val="3"/>
            <w:vAlign w:val="center"/>
          </w:tcPr>
          <w:p>
            <w:pPr>
              <w:jc w:val="center"/>
              <w:rPr>
                <w:rFonts w:ascii="宋体" w:cs="Arial"/>
                <w:szCs w:val="21"/>
              </w:rPr>
            </w:pPr>
            <w:bookmarkStart w:id="70" w:name="_1.2"/>
            <w:bookmarkEnd w:id="70"/>
            <w:r>
              <w:rPr>
                <w:rFonts w:ascii="宋体" w:hAnsi="宋体" w:cs="Arial"/>
                <w:szCs w:val="21"/>
              </w:rPr>
              <w:t>1.2.1</w:t>
            </w:r>
          </w:p>
        </w:tc>
        <w:tc>
          <w:tcPr>
            <w:tcW w:w="2577" w:type="dxa"/>
            <w:gridSpan w:val="2"/>
            <w:vAlign w:val="center"/>
          </w:tcPr>
          <w:p>
            <w:pPr>
              <w:jc w:val="center"/>
              <w:rPr>
                <w:rFonts w:ascii="宋体" w:cs="Arial"/>
                <w:szCs w:val="21"/>
              </w:rPr>
            </w:pPr>
            <w:r>
              <w:rPr>
                <w:rFonts w:hint="eastAsia" w:ascii="宋体" w:hAnsi="宋体" w:cs="Arial"/>
                <w:szCs w:val="21"/>
              </w:rPr>
              <w:t>资金来源</w:t>
            </w:r>
          </w:p>
        </w:tc>
        <w:tc>
          <w:tcPr>
            <w:tcW w:w="6366" w:type="dxa"/>
            <w:gridSpan w:val="2"/>
            <w:vAlign w:val="center"/>
          </w:tcPr>
          <w:p>
            <w:pPr>
              <w:rPr>
                <w:rFonts w:ascii="宋体" w:cs="Arial"/>
                <w:szCs w:val="21"/>
              </w:rPr>
            </w:pPr>
            <w:r>
              <w:rPr>
                <w:rFonts w:hint="eastAsia" w:ascii="宋体" w:hAnsi="宋体" w:cs="Arial"/>
                <w:szCs w:val="21"/>
              </w:rPr>
              <w:t>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120" w:type="dxa"/>
            <w:gridSpan w:val="3"/>
            <w:vAlign w:val="center"/>
          </w:tcPr>
          <w:p>
            <w:pPr>
              <w:jc w:val="center"/>
              <w:rPr>
                <w:rFonts w:ascii="宋体" w:cs="Arial"/>
                <w:szCs w:val="21"/>
              </w:rPr>
            </w:pPr>
            <w:r>
              <w:rPr>
                <w:rFonts w:ascii="宋体" w:hAnsi="宋体" w:cs="Arial"/>
                <w:szCs w:val="21"/>
              </w:rPr>
              <w:t>1.2.2</w:t>
            </w:r>
          </w:p>
        </w:tc>
        <w:tc>
          <w:tcPr>
            <w:tcW w:w="2577" w:type="dxa"/>
            <w:gridSpan w:val="2"/>
            <w:vAlign w:val="center"/>
          </w:tcPr>
          <w:p>
            <w:pPr>
              <w:jc w:val="center"/>
              <w:rPr>
                <w:rFonts w:ascii="宋体" w:cs="Arial"/>
                <w:szCs w:val="21"/>
              </w:rPr>
            </w:pPr>
            <w:r>
              <w:rPr>
                <w:rFonts w:hint="eastAsia" w:ascii="宋体" w:hAnsi="宋体" w:cs="Arial"/>
                <w:szCs w:val="21"/>
              </w:rPr>
              <w:t>出资比例</w:t>
            </w:r>
          </w:p>
        </w:tc>
        <w:tc>
          <w:tcPr>
            <w:tcW w:w="6366" w:type="dxa"/>
            <w:gridSpan w:val="2"/>
            <w:vAlign w:val="center"/>
          </w:tcPr>
          <w:p>
            <w:pPr>
              <w:rPr>
                <w:rFonts w:ascii="宋体" w:cs="Arial"/>
                <w:szCs w:val="21"/>
                <w:u w:val="single"/>
              </w:rPr>
            </w:pPr>
            <w:r>
              <w:rPr>
                <w:rFonts w:hint="eastAsia" w:ascii="宋体" w:hAnsi="宋体" w:cs="Arial"/>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120" w:type="dxa"/>
            <w:gridSpan w:val="3"/>
            <w:vAlign w:val="center"/>
          </w:tcPr>
          <w:p>
            <w:pPr>
              <w:jc w:val="center"/>
              <w:rPr>
                <w:rFonts w:ascii="宋体" w:cs="Arial"/>
                <w:szCs w:val="21"/>
              </w:rPr>
            </w:pPr>
            <w:r>
              <w:rPr>
                <w:rFonts w:ascii="宋体" w:hAnsi="宋体" w:cs="Arial"/>
                <w:szCs w:val="21"/>
              </w:rPr>
              <w:t>1.2.3</w:t>
            </w:r>
          </w:p>
        </w:tc>
        <w:tc>
          <w:tcPr>
            <w:tcW w:w="2577" w:type="dxa"/>
            <w:gridSpan w:val="2"/>
            <w:vAlign w:val="center"/>
          </w:tcPr>
          <w:p>
            <w:pPr>
              <w:jc w:val="center"/>
              <w:rPr>
                <w:rFonts w:ascii="宋体" w:cs="Arial"/>
                <w:szCs w:val="21"/>
              </w:rPr>
            </w:pPr>
            <w:r>
              <w:rPr>
                <w:rFonts w:hint="eastAsia" w:ascii="宋体" w:hAnsi="宋体" w:cs="Arial"/>
                <w:szCs w:val="21"/>
              </w:rPr>
              <w:t>项目的资金落实情况</w:t>
            </w:r>
          </w:p>
        </w:tc>
        <w:tc>
          <w:tcPr>
            <w:tcW w:w="6366" w:type="dxa"/>
            <w:gridSpan w:val="2"/>
            <w:vAlign w:val="center"/>
          </w:tcPr>
          <w:p>
            <w:pPr>
              <w:rPr>
                <w:rFonts w:ascii="宋体" w:cs="Arial"/>
                <w:szCs w:val="21"/>
              </w:rPr>
            </w:pPr>
            <w:r>
              <w:rPr>
                <w:rFonts w:hint="eastAsia" w:ascii="宋体" w:hAnsi="宋体" w:cs="Arial"/>
                <w:szCs w:val="21"/>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120" w:type="dxa"/>
            <w:gridSpan w:val="3"/>
            <w:vAlign w:val="center"/>
          </w:tcPr>
          <w:p>
            <w:pPr>
              <w:jc w:val="center"/>
              <w:rPr>
                <w:rFonts w:ascii="宋体" w:cs="Arial"/>
                <w:szCs w:val="21"/>
              </w:rPr>
            </w:pPr>
            <w:r>
              <w:rPr>
                <w:rFonts w:ascii="宋体" w:hAnsi="宋体" w:cs="Arial"/>
                <w:szCs w:val="21"/>
              </w:rPr>
              <w:t>1.3.1</w:t>
            </w:r>
          </w:p>
        </w:tc>
        <w:tc>
          <w:tcPr>
            <w:tcW w:w="2577" w:type="dxa"/>
            <w:gridSpan w:val="2"/>
            <w:vAlign w:val="center"/>
          </w:tcPr>
          <w:p>
            <w:pPr>
              <w:jc w:val="center"/>
              <w:rPr>
                <w:rFonts w:ascii="宋体" w:cs="Arial"/>
                <w:szCs w:val="21"/>
              </w:rPr>
            </w:pPr>
            <w:r>
              <w:rPr>
                <w:rFonts w:hint="eastAsia" w:ascii="宋体" w:hAnsi="宋体" w:cs="Arial"/>
                <w:szCs w:val="21"/>
              </w:rPr>
              <w:t>招标范围</w:t>
            </w:r>
          </w:p>
        </w:tc>
        <w:tc>
          <w:tcPr>
            <w:tcW w:w="6366" w:type="dxa"/>
            <w:gridSpan w:val="2"/>
            <w:vAlign w:val="center"/>
          </w:tcPr>
          <w:p>
            <w:pPr>
              <w:rPr>
                <w:rFonts w:ascii="宋体" w:cs="Arial"/>
                <w:szCs w:val="32"/>
              </w:rPr>
            </w:pPr>
            <w:r>
              <w:rPr>
                <w:rFonts w:hint="eastAsia" w:ascii="宋体" w:hAnsi="宋体" w:cs="宋体"/>
                <w:sz w:val="22"/>
                <w:szCs w:val="22"/>
              </w:rPr>
              <w:t>主要内容为</w:t>
            </w:r>
            <w:r>
              <w:rPr>
                <w:rFonts w:hint="eastAsia" w:ascii="宋体" w:hAnsi="宋体" w:eastAsia="宋体" w:cs="宋体"/>
                <w:sz w:val="22"/>
                <w:szCs w:val="22"/>
                <w:lang w:val="en-US" w:eastAsia="zh-CN"/>
              </w:rPr>
              <w:t>数字媒体实训中心改造工程</w:t>
            </w:r>
            <w:r>
              <w:rPr>
                <w:rFonts w:hint="eastAsia" w:ascii="宋体" w:hAnsi="宋体" w:cs="Arial"/>
                <w:szCs w:val="21"/>
                <w:u w:val="single"/>
              </w:rPr>
              <w:t>，包括工程量清单中载明的全部内容</w:t>
            </w:r>
            <w:r>
              <w:rPr>
                <w:rFonts w:hint="eastAsia" w:ascii="宋体" w:cs="Arial"/>
                <w:szCs w:val="32"/>
              </w:rPr>
              <w:t>；详见工程量清单和图纸。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1120" w:type="dxa"/>
            <w:gridSpan w:val="3"/>
            <w:vAlign w:val="center"/>
          </w:tcPr>
          <w:p>
            <w:pPr>
              <w:jc w:val="center"/>
              <w:rPr>
                <w:rFonts w:ascii="宋体" w:cs="Arial"/>
                <w:szCs w:val="21"/>
              </w:rPr>
            </w:pPr>
            <w:r>
              <w:rPr>
                <w:rFonts w:ascii="宋体" w:hAnsi="宋体" w:cs="Arial"/>
                <w:szCs w:val="21"/>
              </w:rPr>
              <w:t>1.3.2</w:t>
            </w:r>
          </w:p>
        </w:tc>
        <w:tc>
          <w:tcPr>
            <w:tcW w:w="2577" w:type="dxa"/>
            <w:gridSpan w:val="2"/>
            <w:vAlign w:val="center"/>
          </w:tcPr>
          <w:p>
            <w:pPr>
              <w:jc w:val="center"/>
              <w:rPr>
                <w:rFonts w:ascii="宋体" w:cs="Arial"/>
                <w:szCs w:val="21"/>
              </w:rPr>
            </w:pPr>
            <w:r>
              <w:rPr>
                <w:rFonts w:hint="eastAsia" w:ascii="宋体" w:hAnsi="宋体" w:cs="Arial"/>
                <w:szCs w:val="21"/>
              </w:rPr>
              <w:t>计划工期</w:t>
            </w:r>
          </w:p>
        </w:tc>
        <w:tc>
          <w:tcPr>
            <w:tcW w:w="6366" w:type="dxa"/>
            <w:gridSpan w:val="2"/>
            <w:vAlign w:val="center"/>
          </w:tcPr>
          <w:p>
            <w:pPr>
              <w:rPr>
                <w:rFonts w:ascii="宋体" w:cs="Arial"/>
                <w:color w:val="FF0000"/>
                <w:szCs w:val="21"/>
                <w:highlight w:val="yellow"/>
              </w:rPr>
            </w:pPr>
            <w:r>
              <w:rPr>
                <w:rFonts w:hint="eastAsia" w:ascii="宋体" w:hAnsi="宋体" w:cs="Arial"/>
                <w:szCs w:val="21"/>
              </w:rPr>
              <w:t>计划工期</w:t>
            </w:r>
            <w:r>
              <w:rPr>
                <w:rFonts w:hint="eastAsia" w:ascii="宋体" w:hAnsi="宋体" w:cs="Arial"/>
                <w:color w:val="auto"/>
                <w:szCs w:val="21"/>
                <w:highlight w:val="none"/>
              </w:rPr>
              <w:t>：</w:t>
            </w:r>
            <w:r>
              <w:rPr>
                <w:rFonts w:hint="eastAsia" w:ascii="宋体" w:hAnsi="宋体" w:cs="Arial"/>
                <w:b/>
                <w:color w:val="auto"/>
                <w:szCs w:val="21"/>
                <w:highlight w:val="none"/>
                <w:u w:val="single"/>
                <w:lang w:val="en-US" w:eastAsia="zh-CN"/>
              </w:rPr>
              <w:t>15</w:t>
            </w:r>
            <w:r>
              <w:rPr>
                <w:rFonts w:hint="eastAsia" w:ascii="宋体" w:hAnsi="宋体" w:cs="Arial"/>
                <w:b/>
                <w:color w:val="auto"/>
                <w:szCs w:val="21"/>
                <w:highlight w:val="none"/>
              </w:rPr>
              <w:t>日历天</w:t>
            </w:r>
          </w:p>
          <w:p>
            <w:pPr>
              <w:rPr>
                <w:rFonts w:ascii="宋体" w:cs="Arial"/>
                <w:szCs w:val="21"/>
              </w:rPr>
            </w:pPr>
            <w:r>
              <w:rPr>
                <w:rFonts w:hint="eastAsia" w:ascii="宋体" w:hAnsi="宋体" w:cs="Arial"/>
                <w:szCs w:val="21"/>
              </w:rPr>
              <w:t>计划开工日期：</w:t>
            </w:r>
            <w:r>
              <w:rPr>
                <w:rFonts w:hint="eastAsia" w:ascii="宋体" w:hAnsi="宋体" w:cs="Arial"/>
                <w:szCs w:val="21"/>
                <w:u w:val="single"/>
                <w:lang w:eastAsia="zh-CN"/>
              </w:rPr>
              <w:t>2022</w:t>
            </w:r>
            <w:r>
              <w:rPr>
                <w:rFonts w:hint="eastAsia" w:ascii="宋体" w:hAnsi="宋体" w:cs="Arial"/>
                <w:szCs w:val="21"/>
              </w:rPr>
              <w:t>年</w:t>
            </w:r>
            <w:r>
              <w:rPr>
                <w:rFonts w:hint="eastAsia" w:ascii="宋体" w:hAnsi="宋体" w:cs="Arial"/>
                <w:szCs w:val="21"/>
                <w:u w:val="single"/>
              </w:rPr>
              <w:t xml:space="preserve"> </w:t>
            </w:r>
            <w:r>
              <w:rPr>
                <w:rFonts w:hint="eastAsia" w:ascii="宋体" w:hAnsi="宋体" w:cs="Arial"/>
                <w:szCs w:val="21"/>
                <w:u w:val="single"/>
                <w:lang w:val="en-US" w:eastAsia="zh-CN"/>
              </w:rPr>
              <w:t>8</w:t>
            </w:r>
            <w:r>
              <w:rPr>
                <w:rFonts w:hint="eastAsia" w:ascii="宋体" w:hAnsi="宋体" w:cs="Arial"/>
                <w:szCs w:val="21"/>
              </w:rPr>
              <w:t>月</w:t>
            </w:r>
            <w:r>
              <w:rPr>
                <w:rFonts w:hint="eastAsia" w:ascii="宋体" w:hAnsi="宋体" w:cs="Arial"/>
                <w:szCs w:val="21"/>
                <w:u w:val="single"/>
                <w:lang w:val="en-US" w:eastAsia="zh-CN"/>
              </w:rPr>
              <w:t>30</w:t>
            </w:r>
            <w:r>
              <w:rPr>
                <w:rFonts w:hint="eastAsia" w:ascii="宋体" w:hAnsi="宋体" w:cs="Arial"/>
                <w:szCs w:val="21"/>
                <w:u w:val="single"/>
              </w:rPr>
              <w:t xml:space="preserve"> </w:t>
            </w:r>
            <w:r>
              <w:rPr>
                <w:rFonts w:hint="eastAsia" w:ascii="宋体" w:hAnsi="宋体" w:cs="Arial"/>
                <w:szCs w:val="21"/>
              </w:rPr>
              <w:t>日</w:t>
            </w:r>
          </w:p>
          <w:p>
            <w:pPr>
              <w:rPr>
                <w:rFonts w:ascii="宋体" w:cs="Arial"/>
                <w:szCs w:val="21"/>
              </w:rPr>
            </w:pPr>
            <w:r>
              <w:rPr>
                <w:rFonts w:hint="eastAsia" w:ascii="宋体" w:hAnsi="宋体" w:cs="Arial"/>
                <w:szCs w:val="21"/>
              </w:rPr>
              <w:t>计划</w:t>
            </w:r>
            <w:r>
              <w:rPr>
                <w:rFonts w:hint="eastAsia" w:ascii="宋体" w:hAnsi="宋体" w:cs="Arial"/>
              </w:rPr>
              <w:t>竣工</w:t>
            </w:r>
            <w:r>
              <w:rPr>
                <w:rFonts w:hint="eastAsia" w:ascii="宋体" w:hAnsi="宋体" w:cs="Arial"/>
                <w:szCs w:val="21"/>
              </w:rPr>
              <w:t>日期：</w:t>
            </w:r>
            <w:r>
              <w:rPr>
                <w:rFonts w:hint="eastAsia" w:ascii="宋体" w:hAnsi="宋体" w:cs="Arial"/>
                <w:szCs w:val="21"/>
                <w:u w:val="single"/>
              </w:rPr>
              <w:t>202</w:t>
            </w:r>
            <w:r>
              <w:rPr>
                <w:rFonts w:hint="eastAsia" w:ascii="宋体" w:hAnsi="宋体" w:cs="Arial"/>
                <w:szCs w:val="21"/>
                <w:u w:val="single"/>
                <w:lang w:val="en-US" w:eastAsia="zh-CN"/>
              </w:rPr>
              <w:t>2</w:t>
            </w:r>
            <w:r>
              <w:rPr>
                <w:rFonts w:hint="eastAsia" w:ascii="宋体" w:hAnsi="宋体" w:cs="Arial"/>
                <w:szCs w:val="21"/>
              </w:rPr>
              <w:t>年</w:t>
            </w:r>
            <w:r>
              <w:rPr>
                <w:rFonts w:hint="eastAsia" w:ascii="宋体" w:hAnsi="宋体" w:cs="Arial"/>
                <w:szCs w:val="21"/>
                <w:u w:val="single"/>
              </w:rPr>
              <w:t xml:space="preserve"> </w:t>
            </w:r>
            <w:r>
              <w:rPr>
                <w:rFonts w:hint="eastAsia" w:ascii="宋体" w:hAnsi="宋体" w:cs="Arial"/>
                <w:szCs w:val="21"/>
                <w:u w:val="single"/>
                <w:lang w:val="en-US" w:eastAsia="zh-CN"/>
              </w:rPr>
              <w:t>9</w:t>
            </w:r>
            <w:r>
              <w:rPr>
                <w:rFonts w:hint="eastAsia" w:ascii="宋体" w:hAnsi="宋体" w:cs="Arial"/>
                <w:szCs w:val="21"/>
              </w:rPr>
              <w:t>月</w:t>
            </w:r>
            <w:r>
              <w:rPr>
                <w:rFonts w:hint="eastAsia" w:ascii="宋体" w:hAnsi="宋体" w:cs="Arial"/>
                <w:szCs w:val="21"/>
                <w:u w:val="single"/>
                <w:lang w:val="en-US" w:eastAsia="zh-CN"/>
              </w:rPr>
              <w:t>13</w:t>
            </w:r>
            <w:r>
              <w:rPr>
                <w:rFonts w:hint="eastAsia" w:ascii="宋体" w:hAnsi="宋体" w:cs="Arial"/>
                <w:szCs w:val="21"/>
                <w:u w:val="single"/>
              </w:rPr>
              <w:t xml:space="preserve"> </w:t>
            </w:r>
            <w:r>
              <w:rPr>
                <w:rFonts w:hint="eastAsia" w:ascii="宋体" w:hAnsi="宋体" w:cs="Arial"/>
                <w:szCs w:val="21"/>
              </w:rPr>
              <w:t>日</w:t>
            </w:r>
          </w:p>
          <w:p>
            <w:pPr>
              <w:rPr>
                <w:rFonts w:ascii="宋体" w:cs="Arial"/>
                <w:szCs w:val="21"/>
              </w:rPr>
            </w:pPr>
            <w:r>
              <w:rPr>
                <w:rFonts w:hint="eastAsia" w:ascii="宋体" w:hAnsi="宋体" w:cs="Arial"/>
                <w:szCs w:val="21"/>
              </w:rPr>
              <w:t>除上述总工期外，要求各标段的工期为：</w:t>
            </w:r>
            <w:r>
              <w:rPr>
                <w:rFonts w:hint="eastAsia" w:ascii="宋体" w:hAnsi="宋体" w:cs="Arial"/>
                <w:szCs w:val="21"/>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120" w:type="dxa"/>
            <w:gridSpan w:val="3"/>
            <w:vAlign w:val="center"/>
          </w:tcPr>
          <w:p>
            <w:pPr>
              <w:jc w:val="center"/>
              <w:rPr>
                <w:rFonts w:ascii="宋体" w:cs="Arial"/>
                <w:szCs w:val="21"/>
              </w:rPr>
            </w:pPr>
            <w:r>
              <w:rPr>
                <w:rFonts w:ascii="宋体" w:hAnsi="宋体" w:cs="Arial"/>
                <w:szCs w:val="21"/>
              </w:rPr>
              <w:t>1.3.3</w:t>
            </w:r>
          </w:p>
        </w:tc>
        <w:tc>
          <w:tcPr>
            <w:tcW w:w="2577" w:type="dxa"/>
            <w:gridSpan w:val="2"/>
            <w:vAlign w:val="center"/>
          </w:tcPr>
          <w:p>
            <w:pPr>
              <w:jc w:val="center"/>
              <w:rPr>
                <w:rFonts w:ascii="宋体" w:cs="Arial"/>
                <w:szCs w:val="21"/>
              </w:rPr>
            </w:pPr>
            <w:r>
              <w:rPr>
                <w:rFonts w:hint="eastAsia" w:ascii="宋体" w:hAnsi="宋体" w:cs="Arial"/>
                <w:szCs w:val="21"/>
              </w:rPr>
              <w:t>质量要求</w:t>
            </w:r>
          </w:p>
        </w:tc>
        <w:tc>
          <w:tcPr>
            <w:tcW w:w="6366" w:type="dxa"/>
            <w:gridSpan w:val="2"/>
            <w:vAlign w:val="center"/>
          </w:tcPr>
          <w:p>
            <w:pPr>
              <w:rPr>
                <w:rFonts w:ascii="宋体" w:cs="Arial"/>
                <w:szCs w:val="32"/>
              </w:rPr>
            </w:pPr>
            <w:r>
              <w:rPr>
                <w:rFonts w:hint="eastAsia" w:ascii="宋体" w:hAnsi="宋体" w:cs="Arial"/>
                <w:szCs w:val="21"/>
              </w:rPr>
              <w:t>质量标准：</w:t>
            </w:r>
            <w:r>
              <w:rPr>
                <w:rFonts w:hint="eastAsia" w:ascii="MS Mincho" w:hAnsi="MS Mincho" w:eastAsia="MS Mincho" w:cs="MS Mincho"/>
                <w:szCs w:val="21"/>
              </w:rPr>
              <w:t>☑</w:t>
            </w:r>
            <w:r>
              <w:rPr>
                <w:rFonts w:hint="eastAsia" w:ascii="宋体" w:hAnsi="宋体" w:cs="Arial"/>
                <w:szCs w:val="32"/>
              </w:rPr>
              <w:t>合格</w:t>
            </w:r>
          </w:p>
          <w:p>
            <w:pPr>
              <w:pStyle w:val="33"/>
              <w:numPr>
                <w:ilvl w:val="0"/>
                <w:numId w:val="1"/>
              </w:numPr>
              <w:ind w:firstLineChars="0"/>
              <w:rPr>
                <w:rFonts w:ascii="宋体" w:cs="Arial"/>
                <w:szCs w:val="21"/>
              </w:rPr>
            </w:pPr>
            <w:r>
              <w:rPr>
                <w:rFonts w:hint="eastAsia" w:ascii="宋体" w:hAnsi="宋体" w:cs="Arial"/>
                <w:szCs w:val="21"/>
              </w:rPr>
              <w:t>其他要求：</w:t>
            </w:r>
            <w:r>
              <w:rPr>
                <w:rFonts w:hint="eastAsia" w:ascii="宋体" w:hAnsi="宋体" w:cs="Arial"/>
                <w:szCs w:val="21"/>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120" w:type="dxa"/>
            <w:gridSpan w:val="3"/>
            <w:vAlign w:val="center"/>
          </w:tcPr>
          <w:p>
            <w:pPr>
              <w:jc w:val="center"/>
              <w:rPr>
                <w:rFonts w:ascii="宋体" w:cs="Arial"/>
                <w:szCs w:val="21"/>
              </w:rPr>
            </w:pPr>
            <w:r>
              <w:rPr>
                <w:rFonts w:ascii="宋体" w:hAnsi="宋体" w:cs="Arial"/>
                <w:szCs w:val="21"/>
              </w:rPr>
              <w:t>1.4.1</w:t>
            </w:r>
          </w:p>
        </w:tc>
        <w:tc>
          <w:tcPr>
            <w:tcW w:w="2577" w:type="dxa"/>
            <w:gridSpan w:val="2"/>
            <w:vAlign w:val="center"/>
          </w:tcPr>
          <w:p>
            <w:pPr>
              <w:jc w:val="center"/>
              <w:rPr>
                <w:rFonts w:ascii="宋体" w:cs="Arial"/>
                <w:szCs w:val="21"/>
              </w:rPr>
            </w:pPr>
            <w:r>
              <w:rPr>
                <w:rFonts w:hint="eastAsia" w:ascii="宋体" w:hAnsi="宋体" w:cs="Arial"/>
                <w:szCs w:val="21"/>
              </w:rPr>
              <w:t>投标人资质条件、能力和评价</w:t>
            </w:r>
          </w:p>
        </w:tc>
        <w:tc>
          <w:tcPr>
            <w:tcW w:w="6366" w:type="dxa"/>
            <w:gridSpan w:val="2"/>
            <w:vAlign w:val="center"/>
          </w:tcPr>
          <w:p>
            <w:pPr>
              <w:rPr>
                <w:b/>
              </w:rPr>
            </w:pPr>
            <w:r>
              <w:rPr>
                <w:rFonts w:hint="eastAsia"/>
                <w:b/>
              </w:rPr>
              <w:t>资质条件：</w:t>
            </w:r>
          </w:p>
          <w:p>
            <w:pPr>
              <w:spacing w:line="360" w:lineRule="exact"/>
              <w:rPr>
                <w:rFonts w:ascii="宋体" w:hAnsi="宋体" w:cs="宋体"/>
                <w:szCs w:val="21"/>
              </w:rPr>
            </w:pPr>
            <w:r>
              <w:rPr>
                <w:rFonts w:hint="eastAsia"/>
              </w:rPr>
              <w:t>（</w:t>
            </w:r>
            <w:r>
              <w:t>1</w:t>
            </w:r>
            <w:r>
              <w:rPr>
                <w:rFonts w:hint="eastAsia"/>
              </w:rPr>
              <w:t>）</w:t>
            </w:r>
            <w:r>
              <w:rPr>
                <w:rFonts w:hint="eastAsia" w:ascii="宋体" w:hAnsi="宋体" w:cs="宋体"/>
                <w:szCs w:val="21"/>
              </w:rPr>
              <w:t>投标</w:t>
            </w:r>
            <w:r>
              <w:rPr>
                <w:rFonts w:hint="eastAsia" w:ascii="宋体" w:hAnsi="宋体" w:cs="宋体"/>
                <w:color w:val="auto"/>
                <w:szCs w:val="21"/>
                <w:lang w:val="en-US" w:eastAsia="zh-CN"/>
              </w:rPr>
              <w:t>人</w:t>
            </w:r>
            <w:r>
              <w:rPr>
                <w:rFonts w:hint="eastAsia"/>
              </w:rPr>
              <w:t>具备有效的营业执照</w:t>
            </w:r>
            <w:r>
              <w:rPr>
                <w:rFonts w:hint="eastAsia" w:ascii="宋体" w:hAnsi="宋体" w:cs="宋体"/>
                <w:szCs w:val="21"/>
              </w:rPr>
              <w:t>；</w:t>
            </w:r>
          </w:p>
          <w:p>
            <w:pPr>
              <w:spacing w:line="360" w:lineRule="exact"/>
            </w:pPr>
            <w:r>
              <w:rPr>
                <w:rFonts w:hint="eastAsia"/>
              </w:rPr>
              <w:t>（</w:t>
            </w:r>
            <w:r>
              <w:t>2</w:t>
            </w:r>
            <w:r>
              <w:rPr>
                <w:rFonts w:hint="eastAsia"/>
              </w:rPr>
              <w:t>）</w:t>
            </w:r>
            <w:r>
              <w:rPr>
                <w:rFonts w:hint="eastAsia" w:ascii="宋体" w:hAnsi="宋体" w:cs="宋体"/>
                <w:color w:val="auto"/>
                <w:szCs w:val="21"/>
                <w:lang w:val="en-US" w:eastAsia="zh-CN"/>
              </w:rPr>
              <w:t>具备</w:t>
            </w:r>
            <w:r>
              <w:rPr>
                <w:rFonts w:hint="eastAsia" w:ascii="宋体" w:hAnsi="宋体" w:cs="宋体"/>
                <w:color w:val="auto"/>
                <w:szCs w:val="21"/>
              </w:rPr>
              <w:t>[</w:t>
            </w:r>
            <w:r>
              <w:rPr>
                <w:rFonts w:hint="eastAsia" w:ascii="宋体" w:hAnsi="宋体" w:cs="宋体"/>
                <w:color w:val="auto"/>
                <w:szCs w:val="21"/>
                <w:lang w:val="en-US" w:eastAsia="zh-CN"/>
              </w:rPr>
              <w:t>建筑装修装饰</w:t>
            </w:r>
            <w:r>
              <w:rPr>
                <w:rFonts w:hint="eastAsia" w:ascii="宋体" w:hAnsi="宋体" w:cs="宋体"/>
                <w:color w:val="auto"/>
                <w:szCs w:val="21"/>
              </w:rPr>
              <w:t>工程(2015新标准)</w:t>
            </w:r>
            <w:r>
              <w:rPr>
                <w:rFonts w:hint="eastAsia" w:ascii="宋体" w:hAnsi="宋体" w:cs="宋体"/>
                <w:color w:val="auto"/>
                <w:szCs w:val="21"/>
                <w:lang w:val="en-US" w:eastAsia="zh-CN"/>
              </w:rPr>
              <w:t>二</w:t>
            </w:r>
            <w:r>
              <w:rPr>
                <w:rFonts w:hint="eastAsia" w:ascii="宋体" w:hAnsi="宋体" w:cs="宋体"/>
                <w:color w:val="auto"/>
                <w:szCs w:val="21"/>
              </w:rPr>
              <w:t>级](含)以上资</w:t>
            </w:r>
            <w:r>
              <w:rPr>
                <w:rFonts w:hint="eastAsia" w:ascii="宋体" w:hAnsi="宋体" w:cs="宋体"/>
                <w:szCs w:val="21"/>
              </w:rPr>
              <w:t>质</w:t>
            </w:r>
            <w:r>
              <w:rPr>
                <w:rFonts w:hint="eastAsia"/>
              </w:rPr>
              <w:t>；</w:t>
            </w:r>
          </w:p>
          <w:p>
            <w:pPr>
              <w:spacing w:line="360" w:lineRule="exact"/>
            </w:pPr>
            <w:r>
              <w:rPr>
                <w:rFonts w:hint="eastAsia"/>
              </w:rPr>
              <w:t>（</w:t>
            </w:r>
            <w:r>
              <w:t>3</w:t>
            </w:r>
            <w:r>
              <w:rPr>
                <w:rFonts w:hint="eastAsia"/>
              </w:rPr>
              <w:t>）具备有效的安全生产许可证；</w:t>
            </w:r>
          </w:p>
          <w:p>
            <w:pPr>
              <w:spacing w:line="360" w:lineRule="exact"/>
            </w:pPr>
            <w:r>
              <w:rPr>
                <w:rFonts w:hint="eastAsia"/>
                <w:b/>
                <w:bCs/>
              </w:rPr>
              <w:t>财务要求：</w:t>
            </w:r>
            <w:r>
              <w:rPr>
                <w:rFonts w:hint="eastAsia"/>
              </w:rPr>
              <w:t>财务状态良好，未处于被接管、冻结、破产状态。</w:t>
            </w:r>
          </w:p>
          <w:p>
            <w:pPr>
              <w:spacing w:line="360" w:lineRule="exact"/>
              <w:rPr>
                <w:b/>
              </w:rPr>
            </w:pPr>
            <w:r>
              <w:rPr>
                <w:rFonts w:hint="eastAsia"/>
                <w:b/>
              </w:rPr>
              <w:t>项目经理（建造师，下同）资格：</w:t>
            </w:r>
          </w:p>
          <w:p>
            <w:pPr>
              <w:spacing w:line="360" w:lineRule="exact"/>
              <w:ind w:firstLine="315" w:firstLineChars="150"/>
              <w:rPr>
                <w:b/>
              </w:rPr>
            </w:pPr>
            <w:r>
              <w:rPr>
                <w:rFonts w:hint="eastAsia"/>
              </w:rPr>
              <w:t>项目经理系已在投标人单位注册并具备 [</w:t>
            </w:r>
            <w:r>
              <w:rPr>
                <w:rFonts w:hint="eastAsia"/>
                <w:lang w:val="en-US" w:eastAsia="zh-CN"/>
              </w:rPr>
              <w:t>建筑</w:t>
            </w:r>
            <w:r>
              <w:rPr>
                <w:rFonts w:hint="eastAsia"/>
              </w:rPr>
              <w:t>工程二级]（含以上级）注册建造师执业资格，具备有效的安全生产考核合格证书。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120" w:type="dxa"/>
            <w:gridSpan w:val="3"/>
            <w:vAlign w:val="center"/>
          </w:tcPr>
          <w:p>
            <w:pPr>
              <w:jc w:val="center"/>
              <w:rPr>
                <w:rFonts w:ascii="宋体" w:cs="Arial"/>
                <w:szCs w:val="21"/>
              </w:rPr>
            </w:pPr>
            <w:r>
              <w:rPr>
                <w:rFonts w:ascii="宋体" w:hAnsi="宋体" w:cs="Arial"/>
                <w:szCs w:val="21"/>
              </w:rPr>
              <w:t>1.4.2</w:t>
            </w:r>
          </w:p>
        </w:tc>
        <w:tc>
          <w:tcPr>
            <w:tcW w:w="2577" w:type="dxa"/>
            <w:gridSpan w:val="2"/>
            <w:vAlign w:val="center"/>
          </w:tcPr>
          <w:p>
            <w:pPr>
              <w:jc w:val="center"/>
              <w:rPr>
                <w:rFonts w:ascii="宋体" w:cs="Arial"/>
                <w:szCs w:val="21"/>
              </w:rPr>
            </w:pPr>
            <w:r>
              <w:rPr>
                <w:rFonts w:hint="eastAsia" w:ascii="宋体" w:hAnsi="宋体" w:cs="Arial"/>
                <w:szCs w:val="21"/>
              </w:rPr>
              <w:t>是否接受联合体投标</w:t>
            </w:r>
          </w:p>
        </w:tc>
        <w:tc>
          <w:tcPr>
            <w:tcW w:w="6366" w:type="dxa"/>
            <w:gridSpan w:val="2"/>
            <w:vAlign w:val="center"/>
          </w:tcPr>
          <w:p>
            <w:pPr>
              <w:topLinePunct/>
              <w:rPr>
                <w:rFonts w:hAnsi="宋体" w:cs="Arial"/>
                <w:szCs w:val="21"/>
              </w:rPr>
            </w:pPr>
            <w:r>
              <w:rPr>
                <w:rFonts w:hint="eastAsia" w:ascii="MS Mincho" w:hAnsi="MS Mincho" w:eastAsia="MS Mincho" w:cs="MS Mincho"/>
                <w:szCs w:val="21"/>
              </w:rPr>
              <w:t>☑</w:t>
            </w:r>
            <w:r>
              <w:rPr>
                <w:rFonts w:hint="eastAsia" w:hAnsi="宋体" w:cs="Arial"/>
                <w:szCs w:val="21"/>
              </w:rPr>
              <w:t>不接受</w:t>
            </w:r>
          </w:p>
          <w:p>
            <w:pPr>
              <w:pStyle w:val="33"/>
              <w:numPr>
                <w:ilvl w:val="0"/>
                <w:numId w:val="2"/>
              </w:numPr>
              <w:ind w:firstLineChars="0"/>
              <w:rPr>
                <w:rFonts w:ascii="宋体" w:cs="Arial"/>
                <w:szCs w:val="21"/>
              </w:rPr>
            </w:pPr>
            <w:r>
              <w:rPr>
                <w:rFonts w:hint="eastAsia" w:ascii="宋体" w:hAnsi="宋体" w:cs="Arial"/>
                <w:szCs w:val="21"/>
              </w:rPr>
              <w:t>接受（应满足的要求</w:t>
            </w:r>
            <w:r>
              <w:fldChar w:fldCharType="begin"/>
            </w:r>
            <w:r>
              <w:instrText xml:space="preserve"> HYPERLINK "file:///H:\\泰州招标文件范本\\泰州市房屋建筑和市政工程施工2016.4.docx" \l "_1.4_投标人资格要求（适用于已进行资格预审的）" </w:instrText>
            </w:r>
            <w:r>
              <w:fldChar w:fldCharType="separate"/>
            </w:r>
            <w:r>
              <w:rPr>
                <w:rStyle w:val="18"/>
                <w:rFonts w:hint="eastAsia" w:ascii="宋体" w:hAnsi="宋体" w:cs="Arial"/>
                <w:color w:val="auto"/>
                <w:szCs w:val="21"/>
              </w:rPr>
              <w:t>见投标人须知</w:t>
            </w:r>
            <w:r>
              <w:rPr>
                <w:rStyle w:val="18"/>
                <w:rFonts w:ascii="宋体" w:hAnsi="宋体" w:cs="Arial"/>
                <w:color w:val="auto"/>
                <w:szCs w:val="21"/>
              </w:rPr>
              <w:t>1.4.2</w:t>
            </w:r>
            <w:r>
              <w:rPr>
                <w:rStyle w:val="18"/>
                <w:rFonts w:hint="eastAsia" w:ascii="宋体" w:hAnsi="宋体" w:cs="Arial"/>
                <w:color w:val="auto"/>
                <w:szCs w:val="21"/>
              </w:rPr>
              <w:t>项</w:t>
            </w:r>
            <w:r>
              <w:rPr>
                <w:rStyle w:val="18"/>
                <w:rFonts w:hint="eastAsia" w:ascii="宋体" w:hAnsi="宋体" w:cs="Arial"/>
                <w:color w:val="auto"/>
                <w:szCs w:val="21"/>
              </w:rPr>
              <w:fldChar w:fldCharType="end"/>
            </w:r>
            <w:r>
              <w:rPr>
                <w:rFonts w:hint="eastAsia" w:ascii="宋体" w:hAnsi="宋体" w:cs="Arial"/>
                <w:szCs w:val="21"/>
              </w:rPr>
              <w:t>）</w:t>
            </w:r>
          </w:p>
          <w:p>
            <w:pPr>
              <w:rPr>
                <w:rFonts w:ascii="宋体" w:cs="Arial"/>
                <w:szCs w:val="21"/>
              </w:rPr>
            </w:pPr>
            <w:r>
              <w:rPr>
                <w:rFonts w:hint="eastAsia" w:ascii="宋体" w:hAnsi="宋体" w:cs="Arial"/>
                <w:szCs w:val="21"/>
              </w:rPr>
              <w:t>联合体资质按照联合体协议约定的分工认定。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120" w:type="dxa"/>
            <w:gridSpan w:val="3"/>
            <w:vAlign w:val="center"/>
          </w:tcPr>
          <w:p>
            <w:pPr>
              <w:jc w:val="center"/>
              <w:rPr>
                <w:rFonts w:ascii="宋体" w:cs="Arial"/>
                <w:szCs w:val="21"/>
              </w:rPr>
            </w:pPr>
            <w:r>
              <w:rPr>
                <w:rFonts w:ascii="宋体" w:hAnsi="宋体" w:cs="Arial"/>
                <w:szCs w:val="21"/>
              </w:rPr>
              <w:t>1.9.1</w:t>
            </w:r>
          </w:p>
        </w:tc>
        <w:tc>
          <w:tcPr>
            <w:tcW w:w="2577" w:type="dxa"/>
            <w:gridSpan w:val="2"/>
            <w:vAlign w:val="center"/>
          </w:tcPr>
          <w:p>
            <w:pPr>
              <w:jc w:val="center"/>
              <w:rPr>
                <w:rFonts w:ascii="宋体" w:cs="Arial"/>
                <w:szCs w:val="21"/>
              </w:rPr>
            </w:pPr>
            <w:r>
              <w:rPr>
                <w:rFonts w:hint="eastAsia" w:ascii="宋体" w:hAnsi="宋体" w:cs="Arial"/>
                <w:szCs w:val="21"/>
              </w:rPr>
              <w:t>是否组织踏勘现场</w:t>
            </w:r>
          </w:p>
        </w:tc>
        <w:tc>
          <w:tcPr>
            <w:tcW w:w="6366" w:type="dxa"/>
            <w:gridSpan w:val="2"/>
            <w:vAlign w:val="center"/>
          </w:tcPr>
          <w:p>
            <w:pPr>
              <w:widowControl/>
              <w:jc w:val="left"/>
              <w:rPr>
                <w:rFonts w:hint="eastAsia" w:ascii="宋体" w:eastAsia="宋体" w:cs="Arial"/>
                <w:szCs w:val="21"/>
                <w:lang w:val="en-US" w:eastAsia="zh-CN"/>
              </w:rPr>
            </w:pPr>
            <w:r>
              <w:rPr>
                <w:rFonts w:hint="eastAsia" w:ascii="宋体" w:cs="Arial"/>
                <w:szCs w:val="21"/>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120" w:type="dxa"/>
            <w:gridSpan w:val="3"/>
            <w:vAlign w:val="center"/>
          </w:tcPr>
          <w:p>
            <w:pPr>
              <w:jc w:val="center"/>
              <w:rPr>
                <w:rFonts w:ascii="宋体" w:cs="Arial"/>
                <w:szCs w:val="21"/>
              </w:rPr>
            </w:pPr>
            <w:r>
              <w:rPr>
                <w:rFonts w:ascii="宋体" w:hAnsi="宋体" w:cs="Arial"/>
                <w:szCs w:val="21"/>
              </w:rPr>
              <w:t>1.10.1</w:t>
            </w:r>
          </w:p>
        </w:tc>
        <w:tc>
          <w:tcPr>
            <w:tcW w:w="2577" w:type="dxa"/>
            <w:gridSpan w:val="2"/>
            <w:vAlign w:val="center"/>
          </w:tcPr>
          <w:p>
            <w:pPr>
              <w:jc w:val="center"/>
              <w:rPr>
                <w:rFonts w:ascii="宋体" w:cs="Arial"/>
                <w:szCs w:val="21"/>
              </w:rPr>
            </w:pPr>
            <w:r>
              <w:rPr>
                <w:rFonts w:hint="eastAsia" w:ascii="宋体" w:hAnsi="宋体" w:cs="Arial"/>
                <w:szCs w:val="21"/>
              </w:rPr>
              <w:t>投标预备会</w:t>
            </w:r>
          </w:p>
        </w:tc>
        <w:tc>
          <w:tcPr>
            <w:tcW w:w="6366" w:type="dxa"/>
            <w:gridSpan w:val="2"/>
            <w:vAlign w:val="center"/>
          </w:tcPr>
          <w:p>
            <w:r>
              <w:rPr>
                <w:rFonts w:hint="eastAsia" w:ascii="MS Mincho" w:hAnsi="MS Mincho" w:eastAsia="MS Mincho" w:cs="MS Mincho"/>
                <w:szCs w:val="21"/>
              </w:rPr>
              <w:t>☑</w:t>
            </w:r>
            <w:r>
              <w:rPr>
                <w:rFonts w:hint="eastAsia" w:hAnsi="宋体" w:cs="Arial"/>
                <w:szCs w:val="21"/>
              </w:rPr>
              <w:t>不召开</w:t>
            </w:r>
          </w:p>
          <w:p>
            <w:pPr>
              <w:rPr>
                <w:rFonts w:ascii="宋体" w:hAnsi="宋体" w:cs="Arial"/>
                <w:szCs w:val="21"/>
              </w:rPr>
            </w:pPr>
            <w:r>
              <w:rPr>
                <w:rFonts w:hint="eastAsia" w:ascii="宋体" w:hAnsi="宋体" w:cs="Arial"/>
                <w:szCs w:val="32"/>
              </w:rPr>
              <w:t>□</w:t>
            </w:r>
            <w:r>
              <w:rPr>
                <w:rFonts w:hint="eastAsia" w:ascii="宋体" w:hAnsi="宋体" w:cs="Arial"/>
                <w:szCs w:val="21"/>
              </w:rPr>
              <w:t>召开，召开时间：</w:t>
            </w:r>
            <w:r>
              <w:rPr>
                <w:rFonts w:hint="eastAsia" w:ascii="宋体" w:hAnsi="宋体" w:cs="Arial"/>
                <w:szCs w:val="21"/>
                <w:u w:val="single"/>
              </w:rPr>
              <w:t xml:space="preserve">   /  </w:t>
            </w:r>
            <w:r>
              <w:rPr>
                <w:rFonts w:hint="eastAsia"/>
              </w:rPr>
              <w:t>年</w:t>
            </w:r>
            <w:r>
              <w:rPr>
                <w:rFonts w:hint="eastAsia" w:ascii="宋体" w:hAnsi="宋体" w:cs="Arial"/>
                <w:szCs w:val="21"/>
                <w:u w:val="single"/>
              </w:rPr>
              <w:t xml:space="preserve">  / </w:t>
            </w:r>
            <w:r>
              <w:rPr>
                <w:rFonts w:hint="eastAsia"/>
              </w:rPr>
              <w:t>月</w:t>
            </w:r>
            <w:r>
              <w:rPr>
                <w:rFonts w:hint="eastAsia" w:ascii="宋体" w:hAnsi="宋体" w:cs="Arial"/>
                <w:szCs w:val="21"/>
                <w:u w:val="single"/>
              </w:rPr>
              <w:t xml:space="preserve">  / </w:t>
            </w:r>
            <w:r>
              <w:rPr>
                <w:rFonts w:hint="eastAsia"/>
              </w:rPr>
              <w:t>日</w:t>
            </w:r>
            <w:r>
              <w:rPr>
                <w:rFonts w:hint="eastAsia" w:ascii="宋体" w:hAnsi="宋体" w:cs="Arial"/>
                <w:szCs w:val="21"/>
                <w:u w:val="single"/>
              </w:rPr>
              <w:t xml:space="preserve">  / </w:t>
            </w:r>
            <w:r>
              <w:rPr>
                <w:rFonts w:hint="eastAsia"/>
              </w:rPr>
              <w:t>时</w:t>
            </w:r>
            <w:r>
              <w:rPr>
                <w:rFonts w:hint="eastAsia" w:ascii="宋体" w:hAnsi="宋体" w:cs="Arial"/>
                <w:szCs w:val="21"/>
                <w:u w:val="single"/>
              </w:rPr>
              <w:t xml:space="preserve">  / </w:t>
            </w:r>
            <w:r>
              <w:rPr>
                <w:rFonts w:hint="eastAsia"/>
              </w:rPr>
              <w:t>分</w:t>
            </w:r>
          </w:p>
          <w:p>
            <w:pPr>
              <w:ind w:firstLine="735" w:firstLineChars="350"/>
              <w:rPr>
                <w:rFonts w:ascii="宋体" w:cs="Arial"/>
                <w:szCs w:val="21"/>
                <w:u w:val="single"/>
              </w:rPr>
            </w:pPr>
            <w:r>
              <w:rPr>
                <w:rFonts w:hint="eastAsia" w:ascii="宋体" w:hAnsi="宋体" w:cs="Arial"/>
                <w:szCs w:val="21"/>
              </w:rPr>
              <w:t>召开地点：</w:t>
            </w:r>
            <w:r>
              <w:rPr>
                <w:rFonts w:hint="eastAsia" w:ascii="宋体" w:hAnsi="宋体" w:cs="Arial"/>
                <w:szCs w:val="21"/>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1120" w:type="dxa"/>
            <w:gridSpan w:val="3"/>
            <w:vAlign w:val="center"/>
          </w:tcPr>
          <w:p>
            <w:pPr>
              <w:jc w:val="center"/>
              <w:rPr>
                <w:rFonts w:ascii="宋体" w:cs="Arial"/>
                <w:szCs w:val="21"/>
              </w:rPr>
            </w:pPr>
            <w:r>
              <w:rPr>
                <w:rFonts w:ascii="宋体" w:hAnsi="宋体" w:cs="Arial"/>
                <w:szCs w:val="21"/>
              </w:rPr>
              <w:t>1.10.2</w:t>
            </w:r>
          </w:p>
        </w:tc>
        <w:tc>
          <w:tcPr>
            <w:tcW w:w="2577" w:type="dxa"/>
            <w:gridSpan w:val="2"/>
            <w:vAlign w:val="center"/>
          </w:tcPr>
          <w:p>
            <w:pPr>
              <w:jc w:val="center"/>
              <w:rPr>
                <w:rFonts w:ascii="宋体" w:cs="Arial"/>
                <w:szCs w:val="21"/>
              </w:rPr>
            </w:pPr>
            <w:r>
              <w:rPr>
                <w:rFonts w:hint="eastAsia" w:ascii="宋体" w:hAnsi="宋体" w:cs="Arial"/>
                <w:szCs w:val="21"/>
              </w:rPr>
              <w:t>投标人提出问题的截止时间</w:t>
            </w:r>
          </w:p>
        </w:tc>
        <w:tc>
          <w:tcPr>
            <w:tcW w:w="6366" w:type="dxa"/>
            <w:gridSpan w:val="2"/>
            <w:vAlign w:val="center"/>
          </w:tcPr>
          <w:p>
            <w:pPr>
              <w:rPr>
                <w:rFonts w:ascii="宋体" w:cs="Arial"/>
                <w:szCs w:val="32"/>
                <w:highlight w:val="none"/>
              </w:rPr>
            </w:pPr>
            <w:r>
              <w:rPr>
                <w:rFonts w:hint="eastAsia"/>
                <w:highlight w:val="none"/>
                <w:lang w:eastAsia="zh-CN"/>
              </w:rPr>
              <w:t>2022</w:t>
            </w:r>
            <w:r>
              <w:rPr>
                <w:rFonts w:hint="eastAsia"/>
                <w:highlight w:val="none"/>
              </w:rPr>
              <w:t>年</w:t>
            </w:r>
            <w:r>
              <w:rPr>
                <w:rFonts w:hint="eastAsia"/>
                <w:highlight w:val="none"/>
                <w:lang w:val="en-US" w:eastAsia="zh-CN"/>
              </w:rPr>
              <w:t>8</w:t>
            </w:r>
            <w:r>
              <w:rPr>
                <w:rFonts w:hint="eastAsia"/>
                <w:highlight w:val="none"/>
              </w:rPr>
              <w:t>月</w:t>
            </w:r>
            <w:r>
              <w:rPr>
                <w:rFonts w:hint="eastAsia"/>
                <w:highlight w:val="none"/>
                <w:lang w:val="en-US" w:eastAsia="zh-CN"/>
              </w:rPr>
              <w:t>21</w:t>
            </w:r>
            <w:r>
              <w:rPr>
                <w:rFonts w:hint="eastAsia"/>
                <w:highlight w:val="none"/>
              </w:rPr>
              <w:t>日1</w:t>
            </w:r>
            <w:r>
              <w:rPr>
                <w:rFonts w:hint="eastAsia"/>
                <w:highlight w:val="none"/>
                <w:lang w:val="en-US" w:eastAsia="zh-CN"/>
              </w:rPr>
              <w:t>2</w:t>
            </w:r>
            <w:r>
              <w:rPr>
                <w:rFonts w:hint="eastAsia"/>
                <w:highlight w:val="none"/>
              </w:rPr>
              <w:t>时00分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1120" w:type="dxa"/>
            <w:gridSpan w:val="3"/>
            <w:vAlign w:val="center"/>
          </w:tcPr>
          <w:p>
            <w:pPr>
              <w:jc w:val="center"/>
              <w:rPr>
                <w:rFonts w:ascii="宋体" w:cs="Arial"/>
                <w:szCs w:val="21"/>
              </w:rPr>
            </w:pPr>
            <w:r>
              <w:rPr>
                <w:rFonts w:ascii="宋体" w:hAnsi="宋体" w:cs="Arial"/>
                <w:szCs w:val="21"/>
              </w:rPr>
              <w:t>1.10.3</w:t>
            </w:r>
          </w:p>
        </w:tc>
        <w:tc>
          <w:tcPr>
            <w:tcW w:w="2577" w:type="dxa"/>
            <w:gridSpan w:val="2"/>
            <w:vAlign w:val="center"/>
          </w:tcPr>
          <w:p>
            <w:pPr>
              <w:jc w:val="center"/>
              <w:rPr>
                <w:rFonts w:ascii="宋体" w:cs="Arial"/>
                <w:szCs w:val="21"/>
              </w:rPr>
            </w:pPr>
            <w:r>
              <w:rPr>
                <w:rFonts w:hint="eastAsia" w:ascii="宋体" w:hAnsi="宋体" w:cs="Arial"/>
                <w:szCs w:val="21"/>
              </w:rPr>
              <w:t>招标人澄清的时间</w:t>
            </w:r>
          </w:p>
        </w:tc>
        <w:tc>
          <w:tcPr>
            <w:tcW w:w="6366" w:type="dxa"/>
            <w:gridSpan w:val="2"/>
            <w:vAlign w:val="center"/>
          </w:tcPr>
          <w:p>
            <w:pPr>
              <w:rPr>
                <w:rFonts w:ascii="宋体" w:cs="Arial"/>
                <w:szCs w:val="21"/>
                <w:highlight w:val="none"/>
              </w:rPr>
            </w:pPr>
            <w:r>
              <w:rPr>
                <w:rFonts w:hint="eastAsia"/>
                <w:highlight w:val="none"/>
                <w:lang w:eastAsia="zh-CN"/>
              </w:rPr>
              <w:t>2022</w:t>
            </w:r>
            <w:r>
              <w:rPr>
                <w:rFonts w:hint="eastAsia"/>
                <w:highlight w:val="none"/>
              </w:rPr>
              <w:t>年</w:t>
            </w:r>
            <w:r>
              <w:rPr>
                <w:rFonts w:hint="eastAsia"/>
                <w:highlight w:val="none"/>
                <w:lang w:val="en-US" w:eastAsia="zh-CN"/>
              </w:rPr>
              <w:t>8</w:t>
            </w:r>
            <w:r>
              <w:rPr>
                <w:rFonts w:hint="eastAsia"/>
                <w:highlight w:val="none"/>
              </w:rPr>
              <w:t>月</w:t>
            </w:r>
            <w:r>
              <w:rPr>
                <w:rFonts w:hint="eastAsia"/>
                <w:highlight w:val="none"/>
                <w:lang w:val="en-US" w:eastAsia="zh-CN"/>
              </w:rPr>
              <w:t>22</w:t>
            </w:r>
            <w:r>
              <w:rPr>
                <w:rFonts w:hint="eastAsia"/>
                <w:highlight w:val="none"/>
              </w:rPr>
              <w:t>日1</w:t>
            </w:r>
            <w:r>
              <w:rPr>
                <w:rFonts w:hint="eastAsia"/>
                <w:highlight w:val="none"/>
                <w:lang w:val="en-US" w:eastAsia="zh-CN"/>
              </w:rPr>
              <w:t>7</w:t>
            </w:r>
            <w:r>
              <w:rPr>
                <w:rFonts w:hint="eastAsia"/>
                <w:highlight w:val="none"/>
              </w:rPr>
              <w:t>时00分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120" w:type="dxa"/>
            <w:gridSpan w:val="3"/>
            <w:vAlign w:val="center"/>
          </w:tcPr>
          <w:p>
            <w:pPr>
              <w:jc w:val="center"/>
              <w:rPr>
                <w:rFonts w:ascii="宋体" w:cs="Arial"/>
                <w:szCs w:val="21"/>
              </w:rPr>
            </w:pPr>
            <w:r>
              <w:rPr>
                <w:rFonts w:ascii="宋体" w:hAnsi="宋体" w:cs="Arial"/>
                <w:szCs w:val="21"/>
              </w:rPr>
              <w:t>1.11.1</w:t>
            </w:r>
          </w:p>
        </w:tc>
        <w:tc>
          <w:tcPr>
            <w:tcW w:w="2577" w:type="dxa"/>
            <w:gridSpan w:val="2"/>
            <w:vAlign w:val="center"/>
          </w:tcPr>
          <w:p>
            <w:pPr>
              <w:jc w:val="center"/>
              <w:rPr>
                <w:rFonts w:ascii="宋体" w:cs="Arial"/>
                <w:szCs w:val="21"/>
              </w:rPr>
            </w:pPr>
            <w:r>
              <w:rPr>
                <w:rFonts w:hint="eastAsia" w:ascii="宋体" w:hAnsi="宋体" w:cs="Arial"/>
                <w:szCs w:val="21"/>
              </w:rPr>
              <w:t>是否允许分包</w:t>
            </w:r>
          </w:p>
        </w:tc>
        <w:tc>
          <w:tcPr>
            <w:tcW w:w="6366" w:type="dxa"/>
            <w:gridSpan w:val="2"/>
            <w:vAlign w:val="center"/>
          </w:tcPr>
          <w:p>
            <w:pPr>
              <w:topLinePunct/>
              <w:rPr>
                <w:rFonts w:hAnsi="宋体" w:cs="Arial"/>
                <w:szCs w:val="21"/>
              </w:rPr>
            </w:pPr>
            <w:r>
              <w:rPr>
                <w:rFonts w:hint="eastAsia" w:ascii="MS Mincho" w:hAnsi="MS Mincho" w:eastAsia="MS Mincho" w:cs="MS Mincho"/>
                <w:szCs w:val="21"/>
              </w:rPr>
              <w:t>☑</w:t>
            </w:r>
            <w:r>
              <w:rPr>
                <w:rFonts w:hint="eastAsia" w:hAnsi="宋体" w:cs="Arial"/>
                <w:szCs w:val="21"/>
              </w:rPr>
              <w:t>不允许</w:t>
            </w:r>
          </w:p>
          <w:p>
            <w:pPr>
              <w:rPr>
                <w:rFonts w:ascii="宋体" w:hAnsi="宋体" w:cs="Arial"/>
                <w:szCs w:val="21"/>
              </w:rPr>
            </w:pPr>
            <w:r>
              <w:rPr>
                <w:rFonts w:hint="eastAsia" w:ascii="宋体" w:hAnsi="宋体" w:cs="Arial"/>
                <w:szCs w:val="32"/>
              </w:rPr>
              <w:t>□</w:t>
            </w:r>
            <w:r>
              <w:rPr>
                <w:rFonts w:hint="eastAsia" w:ascii="宋体" w:hAnsi="宋体" w:cs="Arial"/>
                <w:szCs w:val="21"/>
              </w:rPr>
              <w:t>允许，分包内容要求：</w:t>
            </w:r>
            <w:r>
              <w:rPr>
                <w:rFonts w:hint="eastAsia" w:ascii="宋体" w:hAnsi="宋体" w:cs="Arial"/>
                <w:szCs w:val="21"/>
                <w:u w:val="single"/>
              </w:rPr>
              <w:t xml:space="preserve">   /  </w:t>
            </w:r>
          </w:p>
          <w:p>
            <w:pPr>
              <w:ind w:firstLine="840" w:firstLineChars="400"/>
              <w:rPr>
                <w:rFonts w:ascii="宋体" w:hAnsi="宋体" w:cs="Arial"/>
                <w:szCs w:val="21"/>
              </w:rPr>
            </w:pPr>
            <w:r>
              <w:rPr>
                <w:rFonts w:hint="eastAsia" w:ascii="宋体" w:hAnsi="宋体" w:cs="Arial"/>
                <w:szCs w:val="21"/>
              </w:rPr>
              <w:t>分包金额要求：</w:t>
            </w:r>
            <w:r>
              <w:rPr>
                <w:rFonts w:hint="eastAsia" w:ascii="宋体" w:hAnsi="宋体" w:cs="Arial"/>
                <w:szCs w:val="21"/>
                <w:u w:val="single"/>
              </w:rPr>
              <w:t xml:space="preserve">   /  </w:t>
            </w:r>
          </w:p>
          <w:p>
            <w:pPr>
              <w:topLinePunct/>
              <w:ind w:firstLine="840" w:firstLineChars="400"/>
              <w:rPr>
                <w:rFonts w:ascii="宋体" w:hAnsi="宋体" w:cs="Arial"/>
                <w:szCs w:val="21"/>
              </w:rPr>
            </w:pPr>
            <w:r>
              <w:rPr>
                <w:rFonts w:hint="eastAsia" w:ascii="宋体" w:hAnsi="宋体" w:cs="Arial"/>
                <w:szCs w:val="21"/>
              </w:rPr>
              <w:t>分包专业的资质要求：</w:t>
            </w:r>
            <w:r>
              <w:rPr>
                <w:rFonts w:hint="eastAsia" w:ascii="宋体" w:hAnsi="宋体" w:cs="Arial"/>
                <w:szCs w:val="21"/>
                <w:u w:val="single"/>
              </w:rPr>
              <w:t xml:space="preserve">   /  </w:t>
            </w:r>
            <w:r>
              <w:rPr>
                <w:rFonts w:hint="eastAsia" w:ascii="宋体" w:hAnsi="宋体" w:cs="Arial"/>
                <w:szCs w:val="21"/>
              </w:rPr>
              <w:t>级</w:t>
            </w:r>
          </w:p>
          <w:p>
            <w:pPr>
              <w:topLinePunct/>
              <w:ind w:firstLine="840" w:firstLineChars="400"/>
              <w:rPr>
                <w:rFonts w:ascii="宋体" w:hAnsi="宋体" w:cs="Arial"/>
                <w:szCs w:val="21"/>
              </w:rPr>
            </w:pPr>
            <w:r>
              <w:rPr>
                <w:rFonts w:hint="eastAsia" w:ascii="宋体" w:hAnsi="宋体" w:cs="Arial"/>
                <w:szCs w:val="21"/>
              </w:rPr>
              <w:t>分包专业项目经理(建造师)要求：</w:t>
            </w:r>
            <w:r>
              <w:rPr>
                <w:rFonts w:hint="eastAsia" w:ascii="宋体" w:hAnsi="宋体" w:cs="Arial"/>
                <w:szCs w:val="21"/>
                <w:u w:val="single"/>
              </w:rPr>
              <w:t xml:space="preserve">   /  </w:t>
            </w:r>
            <w:r>
              <w:rPr>
                <w:rFonts w:hint="eastAsia" w:ascii="宋体" w:hAnsi="宋体" w:cs="Arial"/>
                <w:szCs w:val="21"/>
              </w:rPr>
              <w:t>专业</w:t>
            </w:r>
            <w:r>
              <w:rPr>
                <w:rFonts w:hint="eastAsia" w:ascii="宋体" w:hAnsi="宋体" w:cs="Arial"/>
                <w:szCs w:val="21"/>
                <w:u w:val="single"/>
              </w:rPr>
              <w:t xml:space="preserve">  /  </w:t>
            </w:r>
            <w:r>
              <w:rPr>
                <w:rFonts w:hint="eastAsia" w:ascii="宋体" w:hAnsi="宋体" w:cs="Arial"/>
                <w:szCs w:val="21"/>
              </w:rPr>
              <w:t>级。</w:t>
            </w:r>
          </w:p>
          <w:p>
            <w:pPr>
              <w:topLinePunct/>
              <w:ind w:firstLine="840" w:firstLineChars="400"/>
              <w:rPr>
                <w:rFonts w:ascii="宋体" w:cs="Arial"/>
                <w:szCs w:val="21"/>
                <w:u w:val="single"/>
              </w:rPr>
            </w:pPr>
            <w:r>
              <w:rPr>
                <w:rFonts w:hint="eastAsia" w:ascii="宋体" w:hAnsi="宋体" w:cs="Arial"/>
                <w:szCs w:val="21"/>
              </w:rPr>
              <w:t>其他要求：</w:t>
            </w:r>
            <w:r>
              <w:rPr>
                <w:rFonts w:hint="eastAsia" w:ascii="宋体" w:hAnsi="宋体" w:cs="Arial"/>
                <w:szCs w:val="21"/>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120" w:type="dxa"/>
            <w:gridSpan w:val="3"/>
            <w:vAlign w:val="center"/>
          </w:tcPr>
          <w:p>
            <w:pPr>
              <w:jc w:val="center"/>
              <w:rPr>
                <w:rFonts w:ascii="宋体" w:cs="Arial"/>
                <w:szCs w:val="21"/>
              </w:rPr>
            </w:pPr>
            <w:r>
              <w:rPr>
                <w:rFonts w:ascii="宋体" w:hAnsi="宋体" w:cs="Arial"/>
                <w:szCs w:val="21"/>
              </w:rPr>
              <w:t>1.12.1</w:t>
            </w:r>
          </w:p>
        </w:tc>
        <w:tc>
          <w:tcPr>
            <w:tcW w:w="2577" w:type="dxa"/>
            <w:gridSpan w:val="2"/>
            <w:vAlign w:val="center"/>
          </w:tcPr>
          <w:p>
            <w:pPr>
              <w:topLinePunct/>
              <w:ind w:left="840" w:hanging="840" w:hangingChars="400"/>
              <w:jc w:val="center"/>
              <w:rPr>
                <w:rFonts w:ascii="宋体" w:cs="Arial"/>
                <w:szCs w:val="21"/>
              </w:rPr>
            </w:pPr>
            <w:r>
              <w:rPr>
                <w:rFonts w:hint="eastAsia" w:ascii="宋体" w:hAnsi="宋体" w:cs="Arial"/>
                <w:szCs w:val="21"/>
              </w:rPr>
              <w:t>是否允许偏离</w:t>
            </w:r>
          </w:p>
        </w:tc>
        <w:tc>
          <w:tcPr>
            <w:tcW w:w="6366" w:type="dxa"/>
            <w:gridSpan w:val="2"/>
            <w:vAlign w:val="center"/>
          </w:tcPr>
          <w:p>
            <w:pPr>
              <w:topLinePunct/>
              <w:rPr>
                <w:rFonts w:ascii="宋体" w:cs="Arial"/>
                <w:szCs w:val="21"/>
              </w:rPr>
            </w:pPr>
            <w:r>
              <w:rPr>
                <w:rFonts w:hint="eastAsia" w:ascii="宋体" w:hAnsi="宋体" w:cs="Arial"/>
                <w:szCs w:val="21"/>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120" w:type="dxa"/>
            <w:gridSpan w:val="3"/>
            <w:vAlign w:val="center"/>
          </w:tcPr>
          <w:p>
            <w:pPr>
              <w:jc w:val="center"/>
              <w:rPr>
                <w:rFonts w:ascii="宋体" w:cs="Arial"/>
                <w:b/>
                <w:sz w:val="24"/>
              </w:rPr>
            </w:pPr>
            <w:r>
              <w:rPr>
                <w:rFonts w:ascii="宋体" w:hAnsi="宋体" w:cs="Arial"/>
                <w:b/>
                <w:sz w:val="24"/>
              </w:rPr>
              <w:t>2.</w:t>
            </w:r>
          </w:p>
        </w:tc>
        <w:tc>
          <w:tcPr>
            <w:tcW w:w="8943" w:type="dxa"/>
            <w:gridSpan w:val="4"/>
            <w:vAlign w:val="center"/>
          </w:tcPr>
          <w:p>
            <w:pPr>
              <w:topLinePunct/>
              <w:jc w:val="center"/>
              <w:rPr>
                <w:rFonts w:ascii="宋体" w:cs="Arial"/>
                <w:szCs w:val="21"/>
              </w:rPr>
            </w:pPr>
            <w:r>
              <w:rPr>
                <w:rFonts w:hint="eastAsia" w:ascii="宋体" w:hAnsi="宋体" w:cs="Arial"/>
                <w:b/>
                <w:sz w:val="24"/>
              </w:rPr>
              <w:t>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120" w:type="dxa"/>
            <w:gridSpan w:val="3"/>
            <w:vAlign w:val="center"/>
          </w:tcPr>
          <w:p>
            <w:pPr>
              <w:jc w:val="center"/>
              <w:rPr>
                <w:rFonts w:ascii="宋体" w:cs="Arial"/>
                <w:szCs w:val="21"/>
              </w:rPr>
            </w:pPr>
            <w:r>
              <w:rPr>
                <w:rFonts w:ascii="宋体" w:hAnsi="宋体" w:cs="Arial"/>
                <w:szCs w:val="21"/>
              </w:rPr>
              <w:t>2.1</w:t>
            </w:r>
          </w:p>
        </w:tc>
        <w:tc>
          <w:tcPr>
            <w:tcW w:w="2577" w:type="dxa"/>
            <w:gridSpan w:val="2"/>
            <w:vAlign w:val="center"/>
          </w:tcPr>
          <w:p>
            <w:pPr>
              <w:jc w:val="center"/>
              <w:rPr>
                <w:rFonts w:ascii="宋体" w:cs="Arial"/>
                <w:szCs w:val="21"/>
              </w:rPr>
            </w:pPr>
            <w:r>
              <w:rPr>
                <w:rFonts w:hint="eastAsia" w:ascii="宋体" w:hAnsi="宋体" w:cs="Arial"/>
                <w:szCs w:val="21"/>
              </w:rPr>
              <w:t>构成招标文件的其他材料</w:t>
            </w:r>
          </w:p>
        </w:tc>
        <w:tc>
          <w:tcPr>
            <w:tcW w:w="6366" w:type="dxa"/>
            <w:gridSpan w:val="2"/>
            <w:vAlign w:val="center"/>
          </w:tcPr>
          <w:p>
            <w:pPr>
              <w:rPr>
                <w:rFonts w:hAnsi="宋体" w:cs="Arial"/>
                <w:szCs w:val="32"/>
                <w:u w:val="single"/>
              </w:rPr>
            </w:pPr>
            <w:r>
              <w:rPr>
                <w:rFonts w:hint="eastAsia" w:hAnsi="宋体"/>
              </w:rPr>
              <w:t>招标文件的澄清、修改、补充通知等内容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120" w:type="dxa"/>
            <w:gridSpan w:val="3"/>
            <w:vAlign w:val="center"/>
          </w:tcPr>
          <w:p>
            <w:pPr>
              <w:jc w:val="center"/>
              <w:rPr>
                <w:rFonts w:ascii="宋体" w:cs="Arial"/>
                <w:szCs w:val="21"/>
              </w:rPr>
            </w:pPr>
            <w:bookmarkStart w:id="71" w:name="_2.2_1"/>
            <w:bookmarkEnd w:id="71"/>
            <w:r>
              <w:rPr>
                <w:rFonts w:ascii="宋体" w:hAnsi="宋体" w:cs="Arial"/>
                <w:szCs w:val="21"/>
              </w:rPr>
              <w:t>2.2.1</w:t>
            </w:r>
          </w:p>
        </w:tc>
        <w:tc>
          <w:tcPr>
            <w:tcW w:w="2577" w:type="dxa"/>
            <w:gridSpan w:val="2"/>
            <w:vAlign w:val="center"/>
          </w:tcPr>
          <w:p>
            <w:pPr>
              <w:jc w:val="center"/>
              <w:rPr>
                <w:rFonts w:ascii="宋体" w:cs="Arial"/>
                <w:szCs w:val="21"/>
              </w:rPr>
            </w:pPr>
            <w:r>
              <w:rPr>
                <w:rFonts w:hint="eastAsia" w:ascii="宋体" w:hAnsi="宋体" w:cs="Arial"/>
                <w:szCs w:val="21"/>
              </w:rPr>
              <w:t>投标人要求澄清招标</w:t>
            </w:r>
          </w:p>
          <w:p>
            <w:pPr>
              <w:jc w:val="center"/>
              <w:rPr>
                <w:rFonts w:ascii="宋体" w:cs="Arial"/>
                <w:szCs w:val="21"/>
              </w:rPr>
            </w:pPr>
            <w:r>
              <w:rPr>
                <w:rFonts w:hint="eastAsia" w:ascii="宋体" w:hAnsi="宋体" w:cs="Arial"/>
                <w:szCs w:val="21"/>
              </w:rPr>
              <w:t>文件的截止时间</w:t>
            </w:r>
          </w:p>
        </w:tc>
        <w:tc>
          <w:tcPr>
            <w:tcW w:w="6366" w:type="dxa"/>
            <w:gridSpan w:val="2"/>
            <w:vAlign w:val="center"/>
          </w:tcPr>
          <w:p>
            <w:r>
              <w:rPr>
                <w:rFonts w:hint="eastAsia"/>
                <w:lang w:eastAsia="zh-CN"/>
              </w:rPr>
              <w:t>2022</w:t>
            </w:r>
            <w:r>
              <w:rPr>
                <w:rFonts w:hint="eastAsia"/>
              </w:rPr>
              <w:t>年</w:t>
            </w:r>
            <w:r>
              <w:rPr>
                <w:rFonts w:hint="eastAsia"/>
                <w:lang w:val="en-US" w:eastAsia="zh-CN"/>
              </w:rPr>
              <w:t>8</w:t>
            </w:r>
            <w:r>
              <w:rPr>
                <w:rFonts w:hint="eastAsia"/>
              </w:rPr>
              <w:t>月</w:t>
            </w:r>
            <w:r>
              <w:rPr>
                <w:rFonts w:hint="eastAsia"/>
                <w:highlight w:val="none"/>
                <w:lang w:val="en-US" w:eastAsia="zh-CN"/>
              </w:rPr>
              <w:t>22</w:t>
            </w:r>
            <w:r>
              <w:rPr>
                <w:rFonts w:hint="eastAsia"/>
              </w:rPr>
              <w:t>日</w:t>
            </w:r>
            <w:r>
              <w:rPr>
                <w:rFonts w:hint="eastAsia"/>
                <w:lang w:val="en-US" w:eastAsia="zh-CN"/>
              </w:rPr>
              <w:t>17</w:t>
            </w:r>
            <w:r>
              <w:rPr>
                <w:rFonts w:hint="eastAsia"/>
              </w:rPr>
              <w:t>时00分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120" w:type="dxa"/>
            <w:gridSpan w:val="3"/>
            <w:vAlign w:val="center"/>
          </w:tcPr>
          <w:p>
            <w:pPr>
              <w:jc w:val="center"/>
              <w:rPr>
                <w:rFonts w:ascii="宋体" w:cs="Arial"/>
                <w:szCs w:val="21"/>
              </w:rPr>
            </w:pPr>
            <w:r>
              <w:rPr>
                <w:rFonts w:ascii="宋体" w:hAnsi="宋体" w:cs="Arial"/>
                <w:szCs w:val="21"/>
              </w:rPr>
              <w:t>2.2.2</w:t>
            </w:r>
          </w:p>
        </w:tc>
        <w:tc>
          <w:tcPr>
            <w:tcW w:w="2577" w:type="dxa"/>
            <w:gridSpan w:val="2"/>
            <w:vAlign w:val="center"/>
          </w:tcPr>
          <w:p>
            <w:pPr>
              <w:jc w:val="center"/>
              <w:rPr>
                <w:rFonts w:ascii="宋体" w:cs="Arial"/>
                <w:szCs w:val="21"/>
              </w:rPr>
            </w:pPr>
            <w:r>
              <w:rPr>
                <w:rFonts w:hint="eastAsia" w:ascii="宋体" w:hAnsi="宋体" w:cs="Arial"/>
                <w:szCs w:val="21"/>
              </w:rPr>
              <w:t>投标截止时间</w:t>
            </w:r>
          </w:p>
        </w:tc>
        <w:tc>
          <w:tcPr>
            <w:tcW w:w="6366" w:type="dxa"/>
            <w:gridSpan w:val="2"/>
            <w:vAlign w:val="center"/>
          </w:tcPr>
          <w:p>
            <w:r>
              <w:rPr>
                <w:rFonts w:hint="eastAsia"/>
                <w:lang w:eastAsia="zh-CN"/>
              </w:rPr>
              <w:t>2022</w:t>
            </w:r>
            <w:r>
              <w:rPr>
                <w:rFonts w:hint="eastAsia"/>
              </w:rPr>
              <w:t>年</w:t>
            </w:r>
            <w:r>
              <w:rPr>
                <w:rFonts w:hint="eastAsia"/>
                <w:lang w:val="en-US" w:eastAsia="zh-CN"/>
              </w:rPr>
              <w:t>8</w:t>
            </w:r>
            <w:r>
              <w:rPr>
                <w:rFonts w:hint="eastAsia"/>
              </w:rPr>
              <w:t>月</w:t>
            </w:r>
            <w:r>
              <w:rPr>
                <w:rFonts w:hint="eastAsia"/>
                <w:highlight w:val="none"/>
                <w:lang w:val="en-US" w:eastAsia="zh-CN"/>
              </w:rPr>
              <w:t>28</w:t>
            </w:r>
            <w:r>
              <w:rPr>
                <w:rFonts w:hint="eastAsia"/>
              </w:rPr>
              <w:t>日</w:t>
            </w:r>
            <w:r>
              <w:rPr>
                <w:rFonts w:hint="eastAsia"/>
                <w:lang w:val="en-US" w:eastAsia="zh-CN"/>
              </w:rPr>
              <w:t>14</w:t>
            </w:r>
            <w:r>
              <w:rPr>
                <w:rFonts w:hint="eastAsia"/>
              </w:rPr>
              <w:t>时30分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120" w:type="dxa"/>
            <w:gridSpan w:val="3"/>
            <w:vAlign w:val="center"/>
          </w:tcPr>
          <w:p>
            <w:pPr>
              <w:jc w:val="center"/>
              <w:rPr>
                <w:rFonts w:ascii="宋体" w:cs="Arial"/>
                <w:b/>
                <w:sz w:val="24"/>
              </w:rPr>
            </w:pPr>
            <w:r>
              <w:rPr>
                <w:rFonts w:ascii="宋体" w:hAnsi="宋体" w:cs="Arial"/>
                <w:b/>
                <w:sz w:val="24"/>
              </w:rPr>
              <w:t>3</w:t>
            </w:r>
          </w:p>
        </w:tc>
        <w:tc>
          <w:tcPr>
            <w:tcW w:w="8943" w:type="dxa"/>
            <w:gridSpan w:val="4"/>
            <w:vAlign w:val="center"/>
          </w:tcPr>
          <w:p>
            <w:pPr>
              <w:jc w:val="center"/>
              <w:rPr>
                <w:rFonts w:ascii="宋体" w:cs="Arial"/>
                <w:szCs w:val="21"/>
              </w:rPr>
            </w:pPr>
            <w:r>
              <w:rPr>
                <w:rFonts w:hint="eastAsia" w:ascii="宋体" w:hAnsi="宋体" w:cs="Arial"/>
                <w:b/>
                <w:sz w:val="24"/>
              </w:rPr>
              <w:t>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120" w:type="dxa"/>
            <w:gridSpan w:val="3"/>
            <w:vAlign w:val="center"/>
          </w:tcPr>
          <w:p>
            <w:pPr>
              <w:jc w:val="center"/>
              <w:rPr>
                <w:rFonts w:ascii="宋体" w:cs="Arial"/>
                <w:szCs w:val="21"/>
              </w:rPr>
            </w:pPr>
            <w:r>
              <w:rPr>
                <w:rFonts w:ascii="宋体" w:hAnsi="宋体" w:cs="Arial"/>
                <w:szCs w:val="21"/>
              </w:rPr>
              <w:t>3.1.1</w:t>
            </w:r>
          </w:p>
        </w:tc>
        <w:tc>
          <w:tcPr>
            <w:tcW w:w="2577" w:type="dxa"/>
            <w:gridSpan w:val="2"/>
            <w:vAlign w:val="center"/>
          </w:tcPr>
          <w:p>
            <w:pPr>
              <w:jc w:val="center"/>
              <w:rPr>
                <w:rFonts w:ascii="宋体" w:cs="Arial"/>
                <w:szCs w:val="21"/>
              </w:rPr>
            </w:pPr>
            <w:r>
              <w:rPr>
                <w:rFonts w:hint="eastAsia" w:ascii="宋体" w:hAnsi="宋体" w:cs="Arial"/>
                <w:szCs w:val="21"/>
              </w:rPr>
              <w:t>构成投标文件的其他材料</w:t>
            </w:r>
          </w:p>
        </w:tc>
        <w:tc>
          <w:tcPr>
            <w:tcW w:w="6366" w:type="dxa"/>
            <w:gridSpan w:val="2"/>
            <w:vAlign w:val="center"/>
          </w:tcPr>
          <w:p>
            <w:pPr>
              <w:rPr>
                <w:rFonts w:ascii="宋体" w:cs="Arial"/>
                <w:szCs w:val="21"/>
              </w:rPr>
            </w:pPr>
            <w:r>
              <w:rPr>
                <w:rFonts w:hint="eastAsia" w:ascii="宋体" w:cs="Arial"/>
                <w:szCs w:val="21"/>
              </w:rPr>
              <w:t>低价差额担保（如有）；</w:t>
            </w:r>
          </w:p>
          <w:p>
            <w:pPr>
              <w:rPr>
                <w:rFonts w:ascii="宋体" w:cs="Arial"/>
                <w:b/>
                <w:szCs w:val="21"/>
                <w:u w:val="single"/>
              </w:rPr>
            </w:pPr>
            <w:r>
              <w:rPr>
                <w:rFonts w:hint="eastAsia" w:ascii="宋体" w:hAnsi="宋体" w:cs="Arial"/>
                <w:b/>
                <w:szCs w:val="21"/>
                <w:u w:val="single"/>
              </w:rPr>
              <w:t>注：上述</w:t>
            </w:r>
            <w:r>
              <w:rPr>
                <w:rFonts w:hint="eastAsia" w:ascii="宋体" w:hAnsi="宋体"/>
                <w:b/>
                <w:szCs w:val="21"/>
                <w:u w:val="single"/>
              </w:rPr>
              <w:t>材料应以复印件形式附在投标文件格式其他材料中，同时原件必须在投标截止时间前，单独密封递交。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120" w:type="dxa"/>
            <w:gridSpan w:val="3"/>
            <w:vAlign w:val="center"/>
          </w:tcPr>
          <w:p>
            <w:pPr>
              <w:jc w:val="center"/>
              <w:rPr>
                <w:rFonts w:ascii="宋体" w:cs="Arial"/>
                <w:szCs w:val="21"/>
              </w:rPr>
            </w:pPr>
            <w:r>
              <w:rPr>
                <w:rFonts w:ascii="宋体" w:hAnsi="宋体" w:cs="Arial"/>
                <w:szCs w:val="21"/>
              </w:rPr>
              <w:t>3.3.1</w:t>
            </w:r>
          </w:p>
        </w:tc>
        <w:tc>
          <w:tcPr>
            <w:tcW w:w="2577" w:type="dxa"/>
            <w:gridSpan w:val="2"/>
            <w:vAlign w:val="center"/>
          </w:tcPr>
          <w:p>
            <w:pPr>
              <w:jc w:val="center"/>
              <w:rPr>
                <w:rFonts w:ascii="宋体" w:cs="Arial"/>
                <w:szCs w:val="21"/>
              </w:rPr>
            </w:pPr>
            <w:r>
              <w:rPr>
                <w:rFonts w:hint="eastAsia" w:ascii="宋体" w:hAnsi="宋体" w:cs="Arial"/>
                <w:szCs w:val="21"/>
              </w:rPr>
              <w:t>投标有效期</w:t>
            </w:r>
          </w:p>
        </w:tc>
        <w:tc>
          <w:tcPr>
            <w:tcW w:w="6366" w:type="dxa"/>
            <w:gridSpan w:val="2"/>
            <w:vAlign w:val="center"/>
          </w:tcPr>
          <w:p>
            <w:pPr>
              <w:rPr>
                <w:rFonts w:ascii="宋体" w:cs="Arial"/>
                <w:szCs w:val="21"/>
                <w:u w:val="single"/>
              </w:rPr>
            </w:pPr>
            <w:r>
              <w:t xml:space="preserve">90 </w:t>
            </w:r>
            <w:r>
              <w:rPr>
                <w:rFonts w:hint="eastAsia" w:hAnsi="宋体"/>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2" w:hRule="atLeast"/>
        </w:trPr>
        <w:tc>
          <w:tcPr>
            <w:tcW w:w="1120" w:type="dxa"/>
            <w:gridSpan w:val="3"/>
            <w:vAlign w:val="center"/>
          </w:tcPr>
          <w:p>
            <w:pPr>
              <w:jc w:val="center"/>
              <w:rPr>
                <w:rFonts w:ascii="宋体" w:cs="Arial"/>
                <w:szCs w:val="21"/>
              </w:rPr>
            </w:pPr>
            <w:r>
              <w:rPr>
                <w:rFonts w:ascii="宋体" w:hAnsi="宋体" w:cs="Arial"/>
                <w:szCs w:val="21"/>
              </w:rPr>
              <w:t>3.4.1</w:t>
            </w:r>
          </w:p>
        </w:tc>
        <w:tc>
          <w:tcPr>
            <w:tcW w:w="2577" w:type="dxa"/>
            <w:gridSpan w:val="2"/>
            <w:vAlign w:val="center"/>
          </w:tcPr>
          <w:p>
            <w:pPr>
              <w:jc w:val="center"/>
              <w:rPr>
                <w:rFonts w:ascii="宋体" w:cs="Arial"/>
                <w:szCs w:val="21"/>
              </w:rPr>
            </w:pPr>
            <w:r>
              <w:rPr>
                <w:rFonts w:hint="eastAsia" w:ascii="宋体" w:hAnsi="宋体" w:cs="Arial"/>
                <w:szCs w:val="21"/>
              </w:rPr>
              <w:t>投标保证金</w:t>
            </w:r>
          </w:p>
        </w:tc>
        <w:tc>
          <w:tcPr>
            <w:tcW w:w="6366" w:type="dxa"/>
            <w:gridSpan w:val="2"/>
            <w:vAlign w:val="center"/>
          </w:tcPr>
          <w:p>
            <w:pPr>
              <w:spacing w:line="360" w:lineRule="exact"/>
              <w:rPr>
                <w:rFonts w:hint="default" w:ascii="Times" w:hAnsi="宋体" w:cs="MingLiU"/>
                <w:kern w:val="0"/>
                <w:position w:val="-2"/>
                <w:szCs w:val="21"/>
                <w:lang w:val="en-US" w:eastAsia="zh-CN"/>
              </w:rPr>
            </w:pPr>
            <w:r>
              <w:rPr>
                <w:rFonts w:hint="eastAsia" w:ascii="Times" w:hAnsi="宋体" w:cs="MingLiU"/>
                <w:kern w:val="0"/>
                <w:position w:val="-2"/>
                <w:szCs w:val="21"/>
              </w:rPr>
              <w:t>投标保证金的形式：</w:t>
            </w:r>
            <w:r>
              <w:rPr>
                <w:rFonts w:hint="eastAsia" w:ascii="Times" w:hAnsi="宋体" w:cs="MingLiU"/>
                <w:kern w:val="0"/>
                <w:position w:val="-2"/>
                <w:szCs w:val="21"/>
                <w:u w:val="single"/>
                <w:lang w:val="en-US" w:eastAsia="zh-CN"/>
              </w:rPr>
              <w:t>现金</w:t>
            </w:r>
          </w:p>
          <w:p>
            <w:pPr>
              <w:spacing w:line="360" w:lineRule="exact"/>
              <w:rPr>
                <w:rFonts w:hint="eastAsia" w:ascii="Times" w:hAnsi="宋体" w:cs="MingLiU"/>
                <w:kern w:val="0"/>
                <w:position w:val="-2"/>
                <w:szCs w:val="21"/>
              </w:rPr>
            </w:pPr>
            <w:r>
              <w:rPr>
                <w:rFonts w:hint="eastAsia" w:ascii="Times" w:hAnsi="宋体" w:cs="MingLiU"/>
                <w:kern w:val="0"/>
                <w:position w:val="-2"/>
                <w:szCs w:val="21"/>
              </w:rPr>
              <w:t>投标保证金的金额：</w:t>
            </w:r>
            <w:r>
              <w:rPr>
                <w:rFonts w:hint="eastAsia" w:ascii="Times" w:hAnsi="宋体" w:cs="MingLiU"/>
                <w:kern w:val="0"/>
                <w:position w:val="-2"/>
                <w:szCs w:val="21"/>
                <w:u w:val="single"/>
                <w:lang w:val="en-US" w:eastAsia="zh-CN"/>
              </w:rPr>
              <w:t>1</w:t>
            </w:r>
            <w:r>
              <w:rPr>
                <w:rFonts w:hint="eastAsia" w:ascii="Times" w:hAnsi="宋体" w:cs="MingLiU"/>
                <w:kern w:val="0"/>
                <w:position w:val="-2"/>
                <w:szCs w:val="21"/>
                <w:u w:val="single"/>
              </w:rPr>
              <w:t>万元</w:t>
            </w:r>
          </w:p>
          <w:p>
            <w:pPr>
              <w:spacing w:line="360" w:lineRule="exact"/>
              <w:rPr>
                <w:rFonts w:hint="eastAsia" w:ascii="Times" w:hAnsi="宋体" w:cs="MingLiU"/>
                <w:kern w:val="0"/>
                <w:position w:val="-2"/>
                <w:szCs w:val="21"/>
              </w:rPr>
            </w:pPr>
            <w:r>
              <w:rPr>
                <w:rFonts w:hint="eastAsia" w:ascii="Times" w:hAnsi="宋体" w:cs="MingLiU"/>
                <w:kern w:val="0"/>
                <w:position w:val="-2"/>
                <w:szCs w:val="21"/>
              </w:rPr>
              <w:t>递交要求：</w:t>
            </w:r>
          </w:p>
          <w:p>
            <w:pPr>
              <w:spacing w:line="360" w:lineRule="exact"/>
              <w:rPr>
                <w:rFonts w:ascii="Times" w:hAnsi="宋体" w:cs="MingLiU"/>
                <w:kern w:val="0"/>
                <w:position w:val="-2"/>
                <w:szCs w:val="21"/>
              </w:rPr>
            </w:pPr>
            <w:r>
              <w:rPr>
                <w:rFonts w:hint="eastAsia" w:ascii="Times" w:hAnsi="宋体" w:cs="MingLiU"/>
                <w:kern w:val="0"/>
                <w:position w:val="-2"/>
                <w:szCs w:val="21"/>
              </w:rPr>
              <w:t>1、在投标截止时间前递交。</w:t>
            </w:r>
          </w:p>
          <w:p>
            <w:pPr>
              <w:spacing w:line="360" w:lineRule="exact"/>
              <w:rPr>
                <w:rFonts w:ascii="Times" w:hAnsi="宋体" w:cs="MingLiU"/>
                <w:kern w:val="0"/>
                <w:position w:val="-2"/>
                <w:szCs w:val="21"/>
              </w:rPr>
            </w:pPr>
            <w:r>
              <w:rPr>
                <w:rFonts w:hint="eastAsia" w:ascii="Times" w:hAnsi="宋体" w:cs="MingLiU"/>
                <w:kern w:val="0"/>
                <w:position w:val="-2"/>
                <w:szCs w:val="21"/>
              </w:rPr>
              <w:t>2、对未中标人交纳的投标保证金应当于中标通知书发出之日起5个工作日内退还；对中标人交纳的投标保证金应当于合同签订之日起5个工作日内退还。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120" w:type="dxa"/>
            <w:gridSpan w:val="3"/>
            <w:vAlign w:val="center"/>
          </w:tcPr>
          <w:p>
            <w:pPr>
              <w:jc w:val="center"/>
              <w:rPr>
                <w:rFonts w:ascii="宋体" w:cs="Arial"/>
                <w:szCs w:val="21"/>
              </w:rPr>
            </w:pPr>
            <w:r>
              <w:rPr>
                <w:rFonts w:ascii="宋体" w:hAnsi="宋体" w:cs="Arial"/>
                <w:szCs w:val="21"/>
              </w:rPr>
              <w:t>3.6</w:t>
            </w:r>
          </w:p>
        </w:tc>
        <w:tc>
          <w:tcPr>
            <w:tcW w:w="2577" w:type="dxa"/>
            <w:gridSpan w:val="2"/>
            <w:vAlign w:val="center"/>
          </w:tcPr>
          <w:p>
            <w:pPr>
              <w:jc w:val="left"/>
              <w:rPr>
                <w:rFonts w:ascii="宋体" w:cs="Arial"/>
                <w:szCs w:val="21"/>
              </w:rPr>
            </w:pPr>
            <w:r>
              <w:rPr>
                <w:rFonts w:hint="eastAsia" w:ascii="宋体" w:hAnsi="宋体" w:cs="Arial"/>
                <w:szCs w:val="21"/>
              </w:rPr>
              <w:t>是否允许递交备选投标方案</w:t>
            </w:r>
          </w:p>
        </w:tc>
        <w:tc>
          <w:tcPr>
            <w:tcW w:w="6366" w:type="dxa"/>
            <w:gridSpan w:val="2"/>
            <w:vAlign w:val="center"/>
          </w:tcPr>
          <w:p>
            <w:pPr>
              <w:ind w:left="210" w:hanging="210" w:hangingChars="100"/>
              <w:rPr>
                <w:rFonts w:ascii="宋体" w:cs="Arial"/>
                <w:szCs w:val="21"/>
              </w:rPr>
            </w:pPr>
            <w:r>
              <w:rPr>
                <w:rFonts w:hint="eastAsia" w:ascii="宋体" w:hAnsi="宋体" w:cs="Arial"/>
                <w:szCs w:val="21"/>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120" w:type="dxa"/>
            <w:gridSpan w:val="3"/>
            <w:vAlign w:val="center"/>
          </w:tcPr>
          <w:p>
            <w:pPr>
              <w:jc w:val="center"/>
              <w:rPr>
                <w:rFonts w:ascii="宋体" w:cs="Arial"/>
                <w:szCs w:val="21"/>
              </w:rPr>
            </w:pPr>
            <w:r>
              <w:rPr>
                <w:rFonts w:ascii="宋体" w:hAnsi="宋体" w:cs="Arial"/>
                <w:szCs w:val="21"/>
              </w:rPr>
              <w:t>3.7.3</w:t>
            </w:r>
          </w:p>
        </w:tc>
        <w:tc>
          <w:tcPr>
            <w:tcW w:w="2577" w:type="dxa"/>
            <w:gridSpan w:val="2"/>
            <w:vAlign w:val="center"/>
          </w:tcPr>
          <w:p>
            <w:pPr>
              <w:jc w:val="center"/>
              <w:rPr>
                <w:rFonts w:ascii="宋体" w:cs="Arial"/>
                <w:szCs w:val="21"/>
              </w:rPr>
            </w:pPr>
            <w:r>
              <w:rPr>
                <w:rFonts w:hint="eastAsia" w:ascii="宋体" w:hAnsi="宋体" w:cs="Arial"/>
                <w:szCs w:val="21"/>
              </w:rPr>
              <w:t>签章要求</w:t>
            </w:r>
          </w:p>
        </w:tc>
        <w:tc>
          <w:tcPr>
            <w:tcW w:w="6366" w:type="dxa"/>
            <w:gridSpan w:val="2"/>
            <w:vAlign w:val="center"/>
          </w:tcPr>
          <w:p>
            <w:pPr>
              <w:rPr>
                <w:rFonts w:ascii="宋体" w:cs="Arial"/>
                <w:szCs w:val="21"/>
              </w:rPr>
            </w:pPr>
            <w:r>
              <w:rPr>
                <w:rFonts w:hint="eastAsia" w:ascii="宋体" w:hAnsi="宋体" w:cs="Arial"/>
                <w:szCs w:val="21"/>
              </w:rPr>
              <w:t>第八章投标文件格式中标明盖章、签字的地方均需按要求盖章、签字。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20" w:type="dxa"/>
            <w:gridSpan w:val="3"/>
            <w:vAlign w:val="center"/>
          </w:tcPr>
          <w:p>
            <w:pPr>
              <w:jc w:val="center"/>
              <w:rPr>
                <w:rFonts w:ascii="宋体" w:cs="Arial"/>
                <w:b/>
                <w:sz w:val="24"/>
              </w:rPr>
            </w:pPr>
            <w:r>
              <w:rPr>
                <w:rFonts w:ascii="宋体" w:hAnsi="宋体" w:cs="Arial"/>
                <w:b/>
                <w:sz w:val="24"/>
              </w:rPr>
              <w:t>4</w:t>
            </w:r>
          </w:p>
        </w:tc>
        <w:tc>
          <w:tcPr>
            <w:tcW w:w="8943" w:type="dxa"/>
            <w:gridSpan w:val="4"/>
            <w:vAlign w:val="center"/>
          </w:tcPr>
          <w:p>
            <w:pPr>
              <w:jc w:val="center"/>
              <w:rPr>
                <w:rFonts w:hAnsi="宋体" w:cs="Arial"/>
                <w:b/>
                <w:sz w:val="24"/>
              </w:rPr>
            </w:pPr>
            <w:r>
              <w:rPr>
                <w:rFonts w:hint="eastAsia" w:ascii="宋体" w:hAnsi="宋体" w:cs="Arial"/>
                <w:b/>
                <w:sz w:val="24"/>
              </w:rPr>
              <w:t>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120" w:type="dxa"/>
            <w:gridSpan w:val="3"/>
            <w:vAlign w:val="center"/>
          </w:tcPr>
          <w:p>
            <w:pPr>
              <w:jc w:val="center"/>
              <w:rPr>
                <w:rFonts w:ascii="宋体" w:cs="Arial"/>
                <w:szCs w:val="21"/>
              </w:rPr>
            </w:pPr>
            <w:bookmarkStart w:id="72" w:name="_4.2"/>
            <w:bookmarkEnd w:id="72"/>
            <w:bookmarkStart w:id="73" w:name="_4.1"/>
            <w:bookmarkEnd w:id="73"/>
            <w:r>
              <w:rPr>
                <w:rFonts w:ascii="宋体" w:hAnsi="宋体" w:cs="Arial"/>
                <w:szCs w:val="21"/>
              </w:rPr>
              <w:t>4.2.2</w:t>
            </w:r>
          </w:p>
        </w:tc>
        <w:tc>
          <w:tcPr>
            <w:tcW w:w="2577" w:type="dxa"/>
            <w:gridSpan w:val="2"/>
            <w:vAlign w:val="center"/>
          </w:tcPr>
          <w:p>
            <w:pPr>
              <w:jc w:val="center"/>
              <w:rPr>
                <w:rFonts w:ascii="宋体" w:cs="Arial"/>
                <w:szCs w:val="21"/>
              </w:rPr>
            </w:pPr>
            <w:r>
              <w:rPr>
                <w:rFonts w:hint="eastAsia" w:ascii="宋体" w:hAnsi="宋体" w:cs="Arial"/>
                <w:szCs w:val="21"/>
              </w:rPr>
              <w:t>递交投标文件形式及地点</w:t>
            </w:r>
          </w:p>
        </w:tc>
        <w:tc>
          <w:tcPr>
            <w:tcW w:w="6366" w:type="dxa"/>
            <w:gridSpan w:val="2"/>
            <w:vAlign w:val="center"/>
          </w:tcPr>
          <w:p>
            <w:pPr>
              <w:rPr>
                <w:rFonts w:hAnsi="宋体" w:cs="Arial"/>
                <w:b/>
                <w:szCs w:val="32"/>
              </w:rPr>
            </w:pPr>
            <w:r>
              <w:rPr>
                <w:rFonts w:hint="eastAsia" w:ascii="宋体" w:hAnsi="宋体" w:cs="Arial"/>
                <w:szCs w:val="21"/>
              </w:rPr>
              <w:t>投标文件形式：</w:t>
            </w:r>
            <w:r>
              <w:rPr>
                <w:rFonts w:hint="eastAsia" w:ascii="宋体" w:hAnsi="宋体" w:cs="Arial"/>
                <w:b/>
                <w:szCs w:val="21"/>
              </w:rPr>
              <w:t>纸质</w:t>
            </w:r>
            <w:r>
              <w:rPr>
                <w:rFonts w:hint="eastAsia" w:hAnsi="宋体" w:cs="Arial"/>
                <w:b/>
                <w:szCs w:val="32"/>
              </w:rPr>
              <w:t>投标文件</w:t>
            </w:r>
          </w:p>
          <w:p>
            <w:pPr>
              <w:rPr>
                <w:rFonts w:ascii="宋体" w:cs="Arial"/>
                <w:szCs w:val="21"/>
              </w:rPr>
            </w:pPr>
            <w:r>
              <w:rPr>
                <w:rFonts w:hint="eastAsia" w:ascii="宋体" w:hAnsi="宋体" w:cs="Arial"/>
                <w:szCs w:val="21"/>
              </w:rPr>
              <w:t>递交地点：同开标地点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120" w:type="dxa"/>
            <w:gridSpan w:val="3"/>
            <w:vAlign w:val="center"/>
          </w:tcPr>
          <w:p>
            <w:pPr>
              <w:jc w:val="center"/>
              <w:rPr>
                <w:rFonts w:ascii="宋体" w:cs="Arial"/>
                <w:b/>
                <w:sz w:val="24"/>
              </w:rPr>
            </w:pPr>
            <w:r>
              <w:rPr>
                <w:rFonts w:ascii="宋体" w:hAnsi="宋体" w:cs="Arial"/>
                <w:b/>
                <w:sz w:val="24"/>
              </w:rPr>
              <w:t>5</w:t>
            </w:r>
          </w:p>
        </w:tc>
        <w:tc>
          <w:tcPr>
            <w:tcW w:w="8943" w:type="dxa"/>
            <w:gridSpan w:val="4"/>
            <w:vAlign w:val="center"/>
          </w:tcPr>
          <w:p>
            <w:pPr>
              <w:topLinePunct/>
              <w:jc w:val="center"/>
              <w:rPr>
                <w:rFonts w:ascii="宋体" w:cs="Arial"/>
                <w:b/>
                <w:sz w:val="24"/>
              </w:rPr>
            </w:pPr>
            <w:r>
              <w:rPr>
                <w:rFonts w:hint="eastAsia" w:ascii="宋体" w:hAnsi="宋体" w:cs="Arial"/>
                <w:b/>
                <w:sz w:val="24"/>
              </w:rPr>
              <w:t>开标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1120" w:type="dxa"/>
            <w:gridSpan w:val="3"/>
            <w:vAlign w:val="center"/>
          </w:tcPr>
          <w:p>
            <w:pPr>
              <w:jc w:val="center"/>
              <w:rPr>
                <w:rFonts w:ascii="宋体" w:cs="Arial"/>
                <w:szCs w:val="21"/>
              </w:rPr>
            </w:pPr>
            <w:r>
              <w:rPr>
                <w:rFonts w:ascii="宋体" w:hAnsi="宋体" w:cs="Arial"/>
                <w:szCs w:val="21"/>
              </w:rPr>
              <w:t>5.1</w:t>
            </w:r>
          </w:p>
        </w:tc>
        <w:tc>
          <w:tcPr>
            <w:tcW w:w="2577" w:type="dxa"/>
            <w:gridSpan w:val="2"/>
            <w:vAlign w:val="center"/>
          </w:tcPr>
          <w:p>
            <w:pPr>
              <w:jc w:val="center"/>
              <w:rPr>
                <w:rFonts w:ascii="宋体" w:cs="Arial"/>
                <w:szCs w:val="21"/>
              </w:rPr>
            </w:pPr>
            <w:r>
              <w:rPr>
                <w:rFonts w:hint="eastAsia" w:ascii="宋体" w:hAnsi="宋体" w:cs="Arial"/>
                <w:szCs w:val="21"/>
              </w:rPr>
              <w:t>开标时间、地点</w:t>
            </w:r>
          </w:p>
        </w:tc>
        <w:tc>
          <w:tcPr>
            <w:tcW w:w="6366" w:type="dxa"/>
            <w:gridSpan w:val="2"/>
            <w:vAlign w:val="center"/>
          </w:tcPr>
          <w:p>
            <w:pPr>
              <w:topLinePunct/>
              <w:rPr>
                <w:rFonts w:hAnsi="宋体" w:cs="Arial"/>
                <w:szCs w:val="32"/>
              </w:rPr>
            </w:pPr>
            <w:r>
              <w:rPr>
                <w:rFonts w:hint="eastAsia" w:ascii="宋体" w:hAnsi="宋体" w:cs="Arial"/>
                <w:szCs w:val="21"/>
              </w:rPr>
              <w:t>开标时间：同投标截止时间</w:t>
            </w:r>
          </w:p>
          <w:p>
            <w:pPr>
              <w:widowControl/>
              <w:jc w:val="left"/>
              <w:rPr>
                <w:rFonts w:ascii="宋体" w:cs="Arial"/>
                <w:szCs w:val="21"/>
                <w:u w:val="single"/>
              </w:rPr>
            </w:pPr>
            <w:r>
              <w:rPr>
                <w:rFonts w:hint="eastAsia" w:ascii="宋体" w:hAnsi="宋体" w:cs="Arial"/>
                <w:szCs w:val="21"/>
              </w:rPr>
              <w:t>开标地点：</w:t>
            </w:r>
            <w:r>
              <w:rPr>
                <w:rFonts w:hint="eastAsia" w:ascii="宋体" w:hAnsi="宋体" w:cs="Arial"/>
                <w:color w:val="000000"/>
                <w:szCs w:val="21"/>
              </w:rPr>
              <w:t>泰州市开发区雪铁龙</w:t>
            </w:r>
            <w:r>
              <w:rPr>
                <w:rFonts w:hint="eastAsia" w:ascii="宋体" w:hAnsi="宋体" w:cs="Arial"/>
                <w:color w:val="000000"/>
                <w:szCs w:val="21"/>
                <w:lang w:val="en-US" w:eastAsia="zh-CN"/>
              </w:rPr>
              <w:t>路</w:t>
            </w:r>
            <w:r>
              <w:rPr>
                <w:rFonts w:hint="eastAsia" w:ascii="宋体" w:hAnsi="宋体" w:cs="Arial"/>
                <w:color w:val="000000"/>
                <w:szCs w:val="21"/>
              </w:rPr>
              <w:t>1号(梦创中心北楼三</w:t>
            </w:r>
            <w:r>
              <w:rPr>
                <w:rFonts w:hint="eastAsia" w:ascii="宋体" w:hAnsi="宋体" w:cs="Arial"/>
                <w:color w:val="000000"/>
                <w:szCs w:val="21"/>
                <w:lang w:val="en-US" w:eastAsia="zh-CN"/>
              </w:rPr>
              <w:t>楼</w:t>
            </w:r>
            <w:r>
              <w:rPr>
                <w:rFonts w:hint="eastAsia" w:ascii="宋体" w:hAnsi="宋体" w:cs="Arial"/>
                <w:color w:val="000000"/>
                <w:szCs w:val="21"/>
              </w:rPr>
              <w:t>培训室）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120" w:type="dxa"/>
            <w:gridSpan w:val="3"/>
            <w:vAlign w:val="center"/>
          </w:tcPr>
          <w:p>
            <w:pPr>
              <w:jc w:val="center"/>
              <w:rPr>
                <w:rFonts w:ascii="宋体" w:cs="Arial"/>
                <w:b/>
                <w:sz w:val="24"/>
              </w:rPr>
            </w:pPr>
            <w:bookmarkStart w:id="74" w:name="_5.2"/>
            <w:bookmarkEnd w:id="74"/>
            <w:r>
              <w:rPr>
                <w:rFonts w:ascii="宋体" w:hAnsi="宋体" w:cs="Arial"/>
                <w:b/>
                <w:sz w:val="24"/>
              </w:rPr>
              <w:t>6</w:t>
            </w:r>
          </w:p>
        </w:tc>
        <w:tc>
          <w:tcPr>
            <w:tcW w:w="8943" w:type="dxa"/>
            <w:gridSpan w:val="4"/>
            <w:vAlign w:val="center"/>
          </w:tcPr>
          <w:p>
            <w:pPr>
              <w:jc w:val="center"/>
              <w:rPr>
                <w:rFonts w:ascii="宋体" w:cs="Arial"/>
                <w:b/>
                <w:sz w:val="24"/>
              </w:rPr>
            </w:pPr>
            <w:r>
              <w:rPr>
                <w:rFonts w:hint="eastAsia" w:ascii="宋体" w:hAnsi="宋体" w:cs="Arial"/>
                <w:b/>
                <w:sz w:val="24"/>
              </w:rPr>
              <w:t>评标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trPr>
        <w:tc>
          <w:tcPr>
            <w:tcW w:w="1120" w:type="dxa"/>
            <w:gridSpan w:val="3"/>
            <w:vAlign w:val="center"/>
          </w:tcPr>
          <w:p>
            <w:pPr>
              <w:jc w:val="center"/>
              <w:rPr>
                <w:rFonts w:ascii="宋体" w:cs="Arial"/>
                <w:szCs w:val="21"/>
              </w:rPr>
            </w:pPr>
            <w:bookmarkStart w:id="75" w:name="_6.1"/>
            <w:bookmarkEnd w:id="75"/>
            <w:r>
              <w:rPr>
                <w:rFonts w:ascii="宋体" w:hAnsi="宋体" w:cs="Arial"/>
                <w:szCs w:val="21"/>
              </w:rPr>
              <w:t>6.1.1</w:t>
            </w:r>
          </w:p>
        </w:tc>
        <w:tc>
          <w:tcPr>
            <w:tcW w:w="2577" w:type="dxa"/>
            <w:gridSpan w:val="2"/>
            <w:vAlign w:val="center"/>
          </w:tcPr>
          <w:p>
            <w:pPr>
              <w:jc w:val="center"/>
              <w:rPr>
                <w:rFonts w:ascii="宋体" w:cs="Arial"/>
                <w:szCs w:val="21"/>
              </w:rPr>
            </w:pPr>
            <w:r>
              <w:rPr>
                <w:rFonts w:hint="eastAsia" w:ascii="宋体" w:hAnsi="宋体" w:cs="Arial"/>
                <w:szCs w:val="21"/>
              </w:rPr>
              <w:t>评标委员会的组建</w:t>
            </w:r>
          </w:p>
        </w:tc>
        <w:tc>
          <w:tcPr>
            <w:tcW w:w="6366" w:type="dxa"/>
            <w:gridSpan w:val="2"/>
            <w:vAlign w:val="center"/>
          </w:tcPr>
          <w:p>
            <w:pPr>
              <w:rPr>
                <w:rFonts w:ascii="宋体" w:hAnsi="宋体" w:cs="Arial"/>
                <w:szCs w:val="21"/>
              </w:rPr>
            </w:pPr>
            <w:r>
              <w:rPr>
                <w:rFonts w:hint="eastAsia" w:ascii="宋体" w:hAnsi="宋体" w:cs="Arial"/>
                <w:szCs w:val="21"/>
              </w:rPr>
              <w:t>评标委员会构成:</w:t>
            </w:r>
            <w:r>
              <w:rPr>
                <w:rFonts w:hint="eastAsia" w:ascii="宋体" w:hAnsi="宋体" w:cs="Arial"/>
                <w:b/>
                <w:szCs w:val="21"/>
                <w:u w:val="single"/>
              </w:rPr>
              <w:t xml:space="preserve"> 3 </w:t>
            </w:r>
            <w:r>
              <w:rPr>
                <w:rFonts w:hint="eastAsia" w:ascii="宋体" w:hAnsi="宋体" w:cs="Arial"/>
                <w:szCs w:val="21"/>
              </w:rPr>
              <w:t>人，其中招标人代表</w:t>
            </w:r>
            <w:r>
              <w:rPr>
                <w:rFonts w:hint="eastAsia" w:ascii="宋体" w:hAnsi="宋体" w:cs="Arial"/>
                <w:szCs w:val="21"/>
                <w:u w:val="single"/>
              </w:rPr>
              <w:t xml:space="preserve">  1 </w:t>
            </w:r>
            <w:r>
              <w:rPr>
                <w:rFonts w:hint="eastAsia" w:ascii="宋体" w:hAnsi="宋体" w:cs="Arial"/>
                <w:szCs w:val="21"/>
              </w:rPr>
              <w:t>人,专家</w:t>
            </w:r>
            <w:r>
              <w:rPr>
                <w:rFonts w:hint="eastAsia" w:ascii="宋体" w:hAnsi="宋体" w:cs="Arial"/>
                <w:b/>
                <w:szCs w:val="21"/>
                <w:u w:val="single"/>
              </w:rPr>
              <w:t xml:space="preserve"> 2 </w:t>
            </w:r>
            <w:r>
              <w:rPr>
                <w:rFonts w:hint="eastAsia" w:ascii="宋体" w:hAnsi="宋体" w:cs="Arial"/>
                <w:szCs w:val="21"/>
              </w:rPr>
              <w:t>人；</w:t>
            </w:r>
          </w:p>
          <w:p>
            <w:pPr>
              <w:rPr>
                <w:rFonts w:ascii="宋体" w:hAnsi="宋体" w:cs="Arial"/>
                <w:szCs w:val="21"/>
              </w:rPr>
            </w:pPr>
            <w:r>
              <w:rPr>
                <w:rFonts w:hint="eastAsia" w:ascii="宋体" w:hAnsi="宋体" w:cs="Arial"/>
                <w:szCs w:val="21"/>
              </w:rPr>
              <w:t>评标专家确定方式：</w:t>
            </w:r>
          </w:p>
          <w:p>
            <w:pPr>
              <w:rPr>
                <w:rFonts w:ascii="宋体" w:hAnsi="宋体" w:cs="Arial"/>
                <w:szCs w:val="21"/>
              </w:rPr>
            </w:pPr>
            <w:r>
              <w:rPr>
                <w:rFonts w:hint="eastAsia" w:ascii="MS Mincho" w:hAnsi="MS Mincho" w:cs="MS Mincho"/>
                <w:szCs w:val="21"/>
              </w:rPr>
              <w:t>□</w:t>
            </w:r>
            <w:r>
              <w:rPr>
                <w:rFonts w:hint="eastAsia" w:ascii="宋体" w:hAnsi="宋体" w:cs="Arial"/>
                <w:szCs w:val="21"/>
              </w:rPr>
              <w:t>随机抽取</w:t>
            </w:r>
          </w:p>
          <w:p>
            <w:pPr>
              <w:pStyle w:val="33"/>
              <w:ind w:firstLine="0" w:firstLineChars="0"/>
              <w:rPr>
                <w:rFonts w:ascii="宋体" w:cs="Arial"/>
                <w:szCs w:val="21"/>
              </w:rPr>
            </w:pPr>
            <w:r>
              <w:rPr>
                <w:rFonts w:hint="eastAsia" w:ascii="MS Mincho" w:hAnsi="MS Mincho" w:eastAsia="MS Mincho" w:cs="MS Mincho"/>
                <w:szCs w:val="21"/>
              </w:rPr>
              <w:t>☑</w:t>
            </w:r>
            <w:r>
              <w:rPr>
                <w:rFonts w:hint="eastAsia" w:hAnsi="宋体" w:cs="Arial"/>
                <w:szCs w:val="32"/>
              </w:rPr>
              <w:t>其他方式确定：邀请方式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120" w:type="dxa"/>
            <w:gridSpan w:val="3"/>
            <w:vAlign w:val="center"/>
          </w:tcPr>
          <w:p>
            <w:pPr>
              <w:jc w:val="center"/>
              <w:rPr>
                <w:rFonts w:ascii="宋体" w:cs="Arial"/>
                <w:szCs w:val="21"/>
              </w:rPr>
            </w:pPr>
            <w:r>
              <w:rPr>
                <w:rFonts w:ascii="宋体" w:hAnsi="宋体" w:cs="Arial"/>
                <w:szCs w:val="21"/>
              </w:rPr>
              <w:t>6.3.2</w:t>
            </w:r>
          </w:p>
        </w:tc>
        <w:tc>
          <w:tcPr>
            <w:tcW w:w="2577" w:type="dxa"/>
            <w:gridSpan w:val="2"/>
            <w:vAlign w:val="center"/>
          </w:tcPr>
          <w:p>
            <w:pPr>
              <w:widowControl/>
              <w:jc w:val="center"/>
              <w:rPr>
                <w:rFonts w:ascii="宋体" w:cs="Arial"/>
                <w:szCs w:val="21"/>
              </w:rPr>
            </w:pPr>
            <w:r>
              <w:rPr>
                <w:rFonts w:hint="eastAsia" w:ascii="宋体" w:hAnsi="宋体" w:cs="Arial"/>
                <w:szCs w:val="21"/>
              </w:rPr>
              <w:t>本次评标采用的评标方法</w:t>
            </w:r>
          </w:p>
        </w:tc>
        <w:tc>
          <w:tcPr>
            <w:tcW w:w="6366" w:type="dxa"/>
            <w:gridSpan w:val="2"/>
          </w:tcPr>
          <w:p>
            <w:pPr>
              <w:pStyle w:val="33"/>
              <w:numPr>
                <w:ilvl w:val="0"/>
                <w:numId w:val="2"/>
              </w:numPr>
              <w:ind w:firstLineChars="0"/>
              <w:rPr>
                <w:rFonts w:hAnsi="宋体" w:cs="Arial"/>
                <w:szCs w:val="32"/>
              </w:rPr>
            </w:pPr>
            <w:r>
              <w:fldChar w:fldCharType="begin"/>
            </w:r>
            <w:r>
              <w:instrText xml:space="preserve"> HYPERLINK "file:///H:\\泰州招标文件范本\\泰州市房屋建筑和市政工程施工2016.4.docx" \l "_第三章_评标办法（综合评估法）" </w:instrText>
            </w:r>
            <w:r>
              <w:fldChar w:fldCharType="separate"/>
            </w:r>
            <w:r>
              <w:rPr>
                <w:rStyle w:val="18"/>
                <w:rFonts w:hint="eastAsia" w:hAnsi="宋体" w:cs="Arial"/>
                <w:color w:val="auto"/>
                <w:szCs w:val="32"/>
              </w:rPr>
              <w:t>综合评估法</w:t>
            </w:r>
            <w:r>
              <w:rPr>
                <w:rStyle w:val="18"/>
                <w:rFonts w:hint="eastAsia" w:hAnsi="宋体" w:cs="Arial"/>
                <w:color w:val="auto"/>
                <w:szCs w:val="32"/>
              </w:rPr>
              <w:fldChar w:fldCharType="end"/>
            </w:r>
          </w:p>
          <w:p>
            <w:pPr>
              <w:jc w:val="left"/>
              <w:rPr>
                <w:rStyle w:val="18"/>
                <w:rFonts w:hAnsi="宋体" w:cs="Arial"/>
                <w:color w:val="auto"/>
                <w:szCs w:val="32"/>
              </w:rPr>
            </w:pPr>
            <w:r>
              <w:rPr>
                <w:rFonts w:hint="eastAsia" w:ascii="MS Mincho" w:hAnsi="MS Mincho" w:eastAsia="MS Mincho" w:cs="MS Mincho"/>
                <w:szCs w:val="21"/>
              </w:rPr>
              <w:t>☑</w:t>
            </w:r>
            <w:r>
              <w:fldChar w:fldCharType="begin"/>
            </w:r>
            <w:r>
              <w:instrText xml:space="preserve"> HYPERLINK "file:///H:\\泰州招标文件范本\\泰州市房屋建筑和市政工程施工2016.4.docx" \l "_第三章_评标办法（经评审的最低投标价法）" </w:instrText>
            </w:r>
            <w:r>
              <w:fldChar w:fldCharType="separate"/>
            </w:r>
            <w:r>
              <w:rPr>
                <w:rStyle w:val="18"/>
                <w:rFonts w:hint="eastAsia" w:hAnsi="宋体" w:cs="Arial"/>
                <w:color w:val="auto"/>
                <w:szCs w:val="32"/>
              </w:rPr>
              <w:t>经评审的最低投标价法</w:t>
            </w:r>
            <w:r>
              <w:rPr>
                <w:rStyle w:val="18"/>
                <w:rFonts w:hint="eastAsia" w:hAnsi="宋体" w:cs="Arial"/>
                <w:color w:val="auto"/>
                <w:szCs w:val="3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120" w:type="dxa"/>
            <w:gridSpan w:val="3"/>
            <w:vAlign w:val="center"/>
          </w:tcPr>
          <w:p>
            <w:pPr>
              <w:jc w:val="center"/>
              <w:rPr>
                <w:rFonts w:ascii="宋体" w:cs="Arial"/>
                <w:b/>
                <w:sz w:val="24"/>
              </w:rPr>
            </w:pPr>
            <w:r>
              <w:rPr>
                <w:rFonts w:ascii="宋体" w:hAnsi="宋体" w:cs="Arial"/>
                <w:b/>
                <w:sz w:val="24"/>
              </w:rPr>
              <w:t>7</w:t>
            </w:r>
          </w:p>
        </w:tc>
        <w:tc>
          <w:tcPr>
            <w:tcW w:w="8943" w:type="dxa"/>
            <w:gridSpan w:val="4"/>
            <w:vAlign w:val="center"/>
          </w:tcPr>
          <w:p>
            <w:pPr>
              <w:jc w:val="center"/>
              <w:rPr>
                <w:rFonts w:hAnsi="宋体" w:cs="Arial"/>
                <w:b/>
                <w:sz w:val="24"/>
              </w:rPr>
            </w:pPr>
            <w:r>
              <w:rPr>
                <w:rFonts w:hint="eastAsia" w:ascii="宋体" w:hAnsi="宋体" w:cs="Arial"/>
                <w:b/>
                <w:sz w:val="24"/>
              </w:rPr>
              <w:t>合同授予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120" w:type="dxa"/>
            <w:gridSpan w:val="3"/>
            <w:vAlign w:val="center"/>
          </w:tcPr>
          <w:p>
            <w:pPr>
              <w:jc w:val="center"/>
              <w:rPr>
                <w:rFonts w:ascii="宋体" w:cs="Arial"/>
                <w:szCs w:val="21"/>
              </w:rPr>
            </w:pPr>
            <w:r>
              <w:rPr>
                <w:rFonts w:ascii="宋体" w:hAnsi="宋体" w:cs="Arial"/>
                <w:szCs w:val="21"/>
              </w:rPr>
              <w:t>7.1</w:t>
            </w:r>
          </w:p>
        </w:tc>
        <w:tc>
          <w:tcPr>
            <w:tcW w:w="2577" w:type="dxa"/>
            <w:gridSpan w:val="2"/>
            <w:vAlign w:val="center"/>
          </w:tcPr>
          <w:p>
            <w:pPr>
              <w:jc w:val="center"/>
              <w:rPr>
                <w:rFonts w:ascii="宋体" w:cs="Arial"/>
                <w:szCs w:val="21"/>
              </w:rPr>
            </w:pPr>
            <w:r>
              <w:rPr>
                <w:rFonts w:hint="eastAsia" w:ascii="宋体" w:hAnsi="宋体" w:cs="Arial"/>
                <w:szCs w:val="21"/>
              </w:rPr>
              <w:t>是否授权评标委员会</w:t>
            </w:r>
          </w:p>
          <w:p>
            <w:pPr>
              <w:jc w:val="center"/>
              <w:rPr>
                <w:rFonts w:ascii="宋体" w:cs="Arial"/>
                <w:szCs w:val="21"/>
              </w:rPr>
            </w:pPr>
            <w:r>
              <w:rPr>
                <w:rFonts w:hint="eastAsia" w:ascii="宋体" w:hAnsi="宋体" w:cs="Arial"/>
                <w:szCs w:val="21"/>
              </w:rPr>
              <w:t>确定中标人</w:t>
            </w:r>
          </w:p>
        </w:tc>
        <w:tc>
          <w:tcPr>
            <w:tcW w:w="6366" w:type="dxa"/>
            <w:gridSpan w:val="2"/>
            <w:vAlign w:val="center"/>
          </w:tcPr>
          <w:p>
            <w:pPr>
              <w:rPr>
                <w:rFonts w:ascii="宋体" w:cs="Arial"/>
                <w:szCs w:val="21"/>
              </w:rPr>
            </w:pPr>
            <w:r>
              <w:rPr>
                <w:rFonts w:hint="eastAsia" w:ascii="宋体" w:hAnsi="宋体" w:cs="Arial"/>
                <w:szCs w:val="21"/>
              </w:rPr>
              <w:sym w:font="Wingdings 2" w:char="0052"/>
            </w:r>
            <w:r>
              <w:rPr>
                <w:rFonts w:hint="eastAsia" w:ascii="宋体" w:hAnsi="宋体" w:cs="Arial"/>
                <w:szCs w:val="21"/>
              </w:rPr>
              <w:t>是</w:t>
            </w:r>
          </w:p>
          <w:p>
            <w:pPr>
              <w:rPr>
                <w:rFonts w:ascii="宋体" w:cs="Arial"/>
                <w:szCs w:val="21"/>
              </w:rPr>
            </w:pPr>
            <w:r>
              <w:rPr>
                <w:rFonts w:hint="eastAsia" w:ascii="MS Mincho" w:hAnsi="MS Mincho" w:cs="MS Mincho"/>
                <w:szCs w:val="21"/>
              </w:rPr>
              <w:t>□</w:t>
            </w:r>
            <w:r>
              <w:rPr>
                <w:rFonts w:hint="eastAsia" w:ascii="宋体" w:hAnsi="宋体" w:cs="Arial"/>
                <w:szCs w:val="21"/>
              </w:rPr>
              <w:t>否，推荐中标候选人数：</w:t>
            </w:r>
            <w:r>
              <w:rPr>
                <w:rFonts w:hint="eastAsia" w:ascii="宋体" w:hAnsi="宋体" w:cs="Arial"/>
                <w:szCs w:val="21"/>
                <w:u w:val="single"/>
              </w:rPr>
              <w:t xml:space="preserve">  1-3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120" w:type="dxa"/>
            <w:gridSpan w:val="3"/>
            <w:vAlign w:val="center"/>
          </w:tcPr>
          <w:p>
            <w:pPr>
              <w:jc w:val="center"/>
              <w:rPr>
                <w:rFonts w:ascii="宋体" w:cs="Arial"/>
                <w:szCs w:val="21"/>
              </w:rPr>
            </w:pPr>
            <w:r>
              <w:rPr>
                <w:rFonts w:ascii="宋体" w:hAnsi="宋体" w:cs="Arial"/>
                <w:szCs w:val="21"/>
              </w:rPr>
              <w:t>7.4.1</w:t>
            </w:r>
          </w:p>
        </w:tc>
        <w:tc>
          <w:tcPr>
            <w:tcW w:w="2577" w:type="dxa"/>
            <w:gridSpan w:val="2"/>
            <w:vAlign w:val="center"/>
          </w:tcPr>
          <w:p>
            <w:pPr>
              <w:jc w:val="center"/>
              <w:rPr>
                <w:rFonts w:ascii="宋体" w:cs="Arial"/>
                <w:szCs w:val="21"/>
              </w:rPr>
            </w:pPr>
            <w:r>
              <w:rPr>
                <w:rFonts w:hint="eastAsia" w:ascii="宋体" w:hAnsi="宋体" w:cs="Arial"/>
                <w:szCs w:val="21"/>
              </w:rPr>
              <w:t>履约担保</w:t>
            </w:r>
          </w:p>
        </w:tc>
        <w:tc>
          <w:tcPr>
            <w:tcW w:w="6366" w:type="dxa"/>
            <w:gridSpan w:val="2"/>
            <w:vAlign w:val="center"/>
          </w:tcPr>
          <w:p>
            <w:pPr>
              <w:rPr>
                <w:rFonts w:ascii="宋体" w:hAnsi="宋体" w:cs="Arial"/>
                <w:szCs w:val="21"/>
                <w:u w:val="single"/>
              </w:rPr>
            </w:pPr>
            <w:r>
              <w:rPr>
                <w:rFonts w:hint="eastAsia" w:ascii="宋体" w:hAnsi="宋体" w:cs="Arial"/>
                <w:szCs w:val="21"/>
              </w:rPr>
              <w:t>1、履约担保的形式：</w:t>
            </w:r>
            <w:r>
              <w:rPr>
                <w:rFonts w:hint="eastAsia" w:ascii="MS Mincho" w:hAnsi="MS Mincho" w:eastAsia="MS Mincho" w:cs="MS Mincho"/>
                <w:szCs w:val="21"/>
              </w:rPr>
              <w:t>☑</w:t>
            </w:r>
            <w:r>
              <w:rPr>
                <w:rFonts w:hint="eastAsia" w:ascii="宋体" w:hAnsi="宋体" w:cs="Arial"/>
                <w:szCs w:val="21"/>
              </w:rPr>
              <w:t xml:space="preserve">银行电汇或网上银行支付  </w:t>
            </w:r>
            <w:r>
              <w:rPr>
                <w:rFonts w:hint="eastAsia" w:ascii="MS Mincho" w:hAnsi="MS Mincho" w:eastAsia="MS Mincho" w:cs="MS Mincho"/>
                <w:szCs w:val="21"/>
              </w:rPr>
              <w:t>☑</w:t>
            </w:r>
            <w:r>
              <w:rPr>
                <w:rFonts w:hint="eastAsia" w:ascii="宋体" w:hAnsi="宋体" w:cs="Arial"/>
                <w:szCs w:val="21"/>
              </w:rPr>
              <w:t>银行保函</w:t>
            </w:r>
          </w:p>
          <w:p>
            <w:pPr>
              <w:rPr>
                <w:rFonts w:ascii="宋体" w:hAnsi="宋体" w:cs="Arial"/>
                <w:szCs w:val="21"/>
                <w:u w:val="single"/>
              </w:rPr>
            </w:pPr>
            <w:r>
              <w:rPr>
                <w:rFonts w:hint="eastAsia" w:ascii="宋体" w:hAnsi="宋体" w:cs="Arial"/>
                <w:szCs w:val="21"/>
              </w:rPr>
              <w:t>2、履约担保金额：</w:t>
            </w:r>
            <w:r>
              <w:rPr>
                <w:rFonts w:hint="eastAsia" w:ascii="宋体" w:cs="宋体"/>
                <w:b/>
                <w:kern w:val="0"/>
                <w:szCs w:val="21"/>
                <w:u w:val="single"/>
              </w:rPr>
              <w:t xml:space="preserve"> 中标合同价的5%</w:t>
            </w:r>
          </w:p>
          <w:p>
            <w:pPr>
              <w:pStyle w:val="33"/>
              <w:ind w:firstLine="0" w:firstLineChars="0"/>
              <w:rPr>
                <w:rFonts w:ascii="宋体" w:hAnsi="宋体" w:cs="Arial"/>
                <w:szCs w:val="21"/>
              </w:rPr>
            </w:pPr>
            <w:r>
              <w:rPr>
                <w:rFonts w:hint="eastAsia" w:ascii="宋体" w:hAnsi="宋体" w:cs="Arial"/>
                <w:szCs w:val="21"/>
              </w:rPr>
              <w:t>3、履约保证金缴纳：</w:t>
            </w:r>
            <w:r>
              <w:rPr>
                <w:rFonts w:hint="eastAsia" w:ascii="宋体" w:hAnsi="宋体" w:cs="Arial"/>
                <w:b/>
                <w:szCs w:val="21"/>
              </w:rPr>
              <w:t>必须在中标通知书领取后7日内一次性足额缴纳，凭缴纳凭证，招标人与中标人签订合同。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120" w:type="dxa"/>
            <w:gridSpan w:val="3"/>
            <w:vAlign w:val="center"/>
          </w:tcPr>
          <w:p>
            <w:pPr>
              <w:jc w:val="center"/>
              <w:rPr>
                <w:rFonts w:ascii="宋体" w:cs="Arial"/>
                <w:szCs w:val="21"/>
              </w:rPr>
            </w:pPr>
            <w:r>
              <w:rPr>
                <w:rFonts w:ascii="宋体" w:hAnsi="宋体" w:cs="Arial"/>
                <w:szCs w:val="21"/>
              </w:rPr>
              <w:t>7.5.3</w:t>
            </w:r>
          </w:p>
        </w:tc>
        <w:tc>
          <w:tcPr>
            <w:tcW w:w="2652" w:type="dxa"/>
            <w:gridSpan w:val="3"/>
            <w:vAlign w:val="center"/>
          </w:tcPr>
          <w:p>
            <w:pPr>
              <w:ind w:firstLine="105" w:firstLineChars="50"/>
              <w:rPr>
                <w:rFonts w:ascii="宋体" w:cs="宋体"/>
                <w:kern w:val="0"/>
                <w:szCs w:val="21"/>
              </w:rPr>
            </w:pPr>
            <w:r>
              <w:rPr>
                <w:rFonts w:hint="eastAsia" w:ascii="宋体" w:hAnsi="宋体" w:cs="宋体"/>
                <w:kern w:val="0"/>
                <w:szCs w:val="21"/>
              </w:rPr>
              <w:t>合同价格形式</w:t>
            </w:r>
          </w:p>
        </w:tc>
        <w:tc>
          <w:tcPr>
            <w:tcW w:w="6291" w:type="dxa"/>
            <w:vAlign w:val="center"/>
          </w:tcPr>
          <w:p>
            <w:pPr>
              <w:ind w:firstLine="105" w:firstLineChars="50"/>
              <w:rPr>
                <w:rFonts w:ascii="宋体" w:cs="Arial"/>
                <w:szCs w:val="21"/>
              </w:rPr>
            </w:pPr>
            <w:r>
              <w:rPr>
                <w:rFonts w:hint="eastAsia" w:ascii="MS Mincho" w:hAnsi="MS Mincho" w:cs="MS Mincho"/>
                <w:szCs w:val="21"/>
              </w:rPr>
              <w:t>☑</w:t>
            </w:r>
            <w:r>
              <w:rPr>
                <w:rFonts w:hint="eastAsia" w:ascii="宋体" w:hAnsi="宋体" w:cs="宋体"/>
                <w:kern w:val="0"/>
                <w:szCs w:val="21"/>
              </w:rPr>
              <w:t xml:space="preserve">单价合同       </w:t>
            </w:r>
            <w:r>
              <w:rPr>
                <w:rFonts w:hint="eastAsia" w:ascii="宋体" w:hAnsi="宋体" w:cs="Arial"/>
                <w:szCs w:val="21"/>
              </w:rPr>
              <w:t>□</w:t>
            </w:r>
            <w:r>
              <w:rPr>
                <w:rFonts w:hint="eastAsia" w:ascii="宋体" w:hAnsi="宋体" w:cs="宋体"/>
                <w:kern w:val="0"/>
                <w:szCs w:val="21"/>
              </w:rPr>
              <w:t>总价合同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120" w:type="dxa"/>
            <w:gridSpan w:val="3"/>
            <w:vAlign w:val="center"/>
          </w:tcPr>
          <w:p>
            <w:pPr>
              <w:jc w:val="center"/>
              <w:rPr>
                <w:rFonts w:ascii="宋体" w:cs="Arial"/>
                <w:b/>
                <w:sz w:val="24"/>
              </w:rPr>
            </w:pPr>
            <w:r>
              <w:rPr>
                <w:rFonts w:ascii="宋体" w:hAnsi="宋体" w:cs="Arial"/>
                <w:b/>
                <w:sz w:val="24"/>
              </w:rPr>
              <w:t>8</w:t>
            </w:r>
          </w:p>
        </w:tc>
        <w:tc>
          <w:tcPr>
            <w:tcW w:w="8943" w:type="dxa"/>
            <w:gridSpan w:val="4"/>
            <w:vAlign w:val="center"/>
          </w:tcPr>
          <w:p>
            <w:pPr>
              <w:jc w:val="center"/>
              <w:rPr>
                <w:rFonts w:ascii="宋体" w:cs="Arial"/>
                <w:bCs/>
                <w:szCs w:val="21"/>
              </w:rPr>
            </w:pPr>
            <w:r>
              <w:rPr>
                <w:rFonts w:hint="eastAsia" w:ascii="宋体" w:hAnsi="宋体" w:cs="Arial"/>
                <w:b/>
                <w:sz w:val="24"/>
              </w:rPr>
              <w:t>重新招标和不再招标</w:t>
            </w:r>
          </w:p>
          <w:p>
            <w:pPr>
              <w:spacing w:line="240" w:lineRule="exact"/>
              <w:rPr>
                <w:rFonts w:ascii="宋体" w:cs="Arial"/>
                <w:bCs/>
                <w:szCs w:val="21"/>
              </w:rPr>
            </w:pPr>
            <w:r>
              <w:rPr>
                <w:rFonts w:ascii="宋体" w:hAnsi="宋体" w:cs="Arial"/>
                <w:bCs/>
                <w:szCs w:val="21"/>
              </w:rPr>
              <w:t xml:space="preserve">    1</w:t>
            </w:r>
            <w:r>
              <w:rPr>
                <w:rFonts w:hint="eastAsia" w:ascii="宋体" w:hAnsi="宋体" w:cs="Arial"/>
                <w:bCs/>
                <w:szCs w:val="21"/>
              </w:rPr>
              <w:t>、在评标过程中，除出现《中华人民共和国招标投标法实施条例》第二十三条情形外，因招标文件缺陷，导致按照评标办法无法确定中标候选人或中标人的，招标人可依据评标委员会的决议重新招标。</w:t>
            </w:r>
          </w:p>
          <w:p>
            <w:pPr>
              <w:spacing w:line="240" w:lineRule="exact"/>
              <w:ind w:firstLine="420"/>
            </w:pPr>
            <w:r>
              <w:t>2</w:t>
            </w:r>
            <w:r>
              <w:rPr>
                <w:rFonts w:hint="eastAsia"/>
              </w:rPr>
              <w:t>、国家法律法规或政策变化调整后，原招标项目需要调整相关招标采购内容或技术要求，或者需要取消招标项目不再继续建设时；</w:t>
            </w:r>
          </w:p>
          <w:p>
            <w:pPr>
              <w:spacing w:line="240" w:lineRule="exact"/>
              <w:ind w:firstLine="420"/>
            </w:pPr>
            <w:r>
              <w:t>3</w:t>
            </w:r>
            <w:r>
              <w:rPr>
                <w:rFonts w:hint="eastAsia"/>
              </w:rPr>
              <w:t>、招标人发生重大经营困难，无力继续维持该项目的投入时；</w:t>
            </w:r>
          </w:p>
          <w:p>
            <w:pPr>
              <w:spacing w:line="240" w:lineRule="exact"/>
              <w:ind w:firstLine="420"/>
            </w:pPr>
            <w:r>
              <w:t>4</w:t>
            </w:r>
            <w:r>
              <w:rPr>
                <w:rFonts w:hint="eastAsia"/>
              </w:rPr>
              <w:t>、招标人调整经营方向或生产任务，停止招标项目建设；</w:t>
            </w:r>
          </w:p>
          <w:p>
            <w:pPr>
              <w:spacing w:line="240" w:lineRule="exact"/>
              <w:ind w:firstLine="420"/>
            </w:pPr>
            <w:r>
              <w:t>5</w:t>
            </w:r>
            <w:r>
              <w:rPr>
                <w:rFonts w:hint="eastAsia"/>
              </w:rPr>
              <w:t>、资格预审合格的潜在投标人不足</w:t>
            </w:r>
            <w:r>
              <w:t>3</w:t>
            </w:r>
            <w:r>
              <w:rPr>
                <w:rFonts w:hint="eastAsia"/>
              </w:rPr>
              <w:t>个的；</w:t>
            </w:r>
          </w:p>
          <w:p>
            <w:pPr>
              <w:spacing w:line="240" w:lineRule="exact"/>
              <w:ind w:firstLine="420"/>
            </w:pPr>
            <w:r>
              <w:t>6</w:t>
            </w:r>
            <w:r>
              <w:rPr>
                <w:rFonts w:hint="eastAsia"/>
              </w:rPr>
              <w:t>、在投标截止时间前提交投标文件的投标人少于</w:t>
            </w:r>
            <w:r>
              <w:t>3</w:t>
            </w:r>
            <w:r>
              <w:rPr>
                <w:rFonts w:hint="eastAsia"/>
              </w:rPr>
              <w:t>个的；</w:t>
            </w:r>
          </w:p>
          <w:p>
            <w:pPr>
              <w:spacing w:line="240" w:lineRule="exact"/>
              <w:ind w:firstLine="420"/>
            </w:pPr>
            <w:r>
              <w:t>7</w:t>
            </w:r>
            <w:r>
              <w:rPr>
                <w:rFonts w:hint="eastAsia"/>
              </w:rPr>
              <w:t>、所有投标均被废标处理或被否决的；</w:t>
            </w:r>
          </w:p>
          <w:p>
            <w:pPr>
              <w:spacing w:line="240" w:lineRule="exact"/>
              <w:ind w:firstLine="420"/>
            </w:pPr>
            <w:r>
              <w:t>8</w:t>
            </w:r>
            <w:r>
              <w:rPr>
                <w:rFonts w:hint="eastAsia"/>
              </w:rPr>
              <w:t>、评标委员会界定为不合格标或废标后，因有效投标不足</w:t>
            </w:r>
            <w:r>
              <w:t>3</w:t>
            </w:r>
            <w:r>
              <w:rPr>
                <w:rFonts w:hint="eastAsia"/>
              </w:rPr>
              <w:t>个使得投标明显缺乏竞争，评标委员会决定否决全部投标的；</w:t>
            </w:r>
          </w:p>
          <w:p>
            <w:pPr>
              <w:spacing w:line="240" w:lineRule="exact"/>
              <w:ind w:firstLine="420"/>
            </w:pPr>
            <w:r>
              <w:t>9</w:t>
            </w:r>
            <w:r>
              <w:rPr>
                <w:rFonts w:hint="eastAsia"/>
              </w:rPr>
              <w:t>、同意延长投标有效期的投标人少于</w:t>
            </w:r>
            <w:r>
              <w:t>3</w:t>
            </w:r>
            <w:r>
              <w:rPr>
                <w:rFonts w:hint="eastAsia"/>
              </w:rPr>
              <w:t>个的；</w:t>
            </w:r>
          </w:p>
          <w:p>
            <w:pPr>
              <w:spacing w:line="240" w:lineRule="exact"/>
              <w:ind w:firstLine="420" w:firstLineChars="200"/>
              <w:rPr>
                <w:rFonts w:ascii="宋体"/>
                <w:szCs w:val="21"/>
              </w:rPr>
            </w:pPr>
            <w:r>
              <w:rPr>
                <w:rFonts w:ascii="宋体" w:hAnsi="宋体"/>
                <w:szCs w:val="21"/>
              </w:rPr>
              <w:t>10</w:t>
            </w:r>
            <w:r>
              <w:rPr>
                <w:rFonts w:hint="eastAsia" w:ascii="宋体" w:hAnsi="宋体"/>
                <w:szCs w:val="21"/>
              </w:rPr>
              <w:t>、中标候选人均未与招标人签订合同的；</w:t>
            </w:r>
          </w:p>
          <w:p>
            <w:pPr>
              <w:spacing w:line="240" w:lineRule="exact"/>
              <w:ind w:firstLine="420" w:firstLineChars="200"/>
              <w:rPr>
                <w:rFonts w:ascii="宋体"/>
                <w:szCs w:val="21"/>
              </w:rPr>
            </w:pPr>
            <w:r>
              <w:rPr>
                <w:rFonts w:ascii="宋体" w:hAnsi="宋体"/>
                <w:szCs w:val="21"/>
              </w:rPr>
              <w:t>11</w:t>
            </w:r>
            <w:r>
              <w:rPr>
                <w:rFonts w:hint="eastAsia" w:ascii="宋体" w:hAnsi="宋体"/>
                <w:szCs w:val="21"/>
              </w:rPr>
              <w:t>、重新招标后投标人仍少于</w:t>
            </w:r>
            <w:r>
              <w:rPr>
                <w:rFonts w:ascii="宋体" w:hAnsi="宋体"/>
                <w:szCs w:val="21"/>
              </w:rPr>
              <w:t xml:space="preserve">3 </w:t>
            </w:r>
            <w:r>
              <w:rPr>
                <w:rFonts w:hint="eastAsia" w:ascii="宋体" w:hAnsi="宋体"/>
                <w:szCs w:val="21"/>
              </w:rPr>
              <w:t>个或者所有投标被否决的，属于必须审批或核准的工程建设项目，经原审批或核准部门批准后不再进行招标。</w:t>
            </w:r>
          </w:p>
          <w:p>
            <w:pPr>
              <w:spacing w:line="240" w:lineRule="exact"/>
              <w:ind w:firstLine="420" w:firstLineChars="200"/>
              <w:rPr>
                <w:rFonts w:ascii="宋体" w:cs="Arial"/>
                <w:bCs/>
                <w:szCs w:val="21"/>
              </w:rPr>
            </w:pPr>
            <w:r>
              <w:rPr>
                <w:rFonts w:ascii="宋体" w:hAnsi="宋体"/>
                <w:szCs w:val="21"/>
              </w:rPr>
              <w:t>12</w:t>
            </w:r>
            <w:r>
              <w:rPr>
                <w:rFonts w:hint="eastAsia" w:ascii="宋体" w:hAnsi="宋体"/>
                <w:szCs w:val="21"/>
              </w:rPr>
              <w:t>、法律、法规规定的其他情形。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120" w:type="dxa"/>
            <w:gridSpan w:val="3"/>
            <w:vAlign w:val="center"/>
          </w:tcPr>
          <w:p>
            <w:pPr>
              <w:jc w:val="center"/>
              <w:rPr>
                <w:rFonts w:ascii="宋体" w:cs="Arial"/>
                <w:b/>
                <w:sz w:val="24"/>
              </w:rPr>
            </w:pPr>
            <w:r>
              <w:rPr>
                <w:rFonts w:ascii="宋体" w:hAnsi="宋体" w:cs="Arial"/>
                <w:b/>
                <w:sz w:val="24"/>
              </w:rPr>
              <w:t>9</w:t>
            </w:r>
          </w:p>
        </w:tc>
        <w:tc>
          <w:tcPr>
            <w:tcW w:w="8943" w:type="dxa"/>
            <w:gridSpan w:val="4"/>
            <w:vAlign w:val="center"/>
          </w:tcPr>
          <w:p>
            <w:pPr>
              <w:jc w:val="center"/>
              <w:rPr>
                <w:rFonts w:ascii="宋体" w:cs="Arial"/>
                <w:b/>
                <w:sz w:val="24"/>
              </w:rPr>
            </w:pPr>
            <w:r>
              <w:rPr>
                <w:rFonts w:hint="eastAsia" w:ascii="宋体" w:hAnsi="宋体" w:cs="Arial"/>
                <w:b/>
                <w:sz w:val="24"/>
              </w:rPr>
              <w:t>纪律和监督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120" w:type="dxa"/>
            <w:gridSpan w:val="3"/>
            <w:vAlign w:val="center"/>
          </w:tcPr>
          <w:p>
            <w:pPr>
              <w:jc w:val="center"/>
              <w:rPr>
                <w:rFonts w:ascii="宋体" w:cs="Arial"/>
                <w:b/>
                <w:sz w:val="24"/>
              </w:rPr>
            </w:pPr>
            <w:r>
              <w:rPr>
                <w:rFonts w:ascii="宋体" w:hAnsi="宋体" w:cs="Arial"/>
                <w:b/>
                <w:sz w:val="24"/>
              </w:rPr>
              <w:t>10</w:t>
            </w:r>
          </w:p>
        </w:tc>
        <w:tc>
          <w:tcPr>
            <w:tcW w:w="8943" w:type="dxa"/>
            <w:gridSpan w:val="4"/>
            <w:vAlign w:val="center"/>
          </w:tcPr>
          <w:p>
            <w:pPr>
              <w:jc w:val="center"/>
              <w:rPr>
                <w:rFonts w:ascii="宋体" w:cs="Arial"/>
                <w:b/>
                <w:sz w:val="24"/>
              </w:rPr>
            </w:pPr>
            <w:r>
              <w:rPr>
                <w:rFonts w:hint="eastAsia" w:ascii="宋体" w:hAnsi="宋体" w:cs="Arial"/>
                <w:b/>
                <w:sz w:val="24"/>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063" w:type="dxa"/>
            <w:gridSpan w:val="7"/>
            <w:vAlign w:val="center"/>
          </w:tcPr>
          <w:p>
            <w:pPr>
              <w:pStyle w:val="7"/>
              <w:jc w:val="both"/>
            </w:pPr>
            <w:r>
              <w:t>10.1</w:t>
            </w:r>
            <w:r>
              <w:rPr>
                <w:rFonts w:hint="eastAsia"/>
                <w:sz w:val="24"/>
                <w:szCs w:val="24"/>
              </w:rPr>
              <w:t>词语定义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120" w:type="dxa"/>
            <w:gridSpan w:val="3"/>
            <w:vAlign w:val="center"/>
          </w:tcPr>
          <w:p>
            <w:pPr>
              <w:pStyle w:val="7"/>
              <w:jc w:val="both"/>
              <w:rPr>
                <w:b w:val="0"/>
              </w:rPr>
            </w:pPr>
            <w:r>
              <w:rPr>
                <w:b w:val="0"/>
              </w:rPr>
              <w:t>10.1.1</w:t>
            </w:r>
          </w:p>
        </w:tc>
        <w:tc>
          <w:tcPr>
            <w:tcW w:w="1827" w:type="dxa"/>
            <w:vAlign w:val="center"/>
          </w:tcPr>
          <w:p>
            <w:r>
              <w:rPr>
                <w:rFonts w:hint="eastAsia" w:ascii="宋体" w:hAnsi="宋体"/>
                <w:szCs w:val="21"/>
              </w:rPr>
              <w:t>细微偏差</w:t>
            </w:r>
          </w:p>
        </w:tc>
        <w:tc>
          <w:tcPr>
            <w:tcW w:w="7116" w:type="dxa"/>
            <w:gridSpan w:val="3"/>
            <w:vAlign w:val="center"/>
          </w:tcPr>
          <w:p>
            <w:pPr>
              <w:spacing w:line="320" w:lineRule="exact"/>
            </w:pPr>
            <w:r>
              <w:rPr>
                <w:rFonts w:hint="eastAsia" w:ascii="宋体" w:hAnsi="宋体"/>
                <w:szCs w:val="21"/>
              </w:rPr>
              <w:t>指投标文件在实质上响应招标文件的要求，但在个别地方存在细微错误、漏项或者提供了不完整的信息等情况，并且修正这些细微错误、遗漏或不完整不会对其他投标人造成不公平的结果。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120" w:type="dxa"/>
            <w:gridSpan w:val="3"/>
            <w:vAlign w:val="center"/>
          </w:tcPr>
          <w:p>
            <w:pPr>
              <w:pStyle w:val="7"/>
              <w:jc w:val="both"/>
              <w:rPr>
                <w:b w:val="0"/>
              </w:rPr>
            </w:pPr>
            <w:r>
              <w:rPr>
                <w:b w:val="0"/>
              </w:rPr>
              <w:t>10.1.2</w:t>
            </w:r>
          </w:p>
        </w:tc>
        <w:tc>
          <w:tcPr>
            <w:tcW w:w="1827" w:type="dxa"/>
            <w:vAlign w:val="center"/>
          </w:tcPr>
          <w:p>
            <w:pPr>
              <w:rPr>
                <w:rFonts w:ascii="宋体"/>
                <w:szCs w:val="21"/>
              </w:rPr>
            </w:pPr>
            <w:r>
              <w:fldChar w:fldCharType="begin"/>
            </w:r>
            <w:r>
              <w:instrText xml:space="preserve"> HYPERLINK "file:///H:\\泰州招标文件范本\\泰州市房屋建筑和市政工程施工2016.4.docx" \l "_10.8_知识产权" </w:instrText>
            </w:r>
            <w:r>
              <w:fldChar w:fldCharType="separate"/>
            </w:r>
            <w:r>
              <w:rPr>
                <w:rStyle w:val="18"/>
                <w:rFonts w:hint="eastAsia"/>
                <w:color w:val="auto"/>
                <w:u w:val="none"/>
              </w:rPr>
              <w:t>串通投标、</w:t>
            </w:r>
            <w:r>
              <w:rPr>
                <w:rStyle w:val="18"/>
                <w:rFonts w:hint="eastAsia" w:ascii="宋体" w:hAnsi="宋体"/>
                <w:color w:val="auto"/>
                <w:u w:val="none"/>
              </w:rPr>
              <w:t>弄虚作假</w:t>
            </w:r>
            <w:r>
              <w:rPr>
                <w:rStyle w:val="18"/>
                <w:rFonts w:hint="eastAsia"/>
                <w:color w:val="auto"/>
                <w:u w:val="none"/>
              </w:rPr>
              <w:t>行为</w:t>
            </w:r>
            <w:r>
              <w:rPr>
                <w:rStyle w:val="18"/>
                <w:rFonts w:hint="eastAsia"/>
                <w:color w:val="auto"/>
                <w:u w:val="none"/>
              </w:rPr>
              <w:fldChar w:fldCharType="end"/>
            </w:r>
            <w:r>
              <w:rPr>
                <w:rFonts w:hint="eastAsia"/>
              </w:rPr>
              <w:t>认定</w:t>
            </w:r>
          </w:p>
        </w:tc>
        <w:tc>
          <w:tcPr>
            <w:tcW w:w="7116" w:type="dxa"/>
            <w:gridSpan w:val="3"/>
            <w:vAlign w:val="center"/>
          </w:tcPr>
          <w:p>
            <w:pPr>
              <w:spacing w:line="320" w:lineRule="exact"/>
              <w:rPr>
                <w:rFonts w:ascii="宋体"/>
              </w:rPr>
            </w:pPr>
            <w:r>
              <w:rPr>
                <w:rFonts w:hint="eastAsia" w:ascii="宋体" w:hAnsi="宋体"/>
              </w:rPr>
              <w:t>执行《江苏省房屋建筑和市政基础设施工程招标投标中串通投标和弄虚作假行为认定处理办法（试行）》（苏建规字〔</w:t>
            </w:r>
            <w:r>
              <w:rPr>
                <w:rFonts w:ascii="宋体" w:hAnsi="宋体"/>
              </w:rPr>
              <w:t>2014</w:t>
            </w:r>
            <w:r>
              <w:rPr>
                <w:rFonts w:hint="eastAsia" w:ascii="宋体" w:hAnsi="宋体"/>
              </w:rPr>
              <w:t>〕</w:t>
            </w:r>
            <w:r>
              <w:rPr>
                <w:rFonts w:ascii="宋体" w:hAnsi="宋体"/>
              </w:rPr>
              <w:t>2</w:t>
            </w:r>
            <w:r>
              <w:rPr>
                <w:rFonts w:hint="eastAsia" w:ascii="宋体" w:hAnsi="宋体"/>
              </w:rPr>
              <w:t>号）</w:t>
            </w:r>
          </w:p>
          <w:p>
            <w:pPr>
              <w:spacing w:line="320" w:lineRule="exact"/>
              <w:rPr>
                <w:rFonts w:ascii="宋体" w:hAnsi="宋体"/>
                <w:szCs w:val="21"/>
              </w:rPr>
            </w:pPr>
            <w:r>
              <w:rPr>
                <w:rFonts w:hint="eastAsia" w:ascii="宋体" w:hAnsi="宋体"/>
                <w:szCs w:val="21"/>
              </w:rPr>
              <w:t>不同投标人的投标保证金提交自同一账户的视为串通投标。</w:t>
            </w:r>
          </w:p>
          <w:p>
            <w:pPr>
              <w:spacing w:line="320" w:lineRule="exact"/>
              <w:rPr>
                <w:rFonts w:ascii="宋体" w:hAnsi="宋体"/>
                <w:szCs w:val="21"/>
              </w:rPr>
            </w:pPr>
            <w:r>
              <w:rPr>
                <w:rFonts w:hint="eastAsia" w:ascii="宋体" w:hAnsi="宋体"/>
                <w:szCs w:val="21"/>
              </w:rPr>
              <w:t>不同投标人的投标保证金缴纳至同一子账户的视为串通投标。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120" w:type="dxa"/>
            <w:gridSpan w:val="3"/>
            <w:vAlign w:val="center"/>
          </w:tcPr>
          <w:p>
            <w:pPr>
              <w:pStyle w:val="7"/>
              <w:jc w:val="both"/>
              <w:rPr>
                <w:b w:val="0"/>
              </w:rPr>
            </w:pPr>
            <w:r>
              <w:rPr>
                <w:b w:val="0"/>
              </w:rPr>
              <w:t>10.1.3</w:t>
            </w:r>
          </w:p>
        </w:tc>
        <w:tc>
          <w:tcPr>
            <w:tcW w:w="1827" w:type="dxa"/>
            <w:vAlign w:val="center"/>
          </w:tcPr>
          <w:p>
            <w:r>
              <w:rPr>
                <w:rFonts w:hint="eastAsia" w:ascii="宋体" w:hAnsi="宋体" w:cs="Arial"/>
                <w:bCs/>
                <w:szCs w:val="21"/>
              </w:rPr>
              <w:t>不可竞争费</w:t>
            </w:r>
          </w:p>
        </w:tc>
        <w:tc>
          <w:tcPr>
            <w:tcW w:w="7116" w:type="dxa"/>
            <w:gridSpan w:val="3"/>
            <w:vAlign w:val="center"/>
          </w:tcPr>
          <w:p>
            <w:pPr>
              <w:spacing w:line="320" w:lineRule="exact"/>
            </w:pPr>
            <w:r>
              <w:rPr>
                <w:rFonts w:hint="eastAsia" w:cs="Arial"/>
                <w:bCs/>
              </w:rPr>
              <w:t>不可竞争费指：社会保险费、住房公积金、税金、安全文明施工措施费。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063" w:type="dxa"/>
            <w:gridSpan w:val="7"/>
            <w:vAlign w:val="center"/>
          </w:tcPr>
          <w:p>
            <w:pPr>
              <w:pStyle w:val="7"/>
              <w:jc w:val="both"/>
              <w:rPr>
                <w:sz w:val="24"/>
                <w:szCs w:val="24"/>
              </w:rPr>
            </w:pPr>
            <w:r>
              <w:rPr>
                <w:rFonts w:cs="Arial"/>
                <w:bCs w:val="0"/>
                <w:sz w:val="24"/>
                <w:szCs w:val="24"/>
              </w:rPr>
              <w:t>10.2</w:t>
            </w:r>
            <w:r>
              <w:rPr>
                <w:rFonts w:hint="eastAsia" w:cs="Arial"/>
                <w:sz w:val="24"/>
                <w:szCs w:val="24"/>
              </w:rPr>
              <w:t>招标控制价、</w:t>
            </w:r>
            <w:r>
              <w:rPr>
                <w:rFonts w:cs="Arial"/>
                <w:sz w:val="24"/>
                <w:szCs w:val="24"/>
              </w:rPr>
              <w:t>招标人期望值</w:t>
            </w:r>
            <w:r>
              <w:rPr>
                <w:rFonts w:hint="eastAsia" w:cs="Arial"/>
                <w:sz w:val="24"/>
                <w:szCs w:val="24"/>
              </w:rPr>
              <w:t>及</w:t>
            </w:r>
            <w:r>
              <w:rPr>
                <w:rFonts w:cs="Arial"/>
                <w:sz w:val="24"/>
                <w:szCs w:val="24"/>
              </w:rPr>
              <w:t>投标成本</w:t>
            </w:r>
            <w:r>
              <w:rPr>
                <w:rFonts w:hint="eastAsia" w:cs="Arial"/>
                <w:sz w:val="24"/>
                <w:szCs w:val="24"/>
              </w:rPr>
              <w:t>预警</w:t>
            </w:r>
            <w:r>
              <w:rPr>
                <w:rFonts w:cs="Arial"/>
                <w:sz w:val="24"/>
                <w:szCs w:val="24"/>
              </w:rPr>
              <w:t>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 w:hRule="atLeast"/>
        </w:trPr>
        <w:tc>
          <w:tcPr>
            <w:tcW w:w="1120" w:type="dxa"/>
            <w:gridSpan w:val="3"/>
            <w:vAlign w:val="center"/>
          </w:tcPr>
          <w:p>
            <w:pPr>
              <w:rPr>
                <w:rFonts w:ascii="宋体" w:cs="Arial"/>
                <w:bCs/>
                <w:szCs w:val="21"/>
              </w:rPr>
            </w:pPr>
            <w:bookmarkStart w:id="76" w:name="_10.2"/>
            <w:bookmarkEnd w:id="76"/>
            <w:r>
              <w:rPr>
                <w:rFonts w:ascii="宋体" w:hAnsi="宋体" w:cs="Arial"/>
                <w:bCs/>
                <w:szCs w:val="21"/>
              </w:rPr>
              <w:t>10.2.1</w:t>
            </w:r>
          </w:p>
        </w:tc>
        <w:tc>
          <w:tcPr>
            <w:tcW w:w="8943" w:type="dxa"/>
            <w:gridSpan w:val="4"/>
            <w:vAlign w:val="center"/>
          </w:tcPr>
          <w:p>
            <w:pPr>
              <w:spacing w:line="320" w:lineRule="exact"/>
              <w:rPr>
                <w:rFonts w:hAnsi="宋体"/>
                <w:szCs w:val="21"/>
              </w:rPr>
            </w:pPr>
            <w:r>
              <w:rPr>
                <w:rFonts w:ascii="宋体" w:hAnsi="宋体"/>
              </w:rPr>
              <w:t>1.</w:t>
            </w:r>
            <w:r>
              <w:rPr>
                <w:rFonts w:hint="eastAsia" w:ascii="宋体" w:hAnsi="宋体"/>
              </w:rPr>
              <w:t>本次招标：设招标控制价，工程量清单及招标控制价</w:t>
            </w:r>
            <w:r>
              <w:rPr>
                <w:rFonts w:hint="eastAsia" w:hAnsi="宋体"/>
                <w:szCs w:val="21"/>
              </w:rPr>
              <w:t>在招标文件发布的同时提供给投标人。</w:t>
            </w:r>
          </w:p>
          <w:p>
            <w:pPr>
              <w:spacing w:line="320" w:lineRule="exact"/>
              <w:rPr>
                <w:rFonts w:hAnsi="宋体"/>
                <w:szCs w:val="21"/>
              </w:rPr>
            </w:pPr>
            <w:r>
              <w:rPr>
                <w:rFonts w:hint="eastAsia" w:hAnsi="宋体"/>
                <w:szCs w:val="21"/>
              </w:rPr>
              <w:t>2.本次招标：设有招标人期望值（投标报价高于招标人期望值的作废标处理）</w:t>
            </w:r>
          </w:p>
          <w:p>
            <w:pPr>
              <w:spacing w:line="320" w:lineRule="exact"/>
              <w:rPr>
                <w:rFonts w:ascii="宋体"/>
              </w:rPr>
            </w:pPr>
            <w:r>
              <w:rPr>
                <w:rFonts w:hAnsi="宋体"/>
                <w:szCs w:val="21"/>
              </w:rPr>
              <w:t>3..</w:t>
            </w:r>
            <w:r>
              <w:rPr>
                <w:rFonts w:hint="eastAsia" w:hAnsi="宋体"/>
                <w:szCs w:val="21"/>
              </w:rPr>
              <w:t xml:space="preserve">招标人期望值=招标控制价×(100－L)%, </w:t>
            </w:r>
            <w:r>
              <w:rPr>
                <w:rFonts w:hint="eastAsia" w:hAnsi="宋体"/>
                <w:szCs w:val="21"/>
                <w:highlight w:val="yellow"/>
              </w:rPr>
              <w:t>本招标项目 L=</w:t>
            </w:r>
            <w:r>
              <w:rPr>
                <w:rFonts w:hint="eastAsia" w:hAnsi="宋体"/>
                <w:szCs w:val="21"/>
                <w:highlight w:val="yellow"/>
                <w:u w:val="single"/>
              </w:rPr>
              <w:t xml:space="preserve"> </w:t>
            </w:r>
            <w:r>
              <w:rPr>
                <w:rFonts w:hint="eastAsia" w:hAnsi="宋体"/>
                <w:szCs w:val="21"/>
                <w:highlight w:val="yellow"/>
                <w:u w:val="single"/>
                <w:lang w:val="en-US" w:eastAsia="zh-CN"/>
              </w:rPr>
              <w:t>12</w:t>
            </w:r>
            <w:r>
              <w:rPr>
                <w:rFonts w:hint="eastAsia" w:hAnsi="宋体"/>
                <w:szCs w:val="21"/>
                <w:highlight w:val="yellow"/>
                <w:u w:val="single"/>
              </w:rPr>
              <w:t xml:space="preserve"> </w:t>
            </w:r>
            <w:r>
              <w:rPr>
                <w:rFonts w:hint="eastAsia" w:hAnsi="宋体"/>
                <w:szCs w:val="21"/>
              </w:rPr>
              <w:t>。</w:t>
            </w:r>
            <w:r>
              <w:rPr>
                <w:rFonts w:hAnsi="宋体"/>
                <w:szCs w:val="21"/>
              </w:rPr>
              <w:t>L</w:t>
            </w:r>
            <w:r>
              <w:rPr>
                <w:rFonts w:hint="eastAsia" w:hAnsi="宋体"/>
                <w:szCs w:val="21"/>
              </w:rPr>
              <w:t>的</w:t>
            </w:r>
            <w:r>
              <w:rPr>
                <w:rFonts w:hAnsi="宋体"/>
                <w:szCs w:val="21"/>
              </w:rPr>
              <w:t>取值</w:t>
            </w:r>
            <w:r>
              <w:rPr>
                <w:rFonts w:hint="eastAsia" w:hAnsi="宋体"/>
                <w:szCs w:val="21"/>
              </w:rPr>
              <w:t>范围：建筑工程为</w:t>
            </w:r>
            <w:r>
              <w:rPr>
                <w:rFonts w:hAnsi="宋体"/>
                <w:szCs w:val="21"/>
              </w:rPr>
              <w:t>5</w:t>
            </w:r>
            <w:r>
              <w:rPr>
                <w:rFonts w:hint="eastAsia" w:hAnsi="宋体"/>
                <w:szCs w:val="21"/>
              </w:rPr>
              <w:t>-7，装修、安装工程为</w:t>
            </w:r>
            <w:r>
              <w:rPr>
                <w:rFonts w:hAnsi="宋体"/>
                <w:szCs w:val="21"/>
              </w:rPr>
              <w:t>10</w:t>
            </w:r>
            <w:r>
              <w:rPr>
                <w:rFonts w:hint="eastAsia" w:hAnsi="宋体"/>
                <w:szCs w:val="21"/>
              </w:rPr>
              <w:t>-12，市政工程为</w:t>
            </w:r>
            <w:r>
              <w:rPr>
                <w:rFonts w:hAnsi="宋体"/>
                <w:szCs w:val="21"/>
              </w:rPr>
              <w:t>11</w:t>
            </w:r>
            <w:r>
              <w:rPr>
                <w:rFonts w:hint="eastAsia" w:hAnsi="宋体"/>
                <w:szCs w:val="21"/>
              </w:rPr>
              <w:t>-13，园林绿化工程为15-17，其他工程为10-12。</w:t>
            </w:r>
          </w:p>
          <w:p>
            <w:pPr>
              <w:spacing w:line="320" w:lineRule="exact"/>
              <w:rPr>
                <w:rFonts w:ascii="Arial" w:hAnsi="Arial" w:cs="Arial"/>
                <w:bCs/>
                <w:szCs w:val="21"/>
              </w:rPr>
            </w:pPr>
            <w:r>
              <w:rPr>
                <w:rFonts w:hint="eastAsia" w:ascii="宋体" w:hAnsi="宋体"/>
              </w:rPr>
              <w:t>其中：暂列金额</w:t>
            </w:r>
            <w:r>
              <w:rPr>
                <w:rFonts w:hint="eastAsia" w:ascii="宋体" w:hAnsi="宋体"/>
                <w:u w:val="single"/>
              </w:rPr>
              <w:t>详见招标控制价</w:t>
            </w:r>
            <w:r>
              <w:rPr>
                <w:rFonts w:hint="eastAsia" w:ascii="Arial" w:hAnsi="Arial" w:cs="Arial"/>
                <w:bCs/>
                <w:szCs w:val="21"/>
              </w:rPr>
              <w:t>元；专业工程暂估价</w:t>
            </w:r>
            <w:r>
              <w:rPr>
                <w:rFonts w:hint="eastAsia" w:ascii="宋体" w:hAnsi="宋体"/>
                <w:u w:val="single"/>
              </w:rPr>
              <w:t>详见招标控制价</w:t>
            </w:r>
            <w:r>
              <w:rPr>
                <w:rFonts w:hint="eastAsia" w:ascii="Arial" w:hAnsi="Arial" w:cs="Arial"/>
                <w:bCs/>
                <w:szCs w:val="21"/>
              </w:rPr>
              <w:t>元；</w:t>
            </w:r>
          </w:p>
          <w:p>
            <w:pPr>
              <w:spacing w:line="320" w:lineRule="exact"/>
              <w:ind w:firstLine="630" w:firstLineChars="300"/>
              <w:rPr>
                <w:rFonts w:ascii="Arial" w:hAnsi="Arial" w:cs="Arial"/>
                <w:bCs/>
                <w:szCs w:val="21"/>
              </w:rPr>
            </w:pPr>
            <w:r>
              <w:rPr>
                <w:rFonts w:hint="eastAsia" w:ascii="Arial" w:hAnsi="Arial" w:cs="Arial"/>
                <w:bCs/>
                <w:szCs w:val="21"/>
              </w:rPr>
              <w:t>材料和工程设备暂估价合计金额：</w:t>
            </w:r>
            <w:r>
              <w:rPr>
                <w:rFonts w:hint="eastAsia" w:ascii="宋体" w:hAnsi="宋体"/>
                <w:u w:val="single"/>
              </w:rPr>
              <w:t>详见招标控制价</w:t>
            </w:r>
            <w:r>
              <w:rPr>
                <w:rFonts w:hint="eastAsia" w:ascii="Arial" w:hAnsi="Arial" w:cs="Arial"/>
                <w:bCs/>
                <w:szCs w:val="21"/>
              </w:rPr>
              <w:t>元；</w:t>
            </w:r>
          </w:p>
          <w:p>
            <w:pPr>
              <w:spacing w:line="320" w:lineRule="exact"/>
              <w:ind w:firstLine="630" w:firstLineChars="300"/>
              <w:rPr>
                <w:rFonts w:ascii="Arial" w:hAnsi="Arial" w:cs="Arial"/>
                <w:bCs/>
                <w:szCs w:val="21"/>
              </w:rPr>
            </w:pPr>
            <w:r>
              <w:rPr>
                <w:rFonts w:hint="eastAsia" w:ascii="Arial" w:hAnsi="Arial" w:cs="Arial"/>
                <w:bCs/>
                <w:szCs w:val="21"/>
              </w:rPr>
              <w:t>上述数据以最后发出的</w:t>
            </w:r>
            <w:r>
              <w:rPr>
                <w:rFonts w:hint="eastAsia" w:ascii="宋体" w:hAnsi="宋体"/>
              </w:rPr>
              <w:t>工程量清单及招标控制价为准</w:t>
            </w:r>
            <w:r>
              <w:rPr>
                <w:rFonts w:hint="eastAsia" w:ascii="Arial" w:hAnsi="Arial" w:cs="Arial"/>
                <w:bCs/>
                <w:szCs w:val="21"/>
              </w:rPr>
              <w:t>。</w:t>
            </w:r>
          </w:p>
          <w:p>
            <w:pPr>
              <w:spacing w:line="320" w:lineRule="exact"/>
              <w:rPr>
                <w:rFonts w:ascii="Arial" w:hAnsi="Arial" w:cs="Arial"/>
                <w:bCs/>
                <w:szCs w:val="21"/>
              </w:rPr>
            </w:pPr>
            <w:r>
              <w:rPr>
                <w:rFonts w:hint="eastAsia" w:ascii="Arial" w:hAnsi="Arial" w:cs="Arial"/>
                <w:bCs/>
                <w:szCs w:val="21"/>
              </w:rPr>
              <w:t>4.本次</w:t>
            </w:r>
            <w:r>
              <w:rPr>
                <w:rFonts w:ascii="Arial" w:hAnsi="Arial" w:cs="Arial"/>
                <w:bCs/>
                <w:szCs w:val="21"/>
              </w:rPr>
              <w:t>招标：设有投标成本预警价</w:t>
            </w:r>
          </w:p>
          <w:p>
            <w:pPr>
              <w:spacing w:line="320" w:lineRule="exact"/>
              <w:rPr>
                <w:rFonts w:ascii="Arial" w:hAnsi="Arial" w:cs="Arial"/>
                <w:bCs/>
                <w:szCs w:val="21"/>
              </w:rPr>
            </w:pPr>
            <w:r>
              <w:rPr>
                <w:rFonts w:hint="eastAsia" w:ascii="Arial" w:hAnsi="Arial" w:cs="Arial"/>
                <w:bCs/>
                <w:szCs w:val="21"/>
              </w:rPr>
              <w:t>5.投标</w:t>
            </w:r>
            <w:r>
              <w:rPr>
                <w:rFonts w:ascii="Arial" w:hAnsi="Arial" w:cs="Arial"/>
                <w:bCs/>
                <w:szCs w:val="21"/>
              </w:rPr>
              <w:t>成本预警价=</w:t>
            </w:r>
            <w:r>
              <w:rPr>
                <w:rFonts w:hint="eastAsia" w:hAnsi="宋体"/>
                <w:szCs w:val="21"/>
              </w:rPr>
              <w:t>招标控制价×(100－</w:t>
            </w:r>
            <w:r>
              <w:rPr>
                <w:rFonts w:hAnsi="宋体"/>
                <w:szCs w:val="21"/>
              </w:rPr>
              <w:t>K</w:t>
            </w:r>
            <w:r>
              <w:rPr>
                <w:rFonts w:hint="eastAsia" w:hAnsi="宋体"/>
                <w:szCs w:val="21"/>
              </w:rPr>
              <w:t>)%</w:t>
            </w:r>
            <w:r>
              <w:rPr>
                <w:rFonts w:hint="eastAsia" w:hAnsi="宋体"/>
                <w:szCs w:val="21"/>
                <w:highlight w:val="yellow"/>
              </w:rPr>
              <w:t>, K的</w:t>
            </w:r>
            <w:r>
              <w:rPr>
                <w:rFonts w:hAnsi="宋体"/>
                <w:szCs w:val="21"/>
                <w:highlight w:val="yellow"/>
              </w:rPr>
              <w:t>取值</w:t>
            </w:r>
            <w:r>
              <w:rPr>
                <w:rFonts w:hint="eastAsia" w:hAnsi="宋体"/>
                <w:szCs w:val="21"/>
                <w:highlight w:val="yellow"/>
              </w:rPr>
              <w:t>：</w:t>
            </w:r>
            <w:r>
              <w:rPr>
                <w:rFonts w:hint="eastAsia" w:hAnsi="宋体"/>
                <w:szCs w:val="21"/>
                <w:highlight w:val="yellow"/>
                <w:u w:val="single"/>
              </w:rPr>
              <w:t xml:space="preserve"> 1</w:t>
            </w:r>
            <w:r>
              <w:rPr>
                <w:rFonts w:hint="eastAsia" w:hAnsi="宋体"/>
                <w:szCs w:val="21"/>
                <w:highlight w:val="yellow"/>
                <w:u w:val="single"/>
                <w:lang w:val="en-US" w:eastAsia="zh-CN"/>
              </w:rPr>
              <w:t>5</w:t>
            </w:r>
            <w:r>
              <w:rPr>
                <w:rFonts w:hint="eastAsia" w:hAnsi="宋体"/>
                <w:szCs w:val="21"/>
                <w:highlight w:val="yellow"/>
                <w:u w:val="single"/>
              </w:rPr>
              <w:t xml:space="preserve"> </w:t>
            </w:r>
            <w:r>
              <w:rPr>
                <w:rFonts w:hint="eastAsia" w:hAnsi="宋体"/>
                <w:szCs w:val="21"/>
                <w:highlight w:val="yellow"/>
              </w:rPr>
              <w:t>。</w:t>
            </w:r>
            <w:r>
              <w:rPr>
                <w:rFonts w:hint="eastAsia" w:hAnsi="宋体"/>
                <w:szCs w:val="21"/>
              </w:rPr>
              <w:t>建筑工程为10，装修、安装工程为15，市政工程为16，园林绿化工程为20，其他工程为15。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0063" w:type="dxa"/>
            <w:gridSpan w:val="7"/>
            <w:vAlign w:val="center"/>
          </w:tcPr>
          <w:p>
            <w:pPr>
              <w:rPr>
                <w:rFonts w:ascii="宋体"/>
                <w:b/>
                <w:sz w:val="24"/>
              </w:rPr>
            </w:pPr>
            <w:bookmarkStart w:id="77" w:name="_10.3"/>
            <w:bookmarkEnd w:id="77"/>
            <w:r>
              <w:rPr>
                <w:rFonts w:ascii="宋体" w:hAnsi="宋体"/>
                <w:b/>
                <w:sz w:val="24"/>
              </w:rPr>
              <w:t>10.3</w:t>
            </w:r>
            <w:bookmarkStart w:id="78" w:name="_“暗标”评审方式"/>
            <w:bookmarkEnd w:id="78"/>
            <w:r>
              <w:rPr>
                <w:rFonts w:hint="eastAsia" w:ascii="宋体" w:hAnsi="宋体"/>
                <w:b/>
                <w:sz w:val="24"/>
              </w:rPr>
              <w:t>“暗标”评审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1120" w:type="dxa"/>
            <w:gridSpan w:val="3"/>
            <w:vAlign w:val="center"/>
          </w:tcPr>
          <w:p/>
        </w:tc>
        <w:tc>
          <w:tcPr>
            <w:tcW w:w="1827" w:type="dxa"/>
            <w:vAlign w:val="center"/>
          </w:tcPr>
          <w:p>
            <w:r>
              <w:rPr>
                <w:rFonts w:hint="eastAsia"/>
              </w:rPr>
              <w:t>施工组织设计</w:t>
            </w:r>
          </w:p>
          <w:p>
            <w:r>
              <w:rPr>
                <w:rFonts w:hint="eastAsia"/>
              </w:rPr>
              <w:t>是否采用</w:t>
            </w:r>
          </w:p>
          <w:p>
            <w:r>
              <w:rPr>
                <w:rFonts w:hint="eastAsia"/>
              </w:rPr>
              <w:t>暗标评审方式</w:t>
            </w:r>
          </w:p>
        </w:tc>
        <w:tc>
          <w:tcPr>
            <w:tcW w:w="7116" w:type="dxa"/>
            <w:gridSpan w:val="3"/>
            <w:vAlign w:val="center"/>
          </w:tcPr>
          <w:p>
            <w:r>
              <w:rPr>
                <w:rFonts w:hint="eastAsia" w:ascii="MS Mincho" w:hAnsi="MS Mincho" w:eastAsia="MS Mincho" w:cs="MS Mincho"/>
                <w:szCs w:val="21"/>
              </w:rPr>
              <w:t>☑</w:t>
            </w:r>
            <w:r>
              <w:rPr>
                <w:rFonts w:hint="eastAsia"/>
              </w:rPr>
              <w:t>不采用</w:t>
            </w:r>
          </w:p>
          <w:p>
            <w:r>
              <w:rPr>
                <w:rFonts w:hint="eastAsia"/>
              </w:rPr>
              <w:t>□采用，投标人应按照</w:t>
            </w:r>
            <w:r>
              <w:fldChar w:fldCharType="begin"/>
            </w:r>
            <w:r>
              <w:instrText xml:space="preserve"> HYPERLINK "file:///H:\\泰州招标文件范本\\泰州市房屋建筑和市政工程施工2016.4.docx" \l "_3.7_投标文件的编制（适用于纸质招标文件）" </w:instrText>
            </w:r>
            <w:r>
              <w:fldChar w:fldCharType="separate"/>
            </w:r>
            <w:r>
              <w:rPr>
                <w:rStyle w:val="18"/>
                <w:rFonts w:hint="eastAsia"/>
                <w:color w:val="auto"/>
              </w:rPr>
              <w:t>投标人须知</w:t>
            </w:r>
            <w:r>
              <w:rPr>
                <w:rStyle w:val="18"/>
                <w:color w:val="auto"/>
              </w:rPr>
              <w:t>3.7.4</w:t>
            </w:r>
            <w:r>
              <w:rPr>
                <w:rStyle w:val="18"/>
                <w:rFonts w:hint="eastAsia"/>
                <w:color w:val="auto"/>
              </w:rPr>
              <w:t>项</w:t>
            </w:r>
            <w:r>
              <w:rPr>
                <w:rStyle w:val="18"/>
                <w:rFonts w:hint="eastAsia"/>
                <w:color w:val="auto"/>
              </w:rPr>
              <w:fldChar w:fldCharType="end"/>
            </w:r>
            <w:r>
              <w:rPr>
                <w:rFonts w:hint="eastAsia"/>
              </w:rPr>
              <w:t>要求编制施工组织设计，不符合暗标文件编制要求的，评标委员会将否决其投标。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063" w:type="dxa"/>
            <w:gridSpan w:val="7"/>
            <w:vAlign w:val="center"/>
          </w:tcPr>
          <w:p>
            <w:pPr>
              <w:rPr>
                <w:rFonts w:ascii="宋体"/>
                <w:b/>
                <w:sz w:val="24"/>
              </w:rPr>
            </w:pPr>
            <w:r>
              <w:rPr>
                <w:rFonts w:ascii="宋体" w:hAnsi="宋体"/>
                <w:b/>
                <w:sz w:val="24"/>
              </w:rPr>
              <w:t>10.4</w:t>
            </w:r>
            <w:r>
              <w:rPr>
                <w:rFonts w:hint="eastAsia" w:ascii="宋体" w:hAnsi="宋体"/>
                <w:b/>
                <w:sz w:val="24"/>
              </w:rPr>
              <w:t>招标方式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086" w:type="dxa"/>
            <w:vAlign w:val="center"/>
          </w:tcPr>
          <w:p>
            <w:pPr>
              <w:rPr>
                <w:rFonts w:ascii="宋体"/>
                <w:b/>
                <w:sz w:val="24"/>
              </w:rPr>
            </w:pPr>
          </w:p>
        </w:tc>
        <w:tc>
          <w:tcPr>
            <w:tcW w:w="8977" w:type="dxa"/>
            <w:gridSpan w:val="6"/>
            <w:vAlign w:val="center"/>
          </w:tcPr>
          <w:p>
            <w:pPr>
              <w:spacing w:line="360" w:lineRule="auto"/>
              <w:rPr>
                <w:rFonts w:ascii="宋体"/>
                <w:b/>
                <w:sz w:val="24"/>
              </w:rPr>
            </w:pPr>
            <w:r>
              <w:rPr>
                <w:rFonts w:hint="eastAsia" w:ascii="MS Mincho" w:hAnsi="MS Mincho" w:cs="MS Mincho"/>
                <w:b/>
                <w:szCs w:val="21"/>
              </w:rPr>
              <w:t>□</w:t>
            </w:r>
            <w:r>
              <w:rPr>
                <w:rFonts w:hint="eastAsia" w:ascii="宋体" w:hAnsi="宋体" w:cs="Arial"/>
                <w:szCs w:val="21"/>
              </w:rPr>
              <w:t xml:space="preserve">邀请招标  </w:t>
            </w:r>
            <w:r>
              <w:rPr>
                <w:rFonts w:hint="eastAsia"/>
              </w:rPr>
              <w:sym w:font="Wingdings 2" w:char="0052"/>
            </w:r>
            <w:r>
              <w:rPr>
                <w:rFonts w:hint="eastAsia" w:ascii="宋体" w:hAnsi="宋体" w:cs="Arial"/>
                <w:b/>
                <w:szCs w:val="21"/>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063" w:type="dxa"/>
            <w:gridSpan w:val="7"/>
            <w:vAlign w:val="center"/>
          </w:tcPr>
          <w:p>
            <w:pPr>
              <w:rPr>
                <w:rFonts w:ascii="宋体"/>
                <w:b/>
                <w:sz w:val="24"/>
              </w:rPr>
            </w:pPr>
            <w:bookmarkStart w:id="79" w:name="_10.4"/>
            <w:bookmarkEnd w:id="79"/>
            <w:bookmarkStart w:id="80" w:name="_10.5"/>
            <w:bookmarkEnd w:id="80"/>
            <w:r>
              <w:rPr>
                <w:rFonts w:ascii="宋体" w:hAnsi="宋体"/>
                <w:b/>
                <w:sz w:val="24"/>
              </w:rPr>
              <w:t>10.5</w:t>
            </w:r>
            <w:r>
              <w:rPr>
                <w:rFonts w:hint="eastAsia" w:ascii="宋体" w:hAnsi="宋体"/>
                <w:b/>
                <w:sz w:val="24"/>
              </w:rPr>
              <w:t>投标人代表</w:t>
            </w:r>
            <w:r>
              <w:fldChar w:fldCharType="begin"/>
            </w:r>
            <w:r>
              <w:instrText xml:space="preserve"> HYPERLINK "file:///H:\\泰州招标文件范本\\泰州市房屋建筑和市政工程施工2016.4.docx" \l "_10.5_投标人代表出席开标会" </w:instrText>
            </w:r>
            <w:r>
              <w:fldChar w:fldCharType="separate"/>
            </w:r>
            <w:r>
              <w:rPr>
                <w:rFonts w:hint="eastAsia" w:ascii="宋体" w:hAnsi="宋体"/>
                <w:b/>
                <w:sz w:val="24"/>
              </w:rPr>
              <w:t>出席开标会</w:t>
            </w:r>
            <w:r>
              <w:rPr>
                <w:rFonts w:hint="eastAsia" w:ascii="宋体" w:hAnsi="宋体"/>
                <w:b/>
                <w:sz w:val="24"/>
              </w:rPr>
              <w:fldChar w:fldCharType="end"/>
            </w:r>
            <w:r>
              <w:rPr>
                <w:rFonts w:hint="eastAsia" w:ascii="宋体" w:hAnsi="宋体"/>
                <w:b/>
                <w:sz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120" w:type="dxa"/>
            <w:gridSpan w:val="3"/>
            <w:vAlign w:val="center"/>
          </w:tcPr>
          <w:p/>
        </w:tc>
        <w:tc>
          <w:tcPr>
            <w:tcW w:w="8943" w:type="dxa"/>
            <w:gridSpan w:val="4"/>
            <w:vAlign w:val="center"/>
          </w:tcPr>
          <w:p>
            <w:pPr>
              <w:spacing w:line="360" w:lineRule="exact"/>
              <w:rPr>
                <w:b/>
              </w:rPr>
            </w:pPr>
            <w:r>
              <w:rPr>
                <w:rFonts w:hint="eastAsia" w:ascii="宋体" w:hAnsi="宋体" w:cs="Arial"/>
                <w:b/>
                <w:szCs w:val="21"/>
              </w:rPr>
              <w:t>一、</w:t>
            </w:r>
            <w:r>
              <w:rPr>
                <w:rFonts w:hint="eastAsia"/>
                <w:b/>
              </w:rPr>
              <w:t>投标人拟派的委托代理人按时参加开标会，并持个人二代身份证原件、</w:t>
            </w:r>
            <w:r>
              <w:rPr>
                <w:b/>
              </w:rPr>
              <w:t>低价差额担保原件（</w:t>
            </w:r>
            <w:r>
              <w:rPr>
                <w:rFonts w:hint="eastAsia"/>
                <w:b/>
              </w:rPr>
              <w:t>如有</w:t>
            </w:r>
            <w:r>
              <w:rPr>
                <w:b/>
              </w:rPr>
              <w:t>）</w:t>
            </w:r>
            <w:r>
              <w:rPr>
                <w:rFonts w:hint="eastAsia"/>
                <w:b/>
              </w:rPr>
              <w:t>，在投标截止时间前签到。</w:t>
            </w:r>
          </w:p>
          <w:p>
            <w:pPr>
              <w:spacing w:line="360" w:lineRule="exact"/>
              <w:ind w:firstLine="422" w:firstLineChars="200"/>
              <w:rPr>
                <w:b/>
              </w:rPr>
            </w:pPr>
            <w:r>
              <w:rPr>
                <w:rFonts w:hint="eastAsia"/>
                <w:b/>
              </w:rPr>
              <w:t>投标人出席开标会迟到，或未持个人二代身份证原件、</w:t>
            </w:r>
            <w:r>
              <w:rPr>
                <w:b/>
              </w:rPr>
              <w:t>低价差额担保原件（</w:t>
            </w:r>
            <w:r>
              <w:rPr>
                <w:rFonts w:hint="eastAsia"/>
                <w:b/>
              </w:rPr>
              <w:t>如有</w:t>
            </w:r>
            <w:r>
              <w:rPr>
                <w:b/>
              </w:rPr>
              <w:t>）</w:t>
            </w:r>
            <w:r>
              <w:rPr>
                <w:rFonts w:hint="eastAsia"/>
                <w:b/>
              </w:rPr>
              <w:t>签到的，或者签到的委托代理人与投标文件中载明的委托代理人不是同一人的，由招标人核实确认并如实记录，其投标文件作无效投标文件处理。</w:t>
            </w:r>
          </w:p>
          <w:p>
            <w:pPr>
              <w:spacing w:line="360" w:lineRule="exact"/>
              <w:rPr>
                <w:b/>
              </w:rPr>
            </w:pPr>
            <w:r>
              <w:rPr>
                <w:rFonts w:hint="eastAsia" w:ascii="宋体" w:hAnsi="宋体" w:cs="Arial"/>
                <w:b/>
                <w:szCs w:val="21"/>
              </w:rPr>
              <w:t>二、投标人</w:t>
            </w:r>
            <w:r>
              <w:rPr>
                <w:rFonts w:hint="eastAsia"/>
                <w:b/>
              </w:rPr>
              <w:t>不参加开标会或在开标现场拒绝签字确认的，</w:t>
            </w:r>
            <w:r>
              <w:rPr>
                <w:rFonts w:hint="eastAsia" w:ascii="宋体" w:hAnsi="宋体"/>
                <w:b/>
                <w:szCs w:val="21"/>
              </w:rPr>
              <w:t>视为投标人放弃投标</w:t>
            </w:r>
            <w:r>
              <w:rPr>
                <w:rFonts w:hint="eastAsia"/>
                <w:b/>
              </w:rPr>
              <w:t>。</w:t>
            </w:r>
          </w:p>
          <w:p>
            <w:pPr>
              <w:spacing w:line="360" w:lineRule="exact"/>
            </w:pPr>
            <w:r>
              <w:rPr>
                <w:rFonts w:hint="eastAsia"/>
                <w:b/>
              </w:rPr>
              <w:t>三、招标人有违法违规行为的，</w:t>
            </w:r>
            <w:r>
              <w:rPr>
                <w:rFonts w:hint="eastAsia" w:ascii="宋体" w:hAnsi="宋体"/>
                <w:b/>
                <w:szCs w:val="21"/>
              </w:rPr>
              <w:t>视为无效标</w:t>
            </w:r>
            <w:r>
              <w:rPr>
                <w:rFonts w:hint="eastAsia"/>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0063" w:type="dxa"/>
            <w:gridSpan w:val="7"/>
            <w:vAlign w:val="center"/>
          </w:tcPr>
          <w:p>
            <w:pPr>
              <w:rPr>
                <w:rFonts w:ascii="宋体"/>
                <w:b/>
                <w:sz w:val="24"/>
              </w:rPr>
            </w:pPr>
            <w:r>
              <w:rPr>
                <w:rFonts w:ascii="宋体" w:hAnsi="宋体"/>
                <w:b/>
                <w:sz w:val="24"/>
              </w:rPr>
              <w:t>10.6</w:t>
            </w:r>
            <w:r>
              <w:fldChar w:fldCharType="begin"/>
            </w:r>
            <w:r>
              <w:instrText xml:space="preserve"> HYPERLINK "file:///H:\\泰州招标文件范本\\泰州市房屋建筑和市政工程施工2016.4.docx" \l "_10.6_同义词语" </w:instrText>
            </w:r>
            <w:r>
              <w:fldChar w:fldCharType="separate"/>
            </w:r>
            <w:r>
              <w:rPr>
                <w:rFonts w:hint="eastAsia" w:ascii="宋体" w:hAnsi="宋体"/>
                <w:b/>
                <w:sz w:val="24"/>
              </w:rPr>
              <w:t>同义词语</w:t>
            </w:r>
            <w:r>
              <w:rPr>
                <w:rFonts w:hint="eastAsia" w:ascii="宋体" w:hAnsi="宋体"/>
                <w:b/>
                <w:sz w:val="24"/>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120" w:type="dxa"/>
            <w:gridSpan w:val="3"/>
            <w:vAlign w:val="center"/>
          </w:tcPr>
          <w:p/>
        </w:tc>
        <w:tc>
          <w:tcPr>
            <w:tcW w:w="8943" w:type="dxa"/>
            <w:gridSpan w:val="4"/>
            <w:vAlign w:val="center"/>
          </w:tcPr>
          <w:p>
            <w:pPr>
              <w:spacing w:line="360" w:lineRule="exact"/>
              <w:ind w:firstLine="210" w:firstLineChars="100"/>
            </w:pPr>
            <w:r>
              <w:rPr>
                <w:rFonts w:hint="eastAsia"/>
              </w:rPr>
              <w:t>构成招标文件组成部分的“合同条款”、“技术标准和要求”和“工程量清单”等章节中出现的措辞“发包人”和“承包人”，在招标投标阶段应当分别按“招标人”和“投标人”进行理解。招标文件中的“项目负责人”和“项目经理”为同一意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trPr>
        <w:tc>
          <w:tcPr>
            <w:tcW w:w="10063" w:type="dxa"/>
            <w:gridSpan w:val="7"/>
            <w:vAlign w:val="center"/>
          </w:tcPr>
          <w:p>
            <w:pPr>
              <w:rPr>
                <w:rFonts w:ascii="宋体"/>
                <w:b/>
                <w:sz w:val="24"/>
              </w:rPr>
            </w:pPr>
            <w:r>
              <w:rPr>
                <w:rFonts w:ascii="宋体" w:hAnsi="宋体"/>
                <w:b/>
                <w:sz w:val="24"/>
              </w:rPr>
              <w:t>10.7</w:t>
            </w:r>
            <w:r>
              <w:rPr>
                <w:rFonts w:hint="eastAsia" w:ascii="宋体" w:hAnsi="宋体"/>
                <w:b/>
                <w:sz w:val="24"/>
              </w:rPr>
              <w:t>招标代理服务费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rPr>
        <w:tc>
          <w:tcPr>
            <w:tcW w:w="1120" w:type="dxa"/>
            <w:gridSpan w:val="3"/>
            <w:vAlign w:val="center"/>
          </w:tcPr>
          <w:p/>
        </w:tc>
        <w:tc>
          <w:tcPr>
            <w:tcW w:w="8943" w:type="dxa"/>
            <w:gridSpan w:val="4"/>
            <w:vAlign w:val="center"/>
          </w:tcPr>
          <w:p>
            <w:pPr>
              <w:ind w:firstLine="210" w:firstLineChars="100"/>
            </w:pPr>
            <w:r>
              <w:rPr>
                <w:rFonts w:hint="eastAsia" w:ascii="Arial" w:hAnsi="Arial" w:cs="Arial"/>
                <w:szCs w:val="21"/>
              </w:rPr>
              <w:t>招标代理服务费</w:t>
            </w:r>
            <w:r>
              <w:rPr>
                <w:rFonts w:hint="eastAsia" w:ascii="Arial" w:hAnsi="Arial" w:cs="Arial"/>
                <w:szCs w:val="21"/>
                <w:lang w:val="en-US" w:eastAsia="zh-CN"/>
              </w:rPr>
              <w:t>贰</w:t>
            </w:r>
            <w:r>
              <w:rPr>
                <w:rFonts w:hint="eastAsia" w:ascii="Arial" w:hAnsi="Arial" w:cs="Arial"/>
                <w:szCs w:val="21"/>
              </w:rPr>
              <w:t>仟元和专家评审费</w:t>
            </w:r>
            <w:r>
              <w:rPr>
                <w:rFonts w:hint="eastAsia" w:ascii="Arial" w:hAnsi="Arial" w:cs="Arial"/>
                <w:szCs w:val="21"/>
                <w:lang w:val="en-US" w:eastAsia="zh-CN"/>
              </w:rPr>
              <w:t>玖</w:t>
            </w:r>
            <w:r>
              <w:rPr>
                <w:rFonts w:hint="eastAsia" w:ascii="Arial" w:hAnsi="Arial" w:cs="Arial"/>
                <w:szCs w:val="21"/>
              </w:rPr>
              <w:t>佰元由中标人在领取中标通知书之前一次性付清，投标人应将该费用考虑进投标报价中。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trPr>
        <w:tc>
          <w:tcPr>
            <w:tcW w:w="10063" w:type="dxa"/>
            <w:gridSpan w:val="7"/>
            <w:vAlign w:val="center"/>
          </w:tcPr>
          <w:p>
            <w:r>
              <w:rPr>
                <w:rFonts w:ascii="宋体" w:hAnsi="宋体"/>
                <w:b/>
                <w:sz w:val="24"/>
              </w:rPr>
              <w:t>10.8</w:t>
            </w:r>
            <w:r>
              <w:rPr>
                <w:rFonts w:hint="eastAsia" w:ascii="宋体" w:hAnsi="宋体"/>
                <w:b/>
                <w:sz w:val="24"/>
              </w:rPr>
              <w:t>解释权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trPr>
        <w:tc>
          <w:tcPr>
            <w:tcW w:w="1120" w:type="dxa"/>
            <w:gridSpan w:val="3"/>
            <w:vAlign w:val="center"/>
          </w:tcPr>
          <w:p/>
        </w:tc>
        <w:tc>
          <w:tcPr>
            <w:tcW w:w="8943" w:type="dxa"/>
            <w:gridSpan w:val="4"/>
            <w:vAlign w:val="center"/>
          </w:tcPr>
          <w:p>
            <w:pPr>
              <w:spacing w:line="360" w:lineRule="exact"/>
              <w:ind w:firstLine="315" w:firstLineChars="150"/>
            </w:pPr>
            <w:r>
              <w:rPr>
                <w:rFonts w:hint="eastAsia" w:ascii="Arial" w:hAnsi="Arial" w:cs="Arial"/>
                <w:szCs w:val="21"/>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rPr>
        <w:tc>
          <w:tcPr>
            <w:tcW w:w="10063" w:type="dxa"/>
            <w:gridSpan w:val="7"/>
            <w:vAlign w:val="center"/>
          </w:tcPr>
          <w:p>
            <w:r>
              <w:rPr>
                <w:rFonts w:ascii="宋体" w:hAnsi="宋体"/>
                <w:b/>
                <w:sz w:val="24"/>
              </w:rPr>
              <w:t>10.9</w:t>
            </w:r>
            <w:r>
              <w:rPr>
                <w:rFonts w:hint="eastAsia" w:ascii="宋体" w:hAnsi="宋体"/>
                <w:b/>
                <w:sz w:val="24"/>
              </w:rPr>
              <w:t>招标人补充的其他内容</w:t>
            </w:r>
            <w:r>
              <w:rPr>
                <w:rFonts w:hint="eastAsia"/>
              </w:rPr>
              <w:t>（招标文件中的其它内容与本条款不一致的，以本条款内容为准）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trPr>
        <w:tc>
          <w:tcPr>
            <w:tcW w:w="1100" w:type="dxa"/>
            <w:gridSpan w:val="2"/>
            <w:vAlign w:val="center"/>
          </w:tcPr>
          <w:p>
            <w:r>
              <w:t>10.9.1</w:t>
            </w:r>
          </w:p>
        </w:tc>
        <w:tc>
          <w:tcPr>
            <w:tcW w:w="8963" w:type="dxa"/>
            <w:gridSpan w:val="5"/>
            <w:vAlign w:val="center"/>
          </w:tcPr>
          <w:p>
            <w:pPr>
              <w:ind w:firstLine="211" w:firstLineChars="100"/>
              <w:rPr>
                <w:b/>
                <w:sz w:val="24"/>
              </w:rPr>
            </w:pPr>
            <w:r>
              <w:rPr>
                <w:rFonts w:hint="eastAsia" w:ascii="宋体" w:hAnsi="宋体"/>
                <w:b/>
                <w:szCs w:val="21"/>
              </w:rPr>
              <w:t>投标人的投标文件列入评标范围的确定方式：</w:t>
            </w:r>
            <w:r>
              <w:rPr>
                <w:rFonts w:hint="eastAsia"/>
                <w:b/>
                <w:szCs w:val="21"/>
              </w:rPr>
              <w:t>所有投标人的标书均列入评审范围。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trPr>
        <w:tc>
          <w:tcPr>
            <w:tcW w:w="1100" w:type="dxa"/>
            <w:gridSpan w:val="2"/>
            <w:vAlign w:val="center"/>
          </w:tcPr>
          <w:p>
            <w:r>
              <w:t>10.9</w:t>
            </w:r>
            <w:r>
              <w:rPr>
                <w:rFonts w:hint="eastAsia"/>
              </w:rPr>
              <w:t>.2</w:t>
            </w:r>
          </w:p>
        </w:tc>
        <w:tc>
          <w:tcPr>
            <w:tcW w:w="8963" w:type="dxa"/>
            <w:gridSpan w:val="5"/>
            <w:vAlign w:val="center"/>
          </w:tcPr>
          <w:p>
            <w:pPr>
              <w:spacing w:line="360" w:lineRule="exact"/>
              <w:ind w:firstLine="315" w:firstLineChars="150"/>
            </w:pPr>
            <w:r>
              <w:rPr>
                <w:rFonts w:hint="eastAsia"/>
              </w:rPr>
              <w:t>评标办法前附表</w:t>
            </w:r>
            <w:r>
              <w:t>2.2.1</w:t>
            </w:r>
            <w:r>
              <w:rPr>
                <w:rFonts w:hint="eastAsia"/>
              </w:rPr>
              <w:t>项施工组织设计明确“</w:t>
            </w:r>
            <w:r>
              <w:rPr>
                <w:rFonts w:hint="eastAsia" w:ascii="黑体" w:hAnsi="黑体" w:eastAsia="黑体"/>
              </w:rPr>
              <w:t>不评审</w:t>
            </w:r>
            <w:r>
              <w:rPr>
                <w:rFonts w:hint="eastAsia"/>
              </w:rPr>
              <w:t>”的，投标人投标时不需要提交施工组织设计。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trPr>
        <w:tc>
          <w:tcPr>
            <w:tcW w:w="1100" w:type="dxa"/>
            <w:gridSpan w:val="2"/>
            <w:vAlign w:val="center"/>
          </w:tcPr>
          <w:p>
            <w:r>
              <w:t>10.9.</w:t>
            </w:r>
            <w:r>
              <w:rPr>
                <w:rFonts w:hint="eastAsia"/>
              </w:rPr>
              <w:t>3</w:t>
            </w:r>
          </w:p>
        </w:tc>
        <w:tc>
          <w:tcPr>
            <w:tcW w:w="8963" w:type="dxa"/>
            <w:gridSpan w:val="5"/>
            <w:vAlign w:val="center"/>
          </w:tcPr>
          <w:p>
            <w:pPr>
              <w:ind w:firstLine="420" w:firstLineChars="200"/>
            </w:pPr>
            <w:r>
              <w:rPr>
                <w:rFonts w:hint="eastAsia"/>
              </w:rPr>
              <w:t>除法律法规规定的情形及其他特殊情况外，中标人应当自中标通知书发出之日起三十日内，按照招标文件和中标人的投标文件与招标人订立书面合同，否则，招标人可取消中标人的中标资格。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5" w:hRule="atLeast"/>
        </w:trPr>
        <w:tc>
          <w:tcPr>
            <w:tcW w:w="1100" w:type="dxa"/>
            <w:gridSpan w:val="2"/>
            <w:vAlign w:val="center"/>
          </w:tcPr>
          <w:p>
            <w:r>
              <w:rPr>
                <w:rFonts w:hint="eastAsia"/>
              </w:rPr>
              <w:t>10.9.4</w:t>
            </w:r>
          </w:p>
        </w:tc>
        <w:tc>
          <w:tcPr>
            <w:tcW w:w="8963" w:type="dxa"/>
            <w:gridSpan w:val="5"/>
            <w:vAlign w:val="center"/>
          </w:tcPr>
          <w:p>
            <w:r>
              <w:t>1.</w:t>
            </w:r>
            <w:r>
              <w:rPr>
                <w:rFonts w:hint="eastAsia"/>
              </w:rPr>
              <w:t>当</w:t>
            </w:r>
            <w:r>
              <w:t>投标人的</w:t>
            </w:r>
            <w:r>
              <w:rPr>
                <w:rFonts w:hint="eastAsia"/>
              </w:rPr>
              <w:t>投标</w:t>
            </w:r>
            <w:r>
              <w:t>报价低于投标成本预警价时，投标人必须提供</w:t>
            </w:r>
            <w:r>
              <w:rPr>
                <w:rFonts w:hint="eastAsia"/>
              </w:rPr>
              <w:t>：</w:t>
            </w:r>
          </w:p>
          <w:p>
            <w:pPr>
              <w:rPr>
                <w:b/>
              </w:rPr>
            </w:pPr>
            <w:r>
              <w:rPr>
                <w:rFonts w:hint="eastAsia" w:ascii="MS Mincho" w:hAnsi="MS Mincho" w:eastAsia="MS Mincho" w:cs="MS Mincho"/>
                <w:b/>
                <w:szCs w:val="21"/>
              </w:rPr>
              <w:t>☑</w:t>
            </w:r>
            <w:r>
              <w:rPr>
                <w:rFonts w:hint="eastAsia" w:ascii="宋体" w:hAnsi="宋体" w:cs="宋体"/>
                <w:b/>
                <w:kern w:val="0"/>
                <w:szCs w:val="21"/>
              </w:rPr>
              <w:t>低价差额担保</w:t>
            </w:r>
          </w:p>
          <w:p>
            <w:r>
              <w:t>1.1</w:t>
            </w:r>
            <w:r>
              <w:rPr>
                <w:rFonts w:hint="eastAsia"/>
              </w:rPr>
              <w:t>采用差额担保的，</w:t>
            </w:r>
            <w:r>
              <w:rPr>
                <w:rFonts w:hint="eastAsia"/>
                <w:u w:val="single"/>
              </w:rPr>
              <w:t>担保的差额</w:t>
            </w:r>
            <w:r>
              <w:rPr>
                <w:rFonts w:hint="eastAsia"/>
              </w:rPr>
              <w:t>为等于或者大于</w:t>
            </w:r>
            <w:r>
              <w:rPr>
                <w:rFonts w:hint="eastAsia"/>
                <w:u w:val="single"/>
              </w:rPr>
              <w:t>投标成本预警价</w:t>
            </w:r>
            <w:r>
              <w:rPr>
                <w:rFonts w:hint="eastAsia"/>
              </w:rPr>
              <w:t>减去</w:t>
            </w:r>
            <w:r>
              <w:rPr>
                <w:rFonts w:hint="eastAsia"/>
                <w:u w:val="single"/>
              </w:rPr>
              <w:t>投标报价</w:t>
            </w:r>
            <w:r>
              <w:rPr>
                <w:rFonts w:hint="eastAsia"/>
              </w:rPr>
              <w:t>的整数</w:t>
            </w:r>
            <w:r>
              <w:rPr>
                <w:rFonts w:hint="eastAsia"/>
                <w:b/>
                <w:bCs/>
              </w:rPr>
              <w:t>（以万元为单位）</w:t>
            </w:r>
            <w:r>
              <w:rPr>
                <w:rFonts w:hint="eastAsia"/>
              </w:rPr>
              <w:t>。</w:t>
            </w:r>
          </w:p>
          <w:p>
            <w:pPr>
              <w:ind w:firstLine="315" w:firstLineChars="150"/>
            </w:pPr>
            <w:r>
              <w:rPr>
                <w:rFonts w:hint="eastAsia"/>
              </w:rPr>
              <w:t>(担保的差额≥投标成本预警价-投标报价)，且担保的差额须为以</w:t>
            </w:r>
            <w:r>
              <w:rPr>
                <w:rFonts w:hint="eastAsia"/>
                <w:b/>
                <w:bCs/>
              </w:rPr>
              <w:t>万元</w:t>
            </w:r>
            <w:r>
              <w:rPr>
                <w:rFonts w:hint="eastAsia"/>
              </w:rPr>
              <w:t>为单位的整数。</w:t>
            </w:r>
          </w:p>
          <w:p>
            <w:r>
              <w:t>1</w:t>
            </w:r>
            <w:r>
              <w:rPr>
                <w:rFonts w:hint="eastAsia"/>
              </w:rPr>
              <w:t>.</w:t>
            </w:r>
            <w:r>
              <w:t>2</w:t>
            </w:r>
            <w:r>
              <w:rPr>
                <w:rFonts w:hint="eastAsia"/>
                <w:b/>
                <w:bCs/>
              </w:rPr>
              <w:t>差额担保采用银行保函或银行汇票方式</w:t>
            </w:r>
            <w:r>
              <w:rPr>
                <w:rFonts w:hint="eastAsia"/>
              </w:rPr>
              <w:t>。</w:t>
            </w:r>
            <w:r>
              <w:rPr>
                <w:rFonts w:hint="eastAsia"/>
                <w:b/>
                <w:bCs/>
              </w:rPr>
              <w:t>采用银行保函方式的</w:t>
            </w:r>
            <w:r>
              <w:rPr>
                <w:rFonts w:hint="eastAsia"/>
              </w:rPr>
              <w:t>，必须为投标人帐户开户行出具的</w:t>
            </w:r>
            <w:r>
              <w:rPr>
                <w:rFonts w:hint="eastAsia"/>
                <w:b/>
                <w:bCs/>
              </w:rPr>
              <w:t>无条件银行保函</w:t>
            </w:r>
            <w:r>
              <w:rPr>
                <w:rFonts w:hint="eastAsia"/>
              </w:rPr>
              <w:t>，</w:t>
            </w:r>
            <w:r>
              <w:rPr>
                <w:rFonts w:hint="eastAsia"/>
                <w:b/>
                <w:bCs/>
              </w:rPr>
              <w:t>保函有效期不得短于工程总工期；采用银行汇票方式的</w:t>
            </w:r>
            <w:r>
              <w:rPr>
                <w:b/>
                <w:bCs/>
              </w:rPr>
              <w:t>，</w:t>
            </w:r>
            <w:r>
              <w:t>必须</w:t>
            </w:r>
            <w:r>
              <w:rPr>
                <w:rFonts w:hint="eastAsia"/>
              </w:rPr>
              <w:t>由</w:t>
            </w:r>
            <w:r>
              <w:t>投标人账户汇出</w:t>
            </w:r>
            <w:r>
              <w:rPr>
                <w:rFonts w:hint="eastAsia"/>
              </w:rPr>
              <w:t>。</w:t>
            </w:r>
          </w:p>
          <w:p>
            <w:pPr>
              <w:rPr>
                <w:b/>
                <w:bCs/>
              </w:rPr>
            </w:pPr>
            <w:r>
              <w:rPr>
                <w:rFonts w:hint="eastAsia"/>
              </w:rPr>
              <w:t>1.3</w:t>
            </w:r>
            <w:r>
              <w:rPr>
                <w:rFonts w:hint="eastAsia"/>
                <w:b/>
                <w:bCs/>
              </w:rPr>
              <w:t>投标人差额担保（如有）的银行保函或银行汇票在制作投标文件时将复印件装订在投标文件其他材料中，原件单独密封递交。</w:t>
            </w:r>
          </w:p>
          <w:p>
            <w:pPr>
              <w:widowControl/>
              <w:jc w:val="left"/>
              <w:rPr>
                <w:rFonts w:ascii="宋体" w:hAnsi="宋体" w:cs="宋体"/>
                <w:kern w:val="0"/>
                <w:szCs w:val="21"/>
              </w:rPr>
            </w:pPr>
            <w:r>
              <w:rPr>
                <w:rFonts w:ascii="宋体" w:hAnsi="宋体" w:cs="宋体"/>
                <w:kern w:val="0"/>
                <w:szCs w:val="21"/>
              </w:rPr>
              <w:t>1.4、所有投标单位的差额担保（如有）的银行保函或银行汇票的</w:t>
            </w:r>
            <w:r>
              <w:rPr>
                <w:rFonts w:hint="eastAsia" w:ascii="宋体" w:hAnsi="宋体" w:cs="宋体"/>
                <w:kern w:val="0"/>
                <w:szCs w:val="21"/>
              </w:rPr>
              <w:t>复印</w:t>
            </w:r>
            <w:r>
              <w:rPr>
                <w:rFonts w:ascii="宋体" w:hAnsi="宋体" w:cs="宋体"/>
                <w:kern w:val="0"/>
                <w:szCs w:val="21"/>
              </w:rPr>
              <w:t>件必须与原件一致，如投标人提供的原件与投标文件</w:t>
            </w:r>
            <w:r>
              <w:rPr>
                <w:rFonts w:hint="eastAsia" w:ascii="宋体" w:hAnsi="宋体" w:cs="宋体"/>
                <w:kern w:val="0"/>
                <w:szCs w:val="21"/>
              </w:rPr>
              <w:t>中的复印件</w:t>
            </w:r>
            <w:r>
              <w:rPr>
                <w:rFonts w:ascii="宋体" w:hAnsi="宋体" w:cs="宋体"/>
                <w:kern w:val="0"/>
                <w:szCs w:val="21"/>
              </w:rPr>
              <w:t>不符，</w:t>
            </w:r>
            <w:r>
              <w:rPr>
                <w:rFonts w:hint="eastAsia" w:ascii="宋体" w:hAnsi="宋体" w:cs="宋体"/>
                <w:kern w:val="0"/>
                <w:szCs w:val="21"/>
              </w:rPr>
              <w:t>其</w:t>
            </w:r>
            <w:r>
              <w:rPr>
                <w:rFonts w:ascii="宋体" w:hAnsi="宋体" w:cs="宋体"/>
                <w:kern w:val="0"/>
                <w:szCs w:val="21"/>
              </w:rPr>
              <w:t>投标文件将作为无效投标文件处理。</w:t>
            </w:r>
          </w:p>
          <w:p>
            <w:pPr>
              <w:widowControl/>
              <w:jc w:val="left"/>
              <w:rPr>
                <w:rFonts w:ascii="宋体" w:hAnsi="宋体"/>
                <w:b/>
                <w:bCs/>
                <w:szCs w:val="21"/>
                <w:u w:val="single"/>
              </w:rPr>
            </w:pPr>
            <w:r>
              <w:t>1</w:t>
            </w:r>
            <w:r>
              <w:rPr>
                <w:rFonts w:hint="eastAsia"/>
              </w:rPr>
              <w:t>.5</w:t>
            </w:r>
            <w:r>
              <w:rPr>
                <w:rFonts w:hint="eastAsia"/>
                <w:b/>
                <w:bCs/>
              </w:rPr>
              <w:t>收款人：</w:t>
            </w:r>
            <w:r>
              <w:rPr>
                <w:rFonts w:hint="eastAsia" w:ascii="宋体" w:hAnsi="宋体" w:cs="Arial"/>
                <w:b/>
                <w:bCs/>
                <w:szCs w:val="21"/>
                <w:lang w:eastAsia="zh-CN"/>
              </w:rPr>
              <w:t>泰州职业技术学院</w:t>
            </w:r>
            <w:r>
              <w:rPr>
                <w:rFonts w:hint="eastAsia"/>
                <w:b/>
                <w:bCs/>
              </w:rPr>
              <w:t>；</w:t>
            </w:r>
          </w:p>
          <w:p>
            <w:pPr>
              <w:rPr>
                <w:b/>
                <w:bCs/>
              </w:rPr>
            </w:pPr>
            <w:r>
              <w:rPr>
                <w:rFonts w:hint="eastAsia"/>
              </w:rPr>
              <w:t>联合体投标的，其差额担保（如有）由牵头人递交。</w:t>
            </w:r>
          </w:p>
          <w:p>
            <w:r>
              <w:t>1</w:t>
            </w:r>
            <w:r>
              <w:rPr>
                <w:rFonts w:hint="eastAsia"/>
              </w:rPr>
              <w:t>.6中标</w:t>
            </w:r>
            <w:r>
              <w:t>人的</w:t>
            </w:r>
            <w:r>
              <w:rPr>
                <w:rFonts w:hint="eastAsia"/>
              </w:rPr>
              <w:t>低价差额担保由招标人在工程竣工验收合格后退还。</w:t>
            </w:r>
          </w:p>
          <w:p>
            <w:pPr>
              <w:spacing w:line="276" w:lineRule="auto"/>
            </w:pPr>
            <w:r>
              <w:rPr>
                <w:rFonts w:hint="eastAsia"/>
              </w:rPr>
              <w:t>1</w:t>
            </w:r>
            <w:r>
              <w:t>.</w:t>
            </w:r>
            <w:r>
              <w:rPr>
                <w:rFonts w:hint="eastAsia"/>
              </w:rPr>
              <w:t>7</w:t>
            </w:r>
            <w:r>
              <w:rPr>
                <w:rFonts w:hint="eastAsia"/>
                <w:b/>
                <w:bCs/>
              </w:rPr>
              <w:t>投标人不按上述要求提交低价差额担保的，其投标文件作无效投标文件处理。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0" w:hRule="atLeast"/>
        </w:trPr>
        <w:tc>
          <w:tcPr>
            <w:tcW w:w="1100" w:type="dxa"/>
            <w:gridSpan w:val="2"/>
            <w:vAlign w:val="center"/>
          </w:tcPr>
          <w:p>
            <w:r>
              <w:rPr>
                <w:rFonts w:hint="eastAsia"/>
              </w:rPr>
              <w:t>10.9.5</w:t>
            </w:r>
          </w:p>
        </w:tc>
        <w:tc>
          <w:tcPr>
            <w:tcW w:w="8963" w:type="dxa"/>
            <w:gridSpan w:val="5"/>
            <w:vAlign w:val="center"/>
          </w:tcPr>
          <w:p>
            <w:pPr>
              <w:spacing w:line="276" w:lineRule="auto"/>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评标当日，投标人投标所用资质核查结果为不达标的，视为投标人资质条件不符合国家有关规定，或不满足招标文件规定的资格条件。</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中标公示期间，中标候选人投标所用资质核查结果为不达标的，视为其资质条件不符合国家有关规定。</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动态监管不合格资质查询网址：</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http://221.226.118.170:8080/app/jscesis/qualCheck/queryQualCheckPublic.ftl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trPr>
        <w:tc>
          <w:tcPr>
            <w:tcW w:w="1100" w:type="dxa"/>
            <w:gridSpan w:val="2"/>
            <w:vAlign w:val="center"/>
          </w:tcPr>
          <w:p>
            <w:pPr>
              <w:rPr>
                <w:color w:val="FF0000"/>
              </w:rPr>
            </w:pPr>
            <w:r>
              <w:rPr>
                <w:rFonts w:hint="eastAsia"/>
                <w:color w:val="FF0000"/>
              </w:rPr>
              <w:t>10.9.6</w:t>
            </w:r>
          </w:p>
        </w:tc>
        <w:tc>
          <w:tcPr>
            <w:tcW w:w="8963" w:type="dxa"/>
            <w:gridSpan w:val="5"/>
            <w:vAlign w:val="center"/>
          </w:tcPr>
          <w:p>
            <w:pPr>
              <w:widowControl/>
              <w:adjustRightInd w:val="0"/>
              <w:snapToGrid w:val="0"/>
              <w:jc w:val="left"/>
              <w:textAlignment w:val="center"/>
              <w:rPr>
                <w:rFonts w:ascii="宋体" w:hAnsi="宋体" w:cs="宋体"/>
                <w:color w:val="FF0000"/>
                <w:kern w:val="0"/>
                <w:sz w:val="21"/>
                <w:szCs w:val="21"/>
              </w:rPr>
            </w:pPr>
            <w:r>
              <w:rPr>
                <w:rFonts w:hint="eastAsia" w:ascii="宋体" w:hAnsi="宋体" w:cs="宋体"/>
                <w:color w:val="FF0000"/>
                <w:kern w:val="0"/>
                <w:sz w:val="21"/>
                <w:szCs w:val="21"/>
              </w:rPr>
              <w:t xml:space="preserve">项目结算审计，按下列规定支付审计费用： </w:t>
            </w:r>
          </w:p>
          <w:p>
            <w:pPr>
              <w:widowControl/>
              <w:adjustRightInd w:val="0"/>
              <w:snapToGrid w:val="0"/>
              <w:jc w:val="left"/>
              <w:textAlignment w:val="center"/>
              <w:rPr>
                <w:rFonts w:ascii="宋体" w:hAnsi="宋体" w:cs="宋体"/>
                <w:color w:val="FF0000"/>
                <w:kern w:val="0"/>
                <w:sz w:val="21"/>
                <w:szCs w:val="21"/>
              </w:rPr>
            </w:pPr>
            <w:r>
              <w:rPr>
                <w:rFonts w:ascii="宋体" w:hAnsi="宋体" w:cs="宋体"/>
                <w:color w:val="FF0000"/>
                <w:kern w:val="0"/>
                <w:sz w:val="21"/>
                <w:szCs w:val="21"/>
              </w:rPr>
              <w:t xml:space="preserve">（一）单项工程核减率超过 10%的，其审计费用全部由施工单位承担，并由建设单位从施工单位工程款中扣除（下同）； </w:t>
            </w:r>
          </w:p>
          <w:p>
            <w:pPr>
              <w:widowControl/>
              <w:adjustRightInd w:val="0"/>
              <w:snapToGrid w:val="0"/>
              <w:jc w:val="left"/>
              <w:textAlignment w:val="center"/>
              <w:rPr>
                <w:rFonts w:ascii="宋体" w:hAnsi="宋体" w:cs="宋体"/>
                <w:color w:val="FF0000"/>
                <w:kern w:val="0"/>
                <w:sz w:val="21"/>
                <w:szCs w:val="21"/>
              </w:rPr>
            </w:pPr>
            <w:r>
              <w:rPr>
                <w:rFonts w:ascii="宋体" w:hAnsi="宋体" w:cs="宋体"/>
                <w:color w:val="FF0000"/>
                <w:kern w:val="0"/>
                <w:sz w:val="21"/>
                <w:szCs w:val="21"/>
              </w:rPr>
              <w:t xml:space="preserve">（二）单项工程核减率在 8%—10%（含 10%）之间的，其审计费用由建设单位承担 20%，施工单位承担 80%； </w:t>
            </w:r>
          </w:p>
          <w:p>
            <w:pPr>
              <w:widowControl/>
              <w:adjustRightInd w:val="0"/>
              <w:snapToGrid w:val="0"/>
              <w:jc w:val="left"/>
              <w:textAlignment w:val="center"/>
              <w:rPr>
                <w:rFonts w:ascii="宋体" w:hAnsi="宋体" w:cs="宋体"/>
                <w:color w:val="FF0000"/>
                <w:kern w:val="0"/>
                <w:sz w:val="21"/>
                <w:szCs w:val="21"/>
              </w:rPr>
            </w:pPr>
            <w:r>
              <w:rPr>
                <w:rFonts w:ascii="宋体" w:hAnsi="宋体" w:cs="宋体"/>
                <w:color w:val="FF0000"/>
                <w:kern w:val="0"/>
                <w:sz w:val="21"/>
                <w:szCs w:val="21"/>
              </w:rPr>
              <w:t xml:space="preserve">（三）单项工程核减率在 5%—8%（含 8%）之间的，其审计费用由施工单位承担 20%，建设单位承担 80%； </w:t>
            </w:r>
          </w:p>
          <w:p>
            <w:pPr>
              <w:widowControl/>
              <w:adjustRightInd w:val="0"/>
              <w:snapToGrid w:val="0"/>
              <w:jc w:val="left"/>
              <w:textAlignment w:val="center"/>
              <w:rPr>
                <w:rFonts w:ascii="宋体" w:hAnsi="宋体" w:cs="宋体"/>
                <w:color w:val="FF0000"/>
                <w:kern w:val="0"/>
                <w:sz w:val="21"/>
                <w:szCs w:val="21"/>
              </w:rPr>
            </w:pPr>
            <w:r>
              <w:rPr>
                <w:rFonts w:ascii="宋体" w:hAnsi="宋体" w:cs="宋体"/>
                <w:color w:val="FF0000"/>
                <w:kern w:val="0"/>
                <w:sz w:val="21"/>
                <w:szCs w:val="21"/>
              </w:rPr>
              <w:t>（四）单项工程核减率在 5%及其以下的，其审计费用由建设单</w:t>
            </w:r>
            <w:r>
              <w:rPr>
                <w:rFonts w:hint="eastAsia" w:ascii="宋体" w:hAnsi="宋体" w:cs="宋体"/>
                <w:color w:val="FF0000"/>
                <w:kern w:val="0"/>
                <w:sz w:val="21"/>
                <w:szCs w:val="21"/>
              </w:rPr>
              <w:t>位</w:t>
            </w:r>
            <w:r>
              <w:rPr>
                <w:rFonts w:ascii="宋体" w:hAnsi="宋体" w:cs="宋体"/>
                <w:color w:val="FF0000"/>
                <w:kern w:val="0"/>
                <w:sz w:val="21"/>
                <w:szCs w:val="21"/>
              </w:rPr>
              <w:t>承担。</w:t>
            </w:r>
          </w:p>
          <w:p>
            <w:pPr>
              <w:spacing w:line="276" w:lineRule="auto"/>
              <w:rPr>
                <w:color w:val="FF0000"/>
              </w:rPr>
            </w:pPr>
            <w:r>
              <w:rPr>
                <w:rFonts w:ascii="宋体" w:hAnsi="宋体" w:cs="宋体"/>
                <w:color w:val="FF0000"/>
                <w:kern w:val="0"/>
                <w:sz w:val="21"/>
                <w:szCs w:val="21"/>
              </w:rPr>
              <w:t>核减率按审计最终核定额与施工单位申报的决算额之间的差额计算。审计费用计算以及支付条款应列入</w:t>
            </w:r>
            <w:r>
              <w:rPr>
                <w:rFonts w:hint="eastAsia" w:ascii="宋体" w:hAnsi="宋体" w:cs="宋体"/>
                <w:color w:val="FF0000"/>
                <w:kern w:val="0"/>
                <w:sz w:val="21"/>
                <w:szCs w:val="21"/>
                <w:lang w:val="en-US" w:eastAsia="zh-CN"/>
              </w:rPr>
              <w:t>招标</w:t>
            </w:r>
            <w:r>
              <w:rPr>
                <w:rFonts w:ascii="宋体" w:hAnsi="宋体" w:cs="宋体"/>
                <w:color w:val="FF0000"/>
                <w:kern w:val="0"/>
                <w:sz w:val="21"/>
                <w:szCs w:val="21"/>
              </w:rPr>
              <w:t>人与施工单位签定的有关合同中。</w:t>
            </w:r>
          </w:p>
        </w:tc>
      </w:tr>
    </w:tbl>
    <w:p>
      <w:pPr>
        <w:pStyle w:val="5"/>
      </w:pPr>
      <w:bookmarkStart w:id="81" w:name="_Toc275956102"/>
      <w:bookmarkStart w:id="82" w:name="_Toc266951041"/>
    </w:p>
    <w:p>
      <w:r>
        <w:br w:type="page"/>
      </w:r>
    </w:p>
    <w:p>
      <w:pPr>
        <w:pStyle w:val="5"/>
        <w:pageBreakBefore w:val="0"/>
        <w:widowControl w:val="0"/>
        <w:kinsoku/>
        <w:wordWrap/>
        <w:overflowPunct/>
        <w:topLinePunct w:val="0"/>
        <w:bidi w:val="0"/>
        <w:snapToGrid/>
        <w:spacing w:line="360" w:lineRule="auto"/>
        <w:textAlignment w:val="auto"/>
      </w:pPr>
      <w:r>
        <w:t>1.</w:t>
      </w:r>
      <w:r>
        <w:rPr>
          <w:rFonts w:hint="eastAsia"/>
        </w:rPr>
        <w:t>总则</w:t>
      </w:r>
      <w:bookmarkEnd w:id="81"/>
      <w:bookmarkEnd w:id="82"/>
    </w:p>
    <w:p>
      <w:pPr>
        <w:pStyle w:val="6"/>
        <w:pageBreakBefore w:val="0"/>
        <w:widowControl w:val="0"/>
        <w:kinsoku/>
        <w:wordWrap/>
        <w:overflowPunct/>
        <w:topLinePunct w:val="0"/>
        <w:bidi w:val="0"/>
        <w:snapToGrid/>
        <w:spacing w:line="360" w:lineRule="auto"/>
        <w:textAlignment w:val="auto"/>
      </w:pPr>
      <w:bookmarkStart w:id="83" w:name="_1.1_项目概况"/>
      <w:bookmarkEnd w:id="83"/>
      <w:bookmarkStart w:id="84" w:name="_Toc266951042"/>
      <w:r>
        <w:t xml:space="preserve">1.1 </w:t>
      </w:r>
      <w:r>
        <w:rPr>
          <w:rFonts w:hint="eastAsia"/>
        </w:rPr>
        <w:t>项目概况</w:t>
      </w:r>
      <w:bookmarkEnd w:id="84"/>
      <w:r>
        <w:rPr>
          <w:rFonts w:hint="eastAsia"/>
        </w:rPr>
        <w:t>及要求</w:t>
      </w:r>
    </w:p>
    <w:p>
      <w:pPr>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cs="仿宋_GB2312"/>
          <w:kern w:val="0"/>
          <w:szCs w:val="21"/>
        </w:rPr>
      </w:pPr>
      <w:r>
        <w:rPr>
          <w:rFonts w:ascii="宋体" w:hAnsi="宋体" w:cs="TimesNewRomanPSMT"/>
          <w:kern w:val="0"/>
          <w:szCs w:val="21"/>
        </w:rPr>
        <w:t xml:space="preserve">1.1.1 </w:t>
      </w:r>
      <w:r>
        <w:rPr>
          <w:rFonts w:hint="eastAsia" w:ascii="宋体" w:hAnsi="宋体" w:cs="仿宋_GB2312"/>
          <w:kern w:val="0"/>
          <w:szCs w:val="21"/>
        </w:rPr>
        <w:t>根据《中华人民共和国招标投标法》等有关法律、法规和规章的规定要求，本招标项目已具备招标条件，现对本标段施工进行招标。</w:t>
      </w:r>
    </w:p>
    <w:p>
      <w:pPr>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cs="仿宋_GB2312"/>
          <w:kern w:val="0"/>
          <w:szCs w:val="21"/>
        </w:rPr>
      </w:pPr>
      <w:r>
        <w:rPr>
          <w:rFonts w:ascii="宋体" w:hAnsi="宋体" w:cs="仿宋_GB2312"/>
          <w:kern w:val="0"/>
          <w:szCs w:val="21"/>
        </w:rPr>
        <w:t>1.1.2</w:t>
      </w:r>
      <w:r>
        <w:rPr>
          <w:rFonts w:hint="eastAsia" w:ascii="宋体" w:hAnsi="宋体" w:cs="仿宋_GB2312"/>
          <w:kern w:val="0"/>
          <w:szCs w:val="21"/>
        </w:rPr>
        <w:t>本招标项目招标人：见</w:t>
      </w:r>
      <w:r>
        <w:fldChar w:fldCharType="begin"/>
      </w:r>
      <w:r>
        <w:instrText xml:space="preserve"> HYPERLINK "file:///H:\\泰州招标文件范本\\泰州市房屋建筑和市政工程施工2016.4.docx" \l "_1.1" </w:instrText>
      </w:r>
      <w:r>
        <w:fldChar w:fldCharType="separate"/>
      </w:r>
      <w:r>
        <w:rPr>
          <w:rStyle w:val="18"/>
          <w:rFonts w:hint="eastAsia" w:ascii="宋体" w:hAnsi="宋体" w:cs="仿宋_GB2312"/>
          <w:color w:val="auto"/>
          <w:szCs w:val="21"/>
        </w:rPr>
        <w:t>投标人须知前附表</w:t>
      </w:r>
      <w:r>
        <w:rPr>
          <w:rStyle w:val="18"/>
          <w:rFonts w:hint="eastAsia" w:ascii="宋体" w:hAnsi="宋体" w:cs="仿宋_GB2312"/>
          <w:color w:val="auto"/>
          <w:szCs w:val="21"/>
        </w:rPr>
        <w:fldChar w:fldCharType="end"/>
      </w:r>
      <w:r>
        <w:rPr>
          <w:rFonts w:hint="eastAsia" w:ascii="宋体" w:hAnsi="宋体" w:cs="仿宋_GB2312"/>
          <w:kern w:val="0"/>
          <w:szCs w:val="21"/>
        </w:rPr>
        <w:t>。</w:t>
      </w:r>
    </w:p>
    <w:p>
      <w:pPr>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cs="仿宋_GB2312"/>
          <w:kern w:val="0"/>
          <w:szCs w:val="21"/>
        </w:rPr>
      </w:pPr>
      <w:r>
        <w:rPr>
          <w:rFonts w:ascii="宋体" w:hAnsi="宋体" w:cs="仿宋_GB2312"/>
          <w:kern w:val="0"/>
          <w:szCs w:val="21"/>
        </w:rPr>
        <w:t>1.1.3</w:t>
      </w:r>
      <w:r>
        <w:rPr>
          <w:rFonts w:hint="eastAsia" w:ascii="宋体" w:hAnsi="宋体" w:cs="仿宋_GB2312"/>
          <w:kern w:val="0"/>
          <w:szCs w:val="21"/>
        </w:rPr>
        <w:t>本标段招标代理机构：见</w:t>
      </w:r>
      <w:r>
        <w:fldChar w:fldCharType="begin"/>
      </w:r>
      <w:r>
        <w:instrText xml:space="preserve"> HYPERLINK "file:///H:\\泰州招标文件范本\\泰州市房屋建筑和市政工程施工2016.4.docx" \l "_1.1" </w:instrText>
      </w:r>
      <w:r>
        <w:fldChar w:fldCharType="separate"/>
      </w:r>
      <w:r>
        <w:rPr>
          <w:rStyle w:val="18"/>
          <w:rFonts w:hint="eastAsia" w:ascii="宋体" w:hAnsi="宋体" w:cs="仿宋_GB2312"/>
          <w:color w:val="auto"/>
          <w:szCs w:val="21"/>
        </w:rPr>
        <w:t>投标人须知前附表</w:t>
      </w:r>
      <w:r>
        <w:rPr>
          <w:rStyle w:val="18"/>
          <w:rFonts w:hint="eastAsia" w:ascii="宋体" w:hAnsi="宋体" w:cs="仿宋_GB2312"/>
          <w:color w:val="auto"/>
          <w:szCs w:val="21"/>
        </w:rPr>
        <w:fldChar w:fldCharType="end"/>
      </w:r>
      <w:r>
        <w:rPr>
          <w:rFonts w:hint="eastAsia" w:ascii="宋体" w:hAnsi="宋体" w:cs="仿宋_GB2312"/>
          <w:kern w:val="0"/>
          <w:szCs w:val="21"/>
        </w:rPr>
        <w:t>。</w:t>
      </w:r>
    </w:p>
    <w:p>
      <w:pPr>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cs="仿宋_GB2312"/>
          <w:kern w:val="0"/>
          <w:szCs w:val="21"/>
        </w:rPr>
      </w:pPr>
      <w:r>
        <w:rPr>
          <w:rFonts w:ascii="宋体" w:hAnsi="宋体" w:cs="仿宋_GB2312"/>
          <w:kern w:val="0"/>
          <w:szCs w:val="21"/>
        </w:rPr>
        <w:t>1.1.4</w:t>
      </w:r>
      <w:r>
        <w:rPr>
          <w:rFonts w:hint="eastAsia" w:ascii="宋体" w:hAnsi="宋体" w:cs="仿宋_GB2312"/>
          <w:kern w:val="0"/>
          <w:szCs w:val="21"/>
        </w:rPr>
        <w:t>本招标项目名称：见</w:t>
      </w:r>
      <w:r>
        <w:fldChar w:fldCharType="begin"/>
      </w:r>
      <w:r>
        <w:instrText xml:space="preserve"> HYPERLINK "file:///H:\\泰州招标文件范本\\泰州市房屋建筑和市政工程施工2016.4.docx" \l "_1.1" </w:instrText>
      </w:r>
      <w:r>
        <w:fldChar w:fldCharType="separate"/>
      </w:r>
      <w:r>
        <w:rPr>
          <w:rStyle w:val="18"/>
          <w:rFonts w:hint="eastAsia" w:ascii="宋体" w:hAnsi="宋体" w:cs="仿宋_GB2312"/>
          <w:color w:val="auto"/>
          <w:szCs w:val="21"/>
        </w:rPr>
        <w:t>投标人须知前附表</w:t>
      </w:r>
      <w:r>
        <w:rPr>
          <w:rStyle w:val="18"/>
          <w:rFonts w:hint="eastAsia" w:ascii="宋体" w:hAnsi="宋体" w:cs="仿宋_GB2312"/>
          <w:color w:val="auto"/>
          <w:szCs w:val="21"/>
        </w:rPr>
        <w:fldChar w:fldCharType="end"/>
      </w:r>
      <w:r>
        <w:rPr>
          <w:rFonts w:hint="eastAsia" w:ascii="宋体" w:hAnsi="宋体" w:cs="仿宋_GB2312"/>
          <w:kern w:val="0"/>
          <w:szCs w:val="21"/>
        </w:rPr>
        <w:t>。</w:t>
      </w:r>
    </w:p>
    <w:p>
      <w:pPr>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cs="仿宋_GB2312"/>
          <w:kern w:val="0"/>
          <w:szCs w:val="21"/>
        </w:rPr>
      </w:pPr>
      <w:r>
        <w:rPr>
          <w:rFonts w:ascii="宋体" w:hAnsi="宋体" w:cs="仿宋_GB2312"/>
          <w:kern w:val="0"/>
          <w:szCs w:val="21"/>
        </w:rPr>
        <w:t>1.1.5</w:t>
      </w:r>
      <w:r>
        <w:rPr>
          <w:rFonts w:hint="eastAsia" w:ascii="宋体" w:hAnsi="宋体" w:cs="仿宋_GB2312"/>
          <w:kern w:val="0"/>
          <w:szCs w:val="21"/>
        </w:rPr>
        <w:t>本标段建设地点：见</w:t>
      </w:r>
      <w:r>
        <w:fldChar w:fldCharType="begin"/>
      </w:r>
      <w:r>
        <w:instrText xml:space="preserve"> HYPERLINK "file:///H:\\泰州招标文件范本\\泰州市房屋建筑和市政工程施工2016.4.docx" \l "_1.1" </w:instrText>
      </w:r>
      <w:r>
        <w:fldChar w:fldCharType="separate"/>
      </w:r>
      <w:r>
        <w:rPr>
          <w:rStyle w:val="18"/>
          <w:rFonts w:hint="eastAsia" w:ascii="宋体" w:hAnsi="宋体" w:cs="仿宋_GB2312"/>
          <w:color w:val="auto"/>
          <w:szCs w:val="21"/>
        </w:rPr>
        <w:t>投标人须知前附表</w:t>
      </w:r>
      <w:r>
        <w:rPr>
          <w:rStyle w:val="18"/>
          <w:rFonts w:hint="eastAsia" w:ascii="宋体" w:hAnsi="宋体" w:cs="仿宋_GB2312"/>
          <w:color w:val="auto"/>
          <w:szCs w:val="21"/>
        </w:rPr>
        <w:fldChar w:fldCharType="end"/>
      </w:r>
      <w:r>
        <w:rPr>
          <w:rFonts w:hint="eastAsia" w:ascii="宋体" w:hAnsi="宋体" w:cs="仿宋_GB2312"/>
          <w:kern w:val="0"/>
          <w:szCs w:val="21"/>
        </w:rPr>
        <w:t>。</w:t>
      </w:r>
    </w:p>
    <w:p>
      <w:pPr>
        <w:pStyle w:val="6"/>
        <w:pageBreakBefore w:val="0"/>
        <w:widowControl w:val="0"/>
        <w:kinsoku/>
        <w:wordWrap/>
        <w:overflowPunct/>
        <w:topLinePunct w:val="0"/>
        <w:bidi w:val="0"/>
        <w:snapToGrid/>
        <w:spacing w:line="360" w:lineRule="auto"/>
        <w:textAlignment w:val="auto"/>
      </w:pPr>
      <w:bookmarkStart w:id="85" w:name="_1.2_资金来源和落实情况"/>
      <w:bookmarkEnd w:id="85"/>
      <w:bookmarkStart w:id="86" w:name="_1.2_资金来源和落实情况_详见投标须知表"/>
      <w:bookmarkEnd w:id="86"/>
      <w:bookmarkStart w:id="87" w:name="_Toc266951043"/>
      <w:r>
        <w:t xml:space="preserve">1.2 </w:t>
      </w:r>
      <w:r>
        <w:rPr>
          <w:rFonts w:hint="eastAsia"/>
        </w:rPr>
        <w:t>资金来源和落实情况</w:t>
      </w:r>
    </w:p>
    <w:p>
      <w:pPr>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cs="仿宋_GB2312"/>
          <w:kern w:val="0"/>
          <w:szCs w:val="21"/>
        </w:rPr>
      </w:pPr>
      <w:r>
        <w:rPr>
          <w:rFonts w:ascii="宋体" w:hAnsi="宋体" w:cs="仿宋_GB2312"/>
          <w:kern w:val="0"/>
          <w:szCs w:val="21"/>
        </w:rPr>
        <w:t>1.2.1</w:t>
      </w:r>
      <w:r>
        <w:rPr>
          <w:rFonts w:hint="eastAsia" w:ascii="宋体" w:hAnsi="宋体" w:cs="仿宋_GB2312"/>
          <w:kern w:val="0"/>
          <w:szCs w:val="21"/>
        </w:rPr>
        <w:t>本招标项目的资金来源</w:t>
      </w:r>
      <w:bookmarkEnd w:id="87"/>
      <w:r>
        <w:rPr>
          <w:rFonts w:hint="eastAsia" w:ascii="宋体" w:hAnsi="宋体" w:cs="仿宋_GB2312"/>
          <w:kern w:val="0"/>
          <w:szCs w:val="21"/>
        </w:rPr>
        <w:t>：见</w:t>
      </w:r>
      <w:r>
        <w:fldChar w:fldCharType="begin"/>
      </w:r>
      <w:r>
        <w:instrText xml:space="preserve"> HYPERLINK "file:///H:\\泰州招标文件范本\\泰州市房屋建筑和市政工程施工2016.4.docx" \l "_1.2" </w:instrText>
      </w:r>
      <w:r>
        <w:fldChar w:fldCharType="separate"/>
      </w:r>
      <w:r>
        <w:rPr>
          <w:rStyle w:val="18"/>
          <w:rFonts w:hint="eastAsia" w:ascii="宋体" w:hAnsi="宋体" w:cs="仿宋_GB2312"/>
          <w:color w:val="auto"/>
          <w:szCs w:val="21"/>
        </w:rPr>
        <w:t>投标人须知前附表</w:t>
      </w:r>
      <w:r>
        <w:rPr>
          <w:rStyle w:val="18"/>
          <w:rFonts w:hint="eastAsia" w:ascii="宋体" w:hAnsi="宋体" w:cs="仿宋_GB2312"/>
          <w:color w:val="auto"/>
          <w:szCs w:val="21"/>
        </w:rPr>
        <w:fldChar w:fldCharType="end"/>
      </w:r>
      <w:r>
        <w:rPr>
          <w:rFonts w:hint="eastAsia" w:ascii="宋体" w:hAnsi="宋体" w:cs="仿宋_GB2312"/>
          <w:kern w:val="0"/>
          <w:szCs w:val="21"/>
        </w:rPr>
        <w:t>。</w:t>
      </w:r>
    </w:p>
    <w:p>
      <w:pPr>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cs="仿宋_GB2312"/>
          <w:kern w:val="0"/>
          <w:szCs w:val="21"/>
        </w:rPr>
      </w:pPr>
      <w:r>
        <w:rPr>
          <w:rFonts w:ascii="宋体" w:hAnsi="宋体" w:cs="仿宋_GB2312"/>
          <w:kern w:val="0"/>
          <w:szCs w:val="21"/>
        </w:rPr>
        <w:t>1.2.2</w:t>
      </w:r>
      <w:r>
        <w:rPr>
          <w:rFonts w:hint="eastAsia" w:ascii="宋体" w:hAnsi="宋体" w:cs="仿宋_GB2312"/>
          <w:kern w:val="0"/>
          <w:szCs w:val="21"/>
        </w:rPr>
        <w:t>本招标项目的出资比例：见</w:t>
      </w:r>
      <w:r>
        <w:fldChar w:fldCharType="begin"/>
      </w:r>
      <w:r>
        <w:instrText xml:space="preserve"> HYPERLINK "file:///H:\\泰州招标文件范本\\泰州市房屋建筑和市政工程施工2016.4.docx" \l "_1.2" </w:instrText>
      </w:r>
      <w:r>
        <w:fldChar w:fldCharType="separate"/>
      </w:r>
      <w:r>
        <w:rPr>
          <w:rStyle w:val="18"/>
          <w:rFonts w:hint="eastAsia" w:ascii="宋体" w:hAnsi="宋体" w:cs="仿宋_GB2312"/>
          <w:color w:val="auto"/>
          <w:szCs w:val="21"/>
        </w:rPr>
        <w:t>投标人须知前附表</w:t>
      </w:r>
      <w:r>
        <w:rPr>
          <w:rStyle w:val="18"/>
          <w:rFonts w:hint="eastAsia" w:ascii="宋体" w:hAnsi="宋体" w:cs="仿宋_GB2312"/>
          <w:color w:val="auto"/>
          <w:szCs w:val="21"/>
        </w:rPr>
        <w:fldChar w:fldCharType="end"/>
      </w:r>
      <w:r>
        <w:rPr>
          <w:rFonts w:hint="eastAsia" w:ascii="宋体" w:hAnsi="宋体" w:cs="仿宋_GB2312"/>
          <w:kern w:val="0"/>
          <w:szCs w:val="21"/>
        </w:rPr>
        <w:t>。</w:t>
      </w:r>
    </w:p>
    <w:p>
      <w:pPr>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cs="仿宋_GB2312"/>
          <w:kern w:val="0"/>
          <w:szCs w:val="21"/>
        </w:rPr>
      </w:pPr>
      <w:r>
        <w:rPr>
          <w:rFonts w:ascii="宋体" w:hAnsi="宋体" w:cs="仿宋_GB2312"/>
          <w:kern w:val="0"/>
          <w:szCs w:val="21"/>
        </w:rPr>
        <w:t>1.2.3</w:t>
      </w:r>
      <w:r>
        <w:rPr>
          <w:rFonts w:hint="eastAsia" w:ascii="宋体" w:hAnsi="宋体" w:cs="仿宋_GB2312"/>
          <w:kern w:val="0"/>
          <w:szCs w:val="21"/>
        </w:rPr>
        <w:t>本招标项目的资金落实情况：见</w:t>
      </w:r>
      <w:r>
        <w:fldChar w:fldCharType="begin"/>
      </w:r>
      <w:r>
        <w:instrText xml:space="preserve"> HYPERLINK "file:///H:\\泰州招标文件范本\\泰州市房屋建筑和市政工程施工2016.4.docx" \l "_1.2" </w:instrText>
      </w:r>
      <w:r>
        <w:fldChar w:fldCharType="separate"/>
      </w:r>
      <w:r>
        <w:rPr>
          <w:rStyle w:val="18"/>
          <w:rFonts w:hint="eastAsia" w:ascii="宋体" w:hAnsi="宋体" w:cs="仿宋_GB2312"/>
          <w:color w:val="auto"/>
          <w:szCs w:val="21"/>
        </w:rPr>
        <w:t>投标人须知前附表</w:t>
      </w:r>
      <w:r>
        <w:rPr>
          <w:rStyle w:val="18"/>
          <w:rFonts w:hint="eastAsia" w:ascii="宋体" w:hAnsi="宋体" w:cs="仿宋_GB2312"/>
          <w:color w:val="auto"/>
          <w:szCs w:val="21"/>
        </w:rPr>
        <w:fldChar w:fldCharType="end"/>
      </w:r>
      <w:r>
        <w:rPr>
          <w:rFonts w:hint="eastAsia" w:ascii="宋体" w:hAnsi="宋体" w:cs="仿宋_GB2312"/>
          <w:kern w:val="0"/>
          <w:szCs w:val="21"/>
        </w:rPr>
        <w:t>。</w:t>
      </w:r>
    </w:p>
    <w:p>
      <w:pPr>
        <w:pStyle w:val="6"/>
        <w:pageBreakBefore w:val="0"/>
        <w:widowControl w:val="0"/>
        <w:kinsoku/>
        <w:wordWrap/>
        <w:overflowPunct/>
        <w:topLinePunct w:val="0"/>
        <w:bidi w:val="0"/>
        <w:snapToGrid/>
        <w:spacing w:line="360" w:lineRule="auto"/>
        <w:textAlignment w:val="auto"/>
        <w:rPr>
          <w:rFonts w:cs="TimesNewRomanPSMT"/>
        </w:rPr>
      </w:pPr>
      <w:bookmarkStart w:id="88" w:name="_1.3_招标范围、计划工期和质量要求_详见投标须知表"/>
      <w:bookmarkEnd w:id="88"/>
      <w:bookmarkStart w:id="89" w:name="_1.3_招标范围、计划工期和质量要求"/>
      <w:bookmarkEnd w:id="89"/>
      <w:bookmarkStart w:id="90" w:name="_Toc266951044"/>
      <w:r>
        <w:rPr>
          <w:rFonts w:cs="TimesNewRomanPSMT"/>
        </w:rPr>
        <w:t xml:space="preserve">1.3 </w:t>
      </w:r>
      <w:r>
        <w:rPr>
          <w:rFonts w:hint="eastAsia" w:cs="TimesNewRomanPSMT"/>
        </w:rPr>
        <w:t>招标范围、计划工期和质量要求</w:t>
      </w:r>
      <w:bookmarkEnd w:id="90"/>
    </w:p>
    <w:p>
      <w:pPr>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cs="仿宋_GB2312"/>
          <w:kern w:val="0"/>
          <w:szCs w:val="21"/>
        </w:rPr>
      </w:pPr>
      <w:r>
        <w:rPr>
          <w:rFonts w:ascii="宋体" w:hAnsi="宋体" w:cs="仿宋_GB2312"/>
          <w:kern w:val="0"/>
          <w:szCs w:val="21"/>
        </w:rPr>
        <w:t>1.3.1</w:t>
      </w:r>
      <w:r>
        <w:rPr>
          <w:rFonts w:hint="eastAsia" w:ascii="宋体" w:hAnsi="宋体" w:cs="仿宋_GB2312"/>
          <w:kern w:val="0"/>
          <w:szCs w:val="21"/>
        </w:rPr>
        <w:t>本次招标范围：见</w:t>
      </w:r>
      <w:r>
        <w:fldChar w:fldCharType="begin"/>
      </w:r>
      <w:r>
        <w:instrText xml:space="preserve"> HYPERLINK "file:///H:\\泰州招标文件范本\\泰州市房屋建筑和市政工程施工2016.4.docx" \l "_1.2" </w:instrText>
      </w:r>
      <w:r>
        <w:fldChar w:fldCharType="separate"/>
      </w:r>
      <w:r>
        <w:rPr>
          <w:rStyle w:val="18"/>
          <w:rFonts w:hint="eastAsia" w:ascii="宋体" w:hAnsi="宋体" w:cs="仿宋_GB2312"/>
          <w:color w:val="auto"/>
          <w:szCs w:val="21"/>
        </w:rPr>
        <w:t>投标人须知前附表</w:t>
      </w:r>
      <w:r>
        <w:rPr>
          <w:rStyle w:val="18"/>
          <w:rFonts w:hint="eastAsia" w:ascii="宋体" w:hAnsi="宋体" w:cs="仿宋_GB2312"/>
          <w:color w:val="auto"/>
          <w:szCs w:val="21"/>
        </w:rPr>
        <w:fldChar w:fldCharType="end"/>
      </w:r>
      <w:r>
        <w:rPr>
          <w:rFonts w:hint="eastAsia" w:ascii="宋体" w:hAnsi="宋体" w:cs="仿宋_GB2312"/>
          <w:kern w:val="0"/>
          <w:szCs w:val="21"/>
        </w:rPr>
        <w:t>。</w:t>
      </w:r>
    </w:p>
    <w:p>
      <w:pPr>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cs="仿宋_GB2312"/>
          <w:kern w:val="0"/>
          <w:szCs w:val="21"/>
        </w:rPr>
      </w:pPr>
      <w:r>
        <w:rPr>
          <w:rFonts w:ascii="宋体" w:hAnsi="宋体" w:cs="仿宋_GB2312"/>
          <w:kern w:val="0"/>
          <w:szCs w:val="21"/>
        </w:rPr>
        <w:t>1.3.2</w:t>
      </w:r>
      <w:r>
        <w:rPr>
          <w:rFonts w:hint="eastAsia" w:ascii="宋体" w:hAnsi="宋体" w:cs="仿宋_GB2312"/>
          <w:kern w:val="0"/>
          <w:szCs w:val="21"/>
        </w:rPr>
        <w:t>本标段的计划工期：见</w:t>
      </w:r>
      <w:r>
        <w:fldChar w:fldCharType="begin"/>
      </w:r>
      <w:r>
        <w:instrText xml:space="preserve"> HYPERLINK "file:///H:\\泰州招标文件范本\\泰州市房屋建筑和市政工程施工2016.4.docx" \l "_1.2" </w:instrText>
      </w:r>
      <w:r>
        <w:fldChar w:fldCharType="separate"/>
      </w:r>
      <w:r>
        <w:rPr>
          <w:rStyle w:val="18"/>
          <w:rFonts w:hint="eastAsia" w:ascii="宋体" w:hAnsi="宋体" w:cs="仿宋_GB2312"/>
          <w:color w:val="auto"/>
          <w:szCs w:val="21"/>
        </w:rPr>
        <w:t>投标人须知前附表</w:t>
      </w:r>
      <w:r>
        <w:rPr>
          <w:rStyle w:val="18"/>
          <w:rFonts w:hint="eastAsia" w:ascii="宋体" w:hAnsi="宋体" w:cs="仿宋_GB2312"/>
          <w:color w:val="auto"/>
          <w:szCs w:val="21"/>
        </w:rPr>
        <w:fldChar w:fldCharType="end"/>
      </w:r>
      <w:r>
        <w:rPr>
          <w:rFonts w:hint="eastAsia" w:ascii="宋体" w:hAnsi="宋体" w:cs="仿宋_GB2312"/>
          <w:kern w:val="0"/>
          <w:szCs w:val="21"/>
        </w:rPr>
        <w:t>。</w:t>
      </w:r>
    </w:p>
    <w:p>
      <w:pPr>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cs="仿宋_GB2312"/>
          <w:kern w:val="0"/>
          <w:szCs w:val="21"/>
        </w:rPr>
      </w:pPr>
      <w:r>
        <w:rPr>
          <w:rFonts w:ascii="宋体" w:hAnsi="宋体" w:cs="仿宋_GB2312"/>
          <w:kern w:val="0"/>
          <w:szCs w:val="21"/>
        </w:rPr>
        <w:t>1.3.3</w:t>
      </w:r>
      <w:r>
        <w:rPr>
          <w:rFonts w:hint="eastAsia" w:ascii="宋体" w:hAnsi="宋体" w:cs="仿宋_GB2312"/>
          <w:kern w:val="0"/>
          <w:szCs w:val="21"/>
        </w:rPr>
        <w:t>本标段的质量要求：见</w:t>
      </w:r>
      <w:r>
        <w:fldChar w:fldCharType="begin"/>
      </w:r>
      <w:r>
        <w:instrText xml:space="preserve"> HYPERLINK "file:///H:\\泰州招标文件范本\\泰州市房屋建筑和市政工程施工2016.4.docx" \l "_1.2" </w:instrText>
      </w:r>
      <w:r>
        <w:fldChar w:fldCharType="separate"/>
      </w:r>
      <w:r>
        <w:rPr>
          <w:rStyle w:val="18"/>
          <w:rFonts w:hint="eastAsia" w:ascii="宋体" w:hAnsi="宋体" w:cs="仿宋_GB2312"/>
          <w:color w:val="auto"/>
          <w:szCs w:val="21"/>
        </w:rPr>
        <w:t>投标人须知前附表</w:t>
      </w:r>
      <w:r>
        <w:rPr>
          <w:rStyle w:val="18"/>
          <w:rFonts w:hint="eastAsia" w:ascii="宋体" w:hAnsi="宋体" w:cs="仿宋_GB2312"/>
          <w:color w:val="auto"/>
          <w:szCs w:val="21"/>
        </w:rPr>
        <w:fldChar w:fldCharType="end"/>
      </w:r>
      <w:r>
        <w:rPr>
          <w:rFonts w:hint="eastAsia" w:ascii="宋体" w:hAnsi="宋体" w:cs="仿宋_GB2312"/>
          <w:kern w:val="0"/>
          <w:szCs w:val="21"/>
        </w:rPr>
        <w:t>。</w:t>
      </w:r>
    </w:p>
    <w:p>
      <w:pPr>
        <w:pStyle w:val="28"/>
        <w:pageBreakBefore w:val="0"/>
        <w:widowControl w:val="0"/>
        <w:kinsoku/>
        <w:wordWrap/>
        <w:overflowPunct/>
        <w:topLinePunct w:val="0"/>
        <w:bidi w:val="0"/>
        <w:snapToGrid/>
        <w:spacing w:line="360" w:lineRule="auto"/>
        <w:textAlignment w:val="auto"/>
      </w:pPr>
      <w:bookmarkStart w:id="91" w:name="_1.4_投标人资格要求（适用于已进行资格预审的）"/>
      <w:bookmarkEnd w:id="91"/>
      <w:bookmarkStart w:id="92" w:name="_1.4_投标人资格要求"/>
      <w:bookmarkEnd w:id="92"/>
      <w:bookmarkStart w:id="93" w:name="_Toc152042310"/>
      <w:bookmarkStart w:id="94" w:name="_Toc179632551"/>
      <w:bookmarkStart w:id="95" w:name="_Toc144974502"/>
      <w:bookmarkStart w:id="96" w:name="_Toc152045534"/>
      <w:r>
        <w:t xml:space="preserve">1.4 </w:t>
      </w:r>
      <w:r>
        <w:rPr>
          <w:rFonts w:hint="eastAsia"/>
        </w:rPr>
        <w:t>投标人资格要求</w:t>
      </w:r>
      <w:bookmarkEnd w:id="93"/>
      <w:bookmarkEnd w:id="94"/>
      <w:bookmarkEnd w:id="95"/>
      <w:bookmarkEnd w:id="96"/>
    </w:p>
    <w:p>
      <w:pPr>
        <w:pageBreakBefore w:val="0"/>
        <w:widowControl w:val="0"/>
        <w:kinsoku/>
        <w:wordWrap/>
        <w:overflowPunct/>
        <w:topLinePunct w:val="0"/>
        <w:bidi w:val="0"/>
        <w:snapToGrid/>
        <w:spacing w:line="360" w:lineRule="auto"/>
        <w:ind w:firstLine="420" w:firstLineChars="200"/>
        <w:textAlignment w:val="auto"/>
        <w:rPr>
          <w:rFonts w:ascii="宋体"/>
        </w:rPr>
      </w:pPr>
      <w:r>
        <w:rPr>
          <w:rFonts w:ascii="宋体" w:hAnsi="宋体"/>
        </w:rPr>
        <w:t>1.4.1</w:t>
      </w:r>
      <w:r>
        <w:rPr>
          <w:rFonts w:hint="eastAsia" w:ascii="宋体" w:hAnsi="宋体"/>
        </w:rPr>
        <w:t>投标人应具备承担本标段施工的资质条件、能力和信誉。</w:t>
      </w:r>
    </w:p>
    <w:p>
      <w:pPr>
        <w:pageBreakBefore w:val="0"/>
        <w:widowControl w:val="0"/>
        <w:kinsoku/>
        <w:wordWrap/>
        <w:overflowPunct/>
        <w:topLinePunct w:val="0"/>
        <w:bidi w:val="0"/>
        <w:snapToGrid/>
        <w:spacing w:line="360" w:lineRule="auto"/>
        <w:ind w:firstLine="718" w:firstLineChars="342"/>
        <w:textAlignment w:val="auto"/>
        <w:rPr>
          <w:rFonts w:ascii="宋体"/>
        </w:rPr>
      </w:pPr>
      <w:r>
        <w:rPr>
          <w:rFonts w:hint="eastAsia" w:ascii="宋体" w:hAnsi="宋体"/>
        </w:rPr>
        <w:t>（</w:t>
      </w:r>
      <w:r>
        <w:rPr>
          <w:rFonts w:ascii="宋体" w:hAnsi="宋体"/>
        </w:rPr>
        <w:t>1</w:t>
      </w:r>
      <w:r>
        <w:rPr>
          <w:rFonts w:hint="eastAsia" w:ascii="宋体" w:hAnsi="宋体"/>
        </w:rPr>
        <w:t>）资质条件：见投标人须知前附表；</w:t>
      </w:r>
    </w:p>
    <w:p>
      <w:pPr>
        <w:pageBreakBefore w:val="0"/>
        <w:widowControl w:val="0"/>
        <w:kinsoku/>
        <w:wordWrap/>
        <w:overflowPunct/>
        <w:topLinePunct w:val="0"/>
        <w:bidi w:val="0"/>
        <w:snapToGrid/>
        <w:spacing w:line="360" w:lineRule="auto"/>
        <w:ind w:firstLine="718" w:firstLineChars="342"/>
        <w:textAlignment w:val="auto"/>
        <w:rPr>
          <w:rFonts w:ascii="宋体"/>
        </w:rPr>
      </w:pPr>
      <w:r>
        <w:rPr>
          <w:rFonts w:hint="eastAsia" w:ascii="宋体" w:hAnsi="宋体"/>
        </w:rPr>
        <w:t>（</w:t>
      </w:r>
      <w:r>
        <w:rPr>
          <w:rFonts w:ascii="宋体" w:hAnsi="宋体"/>
        </w:rPr>
        <w:t>2</w:t>
      </w:r>
      <w:r>
        <w:rPr>
          <w:rFonts w:hint="eastAsia" w:ascii="宋体" w:hAnsi="宋体"/>
        </w:rPr>
        <w:t>）财务要求：见投标人须知前附表；</w:t>
      </w:r>
    </w:p>
    <w:p>
      <w:pPr>
        <w:pageBreakBefore w:val="0"/>
        <w:widowControl w:val="0"/>
        <w:kinsoku/>
        <w:wordWrap/>
        <w:overflowPunct/>
        <w:topLinePunct w:val="0"/>
        <w:bidi w:val="0"/>
        <w:snapToGrid/>
        <w:spacing w:line="360" w:lineRule="auto"/>
        <w:ind w:firstLine="718" w:firstLineChars="342"/>
        <w:textAlignment w:val="auto"/>
        <w:rPr>
          <w:rFonts w:ascii="宋体"/>
        </w:rPr>
      </w:pPr>
      <w:r>
        <w:rPr>
          <w:rFonts w:hint="eastAsia" w:ascii="宋体" w:hAnsi="宋体"/>
        </w:rPr>
        <w:t>（</w:t>
      </w:r>
      <w:r>
        <w:rPr>
          <w:rFonts w:ascii="宋体" w:hAnsi="宋体"/>
        </w:rPr>
        <w:t>3</w:t>
      </w:r>
      <w:r>
        <w:rPr>
          <w:rFonts w:hint="eastAsia" w:ascii="宋体" w:hAnsi="宋体"/>
        </w:rPr>
        <w:t>）业绩要求：见投标人须知前附表；</w:t>
      </w:r>
    </w:p>
    <w:p>
      <w:pPr>
        <w:pageBreakBefore w:val="0"/>
        <w:widowControl w:val="0"/>
        <w:kinsoku/>
        <w:wordWrap/>
        <w:overflowPunct/>
        <w:topLinePunct w:val="0"/>
        <w:bidi w:val="0"/>
        <w:snapToGrid/>
        <w:spacing w:line="360" w:lineRule="auto"/>
        <w:ind w:firstLine="718" w:firstLineChars="342"/>
        <w:textAlignment w:val="auto"/>
        <w:rPr>
          <w:rFonts w:ascii="宋体"/>
        </w:rPr>
      </w:pPr>
      <w:r>
        <w:rPr>
          <w:rFonts w:hint="eastAsia" w:ascii="宋体" w:hAnsi="宋体"/>
        </w:rPr>
        <w:t>（</w:t>
      </w:r>
      <w:r>
        <w:rPr>
          <w:rFonts w:ascii="宋体" w:hAnsi="宋体"/>
        </w:rPr>
        <w:t>4</w:t>
      </w:r>
      <w:r>
        <w:rPr>
          <w:rFonts w:hint="eastAsia" w:ascii="宋体" w:hAnsi="宋体"/>
        </w:rPr>
        <w:t>）信誉要求：见投标人须知前附表</w:t>
      </w:r>
      <w:r>
        <w:rPr>
          <w:rFonts w:ascii="宋体" w:hAnsi="宋体"/>
        </w:rPr>
        <w:t>;</w:t>
      </w:r>
    </w:p>
    <w:p>
      <w:pPr>
        <w:pageBreakBefore w:val="0"/>
        <w:widowControl w:val="0"/>
        <w:kinsoku/>
        <w:wordWrap/>
        <w:overflowPunct/>
        <w:topLinePunct w:val="0"/>
        <w:bidi w:val="0"/>
        <w:snapToGrid/>
        <w:spacing w:line="360" w:lineRule="auto"/>
        <w:ind w:firstLine="735" w:firstLineChars="350"/>
        <w:textAlignment w:val="auto"/>
        <w:rPr>
          <w:rFonts w:ascii="宋体"/>
        </w:rPr>
      </w:pPr>
      <w:r>
        <w:rPr>
          <w:rFonts w:hint="eastAsia" w:ascii="宋体" w:hAnsi="宋体"/>
        </w:rPr>
        <w:t>（</w:t>
      </w:r>
      <w:r>
        <w:rPr>
          <w:rFonts w:ascii="宋体" w:hAnsi="宋体"/>
        </w:rPr>
        <w:t>5</w:t>
      </w:r>
      <w:r>
        <w:rPr>
          <w:rFonts w:hint="eastAsia" w:ascii="宋体" w:hAnsi="宋体"/>
        </w:rPr>
        <w:t>）项目经理资格：见投标人须知前附表；</w:t>
      </w:r>
    </w:p>
    <w:p>
      <w:pPr>
        <w:pageBreakBefore w:val="0"/>
        <w:widowControl w:val="0"/>
        <w:kinsoku/>
        <w:wordWrap/>
        <w:overflowPunct/>
        <w:topLinePunct w:val="0"/>
        <w:bidi w:val="0"/>
        <w:snapToGrid/>
        <w:spacing w:line="360" w:lineRule="auto"/>
        <w:ind w:firstLine="735" w:firstLineChars="350"/>
        <w:textAlignment w:val="auto"/>
        <w:rPr>
          <w:rFonts w:ascii="宋体"/>
        </w:rPr>
      </w:pPr>
      <w:r>
        <w:rPr>
          <w:rFonts w:hint="eastAsia" w:ascii="宋体" w:hAnsi="宋体"/>
        </w:rPr>
        <w:t>（</w:t>
      </w:r>
      <w:r>
        <w:rPr>
          <w:rFonts w:ascii="宋体" w:hAnsi="宋体"/>
        </w:rPr>
        <w:t>6</w:t>
      </w:r>
      <w:r>
        <w:rPr>
          <w:rFonts w:hint="eastAsia" w:ascii="宋体" w:hAnsi="宋体"/>
        </w:rPr>
        <w:t>）其他要求：见投标人须知前附表。</w:t>
      </w:r>
    </w:p>
    <w:p>
      <w:pPr>
        <w:pageBreakBefore w:val="0"/>
        <w:widowControl w:val="0"/>
        <w:kinsoku/>
        <w:wordWrap/>
        <w:overflowPunct/>
        <w:topLinePunct w:val="0"/>
        <w:bidi w:val="0"/>
        <w:snapToGrid/>
        <w:spacing w:line="360" w:lineRule="auto"/>
        <w:ind w:firstLine="420" w:firstLineChars="200"/>
        <w:textAlignment w:val="auto"/>
        <w:rPr>
          <w:rFonts w:ascii="宋体"/>
        </w:rPr>
      </w:pPr>
      <w:r>
        <w:rPr>
          <w:rFonts w:ascii="宋体" w:hAnsi="宋体"/>
        </w:rPr>
        <w:t xml:space="preserve">1.4.2 </w:t>
      </w:r>
      <w:r>
        <w:rPr>
          <w:rFonts w:hint="eastAsia" w:ascii="宋体" w:hAnsi="宋体"/>
        </w:rPr>
        <w:t>投标人须知前附表规定接受联合体投标的，除应符合本章第</w:t>
      </w:r>
      <w:r>
        <w:rPr>
          <w:rFonts w:ascii="宋体" w:hAnsi="宋体"/>
        </w:rPr>
        <w:t>1.4.1</w:t>
      </w:r>
      <w:r>
        <w:rPr>
          <w:rFonts w:hint="eastAsia" w:ascii="宋体" w:hAnsi="宋体"/>
        </w:rPr>
        <w:t>项和投标人须知前附表的要求外，还应遵守以下规定：</w:t>
      </w:r>
    </w:p>
    <w:p>
      <w:pPr>
        <w:pageBreakBefore w:val="0"/>
        <w:widowControl w:val="0"/>
        <w:kinsoku/>
        <w:wordWrap/>
        <w:overflowPunct/>
        <w:topLinePunct w:val="0"/>
        <w:bidi w:val="0"/>
        <w:snapToGrid/>
        <w:spacing w:line="360" w:lineRule="auto"/>
        <w:ind w:firstLine="718" w:firstLineChars="342"/>
        <w:textAlignment w:val="auto"/>
        <w:rPr>
          <w:rFonts w:ascii="宋体"/>
        </w:rPr>
      </w:pPr>
      <w:r>
        <w:rPr>
          <w:rFonts w:hint="eastAsia" w:ascii="宋体" w:hAnsi="宋体"/>
        </w:rPr>
        <w:t>（</w:t>
      </w:r>
      <w:r>
        <w:rPr>
          <w:rFonts w:ascii="宋体" w:hAnsi="宋体"/>
        </w:rPr>
        <w:t>1</w:t>
      </w:r>
      <w:r>
        <w:rPr>
          <w:rFonts w:hint="eastAsia" w:ascii="宋体" w:hAnsi="宋体"/>
        </w:rPr>
        <w:t>）联合体各方应按招标文件提供的格式签订联合体协议书，明确联合体牵头人和各方权利义务；</w:t>
      </w:r>
    </w:p>
    <w:p>
      <w:pPr>
        <w:pageBreakBefore w:val="0"/>
        <w:widowControl w:val="0"/>
        <w:kinsoku/>
        <w:wordWrap/>
        <w:overflowPunct/>
        <w:topLinePunct w:val="0"/>
        <w:bidi w:val="0"/>
        <w:snapToGrid/>
        <w:spacing w:line="360" w:lineRule="auto"/>
        <w:ind w:firstLine="718" w:firstLineChars="342"/>
        <w:textAlignment w:val="auto"/>
        <w:rPr>
          <w:rFonts w:ascii="宋体"/>
        </w:rPr>
      </w:pPr>
      <w:r>
        <w:rPr>
          <w:rFonts w:hint="eastAsia" w:ascii="宋体" w:hAnsi="宋体"/>
        </w:rPr>
        <w:t>（</w:t>
      </w:r>
      <w:r>
        <w:rPr>
          <w:rFonts w:ascii="宋体" w:hAnsi="宋体"/>
        </w:rPr>
        <w:t>2</w:t>
      </w:r>
      <w:r>
        <w:rPr>
          <w:rFonts w:hint="eastAsia" w:ascii="宋体" w:hAnsi="宋体"/>
        </w:rPr>
        <w:t>）由同一专业的单位组成的联合体，按照资质等级较低的单位确定资质等级；</w:t>
      </w:r>
    </w:p>
    <w:p>
      <w:pPr>
        <w:pageBreakBefore w:val="0"/>
        <w:widowControl w:val="0"/>
        <w:kinsoku/>
        <w:wordWrap/>
        <w:overflowPunct/>
        <w:topLinePunct w:val="0"/>
        <w:bidi w:val="0"/>
        <w:snapToGrid/>
        <w:spacing w:line="360" w:lineRule="auto"/>
        <w:ind w:firstLine="718" w:firstLineChars="342"/>
        <w:textAlignment w:val="auto"/>
        <w:rPr>
          <w:rFonts w:ascii="宋体"/>
        </w:rPr>
      </w:pPr>
      <w:r>
        <w:rPr>
          <w:rFonts w:hint="eastAsia" w:ascii="宋体" w:hAnsi="宋体"/>
        </w:rPr>
        <w:t>（</w:t>
      </w:r>
      <w:r>
        <w:rPr>
          <w:rFonts w:ascii="宋体" w:hAnsi="宋体"/>
        </w:rPr>
        <w:t>3</w:t>
      </w:r>
      <w:r>
        <w:rPr>
          <w:rFonts w:hint="eastAsia" w:ascii="宋体" w:hAnsi="宋体"/>
        </w:rPr>
        <w:t>）联合体各方不得再以自己名义单独或参加其他联合体在同一标段中投标。</w:t>
      </w:r>
    </w:p>
    <w:p>
      <w:pPr>
        <w:pageBreakBefore w:val="0"/>
        <w:widowControl w:val="0"/>
        <w:kinsoku/>
        <w:wordWrap/>
        <w:overflowPunct/>
        <w:topLinePunct w:val="0"/>
        <w:bidi w:val="0"/>
        <w:snapToGrid/>
        <w:spacing w:line="360" w:lineRule="auto"/>
        <w:ind w:firstLine="420" w:firstLineChars="200"/>
        <w:textAlignment w:val="auto"/>
        <w:rPr>
          <w:rFonts w:ascii="宋体"/>
        </w:rPr>
      </w:pPr>
      <w:r>
        <w:rPr>
          <w:rFonts w:ascii="宋体" w:hAnsi="宋体"/>
        </w:rPr>
        <w:t xml:space="preserve">1.4.3 </w:t>
      </w:r>
      <w:r>
        <w:rPr>
          <w:rFonts w:hint="eastAsia" w:ascii="宋体" w:hAnsi="宋体"/>
        </w:rPr>
        <w:t>投标人不得存在下列情形之一：</w:t>
      </w:r>
    </w:p>
    <w:p>
      <w:pPr>
        <w:pageBreakBefore w:val="0"/>
        <w:widowControl w:val="0"/>
        <w:kinsoku/>
        <w:wordWrap/>
        <w:overflowPunct/>
        <w:topLinePunct w:val="0"/>
        <w:bidi w:val="0"/>
        <w:snapToGrid/>
        <w:spacing w:line="360" w:lineRule="auto"/>
        <w:ind w:firstLine="718" w:firstLineChars="342"/>
        <w:textAlignment w:val="auto"/>
        <w:rPr>
          <w:rFonts w:ascii="宋体"/>
        </w:rPr>
      </w:pPr>
      <w:r>
        <w:rPr>
          <w:rFonts w:hint="eastAsia" w:ascii="宋体" w:hAnsi="宋体"/>
        </w:rPr>
        <w:t>（</w:t>
      </w:r>
      <w:r>
        <w:rPr>
          <w:rFonts w:ascii="宋体" w:hAnsi="宋体"/>
        </w:rPr>
        <w:t>1</w:t>
      </w:r>
      <w:r>
        <w:rPr>
          <w:rFonts w:hint="eastAsia" w:ascii="宋体" w:hAnsi="宋体"/>
        </w:rPr>
        <w:t>）为招标人不具有独立法人资格的附属机构（单位）；</w:t>
      </w:r>
    </w:p>
    <w:p>
      <w:pPr>
        <w:pageBreakBefore w:val="0"/>
        <w:widowControl w:val="0"/>
        <w:kinsoku/>
        <w:wordWrap/>
        <w:overflowPunct/>
        <w:topLinePunct w:val="0"/>
        <w:bidi w:val="0"/>
        <w:snapToGrid/>
        <w:spacing w:line="360" w:lineRule="auto"/>
        <w:ind w:firstLine="718" w:firstLineChars="342"/>
        <w:textAlignment w:val="auto"/>
        <w:rPr>
          <w:rFonts w:ascii="宋体"/>
        </w:rPr>
      </w:pPr>
      <w:r>
        <w:rPr>
          <w:rFonts w:hint="eastAsia" w:ascii="宋体" w:hAnsi="宋体"/>
        </w:rPr>
        <w:t>（</w:t>
      </w:r>
      <w:r>
        <w:rPr>
          <w:rFonts w:ascii="宋体" w:hAnsi="宋体"/>
        </w:rPr>
        <w:t>2</w:t>
      </w:r>
      <w:r>
        <w:rPr>
          <w:rFonts w:hint="eastAsia" w:ascii="宋体" w:hAnsi="宋体"/>
        </w:rPr>
        <w:t>）为本标段前期准备提供设计或咨询服务的，但设计施工总承包的除外；</w:t>
      </w:r>
    </w:p>
    <w:p>
      <w:pPr>
        <w:pageBreakBefore w:val="0"/>
        <w:widowControl w:val="0"/>
        <w:kinsoku/>
        <w:wordWrap/>
        <w:overflowPunct/>
        <w:topLinePunct w:val="0"/>
        <w:bidi w:val="0"/>
        <w:snapToGrid/>
        <w:spacing w:line="360" w:lineRule="auto"/>
        <w:ind w:firstLine="718" w:firstLineChars="342"/>
        <w:textAlignment w:val="auto"/>
        <w:rPr>
          <w:rFonts w:ascii="宋体"/>
        </w:rPr>
      </w:pPr>
      <w:r>
        <w:rPr>
          <w:rFonts w:hint="eastAsia" w:ascii="宋体" w:hAnsi="宋体"/>
        </w:rPr>
        <w:t>（</w:t>
      </w:r>
      <w:r>
        <w:rPr>
          <w:rFonts w:ascii="宋体" w:hAnsi="宋体"/>
        </w:rPr>
        <w:t>3</w:t>
      </w:r>
      <w:r>
        <w:rPr>
          <w:rFonts w:hint="eastAsia" w:ascii="宋体" w:hAnsi="宋体"/>
        </w:rPr>
        <w:t>）为本标段的监理人；</w:t>
      </w:r>
    </w:p>
    <w:p>
      <w:pPr>
        <w:pageBreakBefore w:val="0"/>
        <w:widowControl w:val="0"/>
        <w:kinsoku/>
        <w:wordWrap/>
        <w:overflowPunct/>
        <w:topLinePunct w:val="0"/>
        <w:bidi w:val="0"/>
        <w:snapToGrid/>
        <w:spacing w:line="360" w:lineRule="auto"/>
        <w:ind w:firstLine="718" w:firstLineChars="342"/>
        <w:textAlignment w:val="auto"/>
        <w:rPr>
          <w:rFonts w:ascii="宋体"/>
        </w:rPr>
      </w:pPr>
      <w:r>
        <w:rPr>
          <w:rFonts w:hint="eastAsia" w:ascii="宋体" w:hAnsi="宋体"/>
        </w:rPr>
        <w:t>（</w:t>
      </w:r>
      <w:r>
        <w:rPr>
          <w:rFonts w:ascii="宋体" w:hAnsi="宋体"/>
        </w:rPr>
        <w:t>4</w:t>
      </w:r>
      <w:r>
        <w:rPr>
          <w:rFonts w:hint="eastAsia" w:ascii="宋体" w:hAnsi="宋体"/>
        </w:rPr>
        <w:t>）为本标段的代建人；</w:t>
      </w:r>
    </w:p>
    <w:p>
      <w:pPr>
        <w:pageBreakBefore w:val="0"/>
        <w:widowControl w:val="0"/>
        <w:kinsoku/>
        <w:wordWrap/>
        <w:overflowPunct/>
        <w:topLinePunct w:val="0"/>
        <w:bidi w:val="0"/>
        <w:snapToGrid/>
        <w:spacing w:line="360" w:lineRule="auto"/>
        <w:ind w:firstLine="718" w:firstLineChars="342"/>
        <w:textAlignment w:val="auto"/>
        <w:rPr>
          <w:rFonts w:ascii="宋体"/>
        </w:rPr>
      </w:pPr>
      <w:r>
        <w:rPr>
          <w:rFonts w:hint="eastAsia" w:ascii="宋体" w:hAnsi="宋体"/>
        </w:rPr>
        <w:t>（</w:t>
      </w:r>
      <w:r>
        <w:rPr>
          <w:rFonts w:ascii="宋体" w:hAnsi="宋体"/>
        </w:rPr>
        <w:t>5</w:t>
      </w:r>
      <w:r>
        <w:rPr>
          <w:rFonts w:hint="eastAsia" w:ascii="宋体" w:hAnsi="宋体"/>
        </w:rPr>
        <w:t>）为本标段提供招标代理服务的；</w:t>
      </w:r>
    </w:p>
    <w:p>
      <w:pPr>
        <w:pageBreakBefore w:val="0"/>
        <w:widowControl w:val="0"/>
        <w:kinsoku/>
        <w:wordWrap/>
        <w:overflowPunct/>
        <w:topLinePunct w:val="0"/>
        <w:bidi w:val="0"/>
        <w:snapToGrid/>
        <w:spacing w:line="360" w:lineRule="auto"/>
        <w:ind w:firstLine="718" w:firstLineChars="342"/>
        <w:textAlignment w:val="auto"/>
        <w:rPr>
          <w:rFonts w:ascii="宋体"/>
        </w:rPr>
      </w:pPr>
      <w:r>
        <w:rPr>
          <w:rFonts w:hint="eastAsia" w:ascii="宋体" w:hAnsi="宋体"/>
        </w:rPr>
        <w:t>（</w:t>
      </w:r>
      <w:r>
        <w:rPr>
          <w:rFonts w:ascii="宋体" w:hAnsi="宋体"/>
        </w:rPr>
        <w:t>6</w:t>
      </w:r>
      <w:r>
        <w:rPr>
          <w:rFonts w:hint="eastAsia" w:ascii="宋体" w:hAnsi="宋体"/>
        </w:rPr>
        <w:t>）与本标段的监理人或设计单位或代建人或招标代理机构同为一个法定代表人的；</w:t>
      </w:r>
    </w:p>
    <w:p>
      <w:pPr>
        <w:pageBreakBefore w:val="0"/>
        <w:widowControl w:val="0"/>
        <w:kinsoku/>
        <w:wordWrap/>
        <w:overflowPunct/>
        <w:topLinePunct w:val="0"/>
        <w:bidi w:val="0"/>
        <w:snapToGrid/>
        <w:spacing w:line="360" w:lineRule="auto"/>
        <w:ind w:firstLine="718" w:firstLineChars="342"/>
        <w:textAlignment w:val="auto"/>
        <w:rPr>
          <w:rFonts w:ascii="宋体"/>
        </w:rPr>
      </w:pPr>
      <w:r>
        <w:rPr>
          <w:rFonts w:hint="eastAsia" w:ascii="宋体" w:hAnsi="宋体"/>
        </w:rPr>
        <w:t>（</w:t>
      </w:r>
      <w:r>
        <w:rPr>
          <w:rFonts w:ascii="宋体" w:hAnsi="宋体"/>
        </w:rPr>
        <w:t>7</w:t>
      </w:r>
      <w:r>
        <w:rPr>
          <w:rFonts w:hint="eastAsia" w:ascii="宋体" w:hAnsi="宋体"/>
        </w:rPr>
        <w:t>）与本标段的监理人或代建人或招标代理机构相互控股或参股的；</w:t>
      </w:r>
    </w:p>
    <w:p>
      <w:pPr>
        <w:pageBreakBefore w:val="0"/>
        <w:widowControl w:val="0"/>
        <w:kinsoku/>
        <w:wordWrap/>
        <w:overflowPunct/>
        <w:topLinePunct w:val="0"/>
        <w:bidi w:val="0"/>
        <w:snapToGrid/>
        <w:spacing w:line="360" w:lineRule="auto"/>
        <w:ind w:firstLine="718" w:firstLineChars="342"/>
        <w:textAlignment w:val="auto"/>
        <w:rPr>
          <w:rFonts w:ascii="宋体"/>
        </w:rPr>
      </w:pPr>
      <w:r>
        <w:rPr>
          <w:rFonts w:hint="eastAsia" w:ascii="宋体" w:hAnsi="宋体"/>
        </w:rPr>
        <w:t>（</w:t>
      </w:r>
      <w:r>
        <w:rPr>
          <w:rFonts w:ascii="宋体" w:hAnsi="宋体"/>
        </w:rPr>
        <w:t>8</w:t>
      </w:r>
      <w:r>
        <w:rPr>
          <w:rFonts w:hint="eastAsia" w:ascii="宋体" w:hAnsi="宋体"/>
        </w:rPr>
        <w:t>）与本标段的监理人或代建人或招标代理机构相互任职或工作的；</w:t>
      </w:r>
    </w:p>
    <w:p>
      <w:pPr>
        <w:pageBreakBefore w:val="0"/>
        <w:widowControl w:val="0"/>
        <w:kinsoku/>
        <w:wordWrap/>
        <w:overflowPunct/>
        <w:topLinePunct w:val="0"/>
        <w:bidi w:val="0"/>
        <w:snapToGrid/>
        <w:spacing w:line="360" w:lineRule="auto"/>
        <w:ind w:firstLine="735" w:firstLineChars="350"/>
        <w:textAlignment w:val="auto"/>
        <w:rPr>
          <w:rFonts w:ascii="宋体"/>
        </w:rPr>
      </w:pPr>
      <w:r>
        <w:rPr>
          <w:rFonts w:hint="eastAsia" w:ascii="宋体" w:hAnsi="宋体"/>
        </w:rPr>
        <w:t>（</w:t>
      </w:r>
      <w:r>
        <w:rPr>
          <w:rFonts w:ascii="宋体" w:hAnsi="宋体"/>
        </w:rPr>
        <w:t>9</w:t>
      </w:r>
      <w:r>
        <w:rPr>
          <w:rFonts w:hint="eastAsia" w:ascii="宋体" w:hAnsi="宋体"/>
        </w:rPr>
        <w:t>）被责令停业的；</w:t>
      </w:r>
    </w:p>
    <w:p>
      <w:pPr>
        <w:pageBreakBefore w:val="0"/>
        <w:widowControl w:val="0"/>
        <w:kinsoku/>
        <w:wordWrap/>
        <w:overflowPunct/>
        <w:topLinePunct w:val="0"/>
        <w:bidi w:val="0"/>
        <w:snapToGrid/>
        <w:spacing w:line="360" w:lineRule="auto"/>
        <w:ind w:firstLine="718" w:firstLineChars="342"/>
        <w:textAlignment w:val="auto"/>
        <w:rPr>
          <w:rFonts w:ascii="宋体"/>
        </w:rPr>
      </w:pPr>
      <w:r>
        <w:rPr>
          <w:rFonts w:hint="eastAsia" w:ascii="宋体" w:hAnsi="宋体"/>
        </w:rPr>
        <w:t>（</w:t>
      </w:r>
      <w:r>
        <w:rPr>
          <w:rFonts w:ascii="宋体" w:hAnsi="宋体"/>
        </w:rPr>
        <w:t>10</w:t>
      </w:r>
      <w:r>
        <w:rPr>
          <w:rFonts w:hint="eastAsia" w:ascii="宋体" w:hAnsi="宋体"/>
        </w:rPr>
        <w:t>）被暂停或取消投标资格的；</w:t>
      </w:r>
    </w:p>
    <w:p>
      <w:pPr>
        <w:pageBreakBefore w:val="0"/>
        <w:widowControl w:val="0"/>
        <w:kinsoku/>
        <w:wordWrap/>
        <w:overflowPunct/>
        <w:topLinePunct w:val="0"/>
        <w:bidi w:val="0"/>
        <w:snapToGrid/>
        <w:spacing w:line="360" w:lineRule="auto"/>
        <w:ind w:firstLine="718" w:firstLineChars="342"/>
        <w:textAlignment w:val="auto"/>
        <w:rPr>
          <w:rFonts w:ascii="宋体"/>
        </w:rPr>
      </w:pPr>
      <w:r>
        <w:rPr>
          <w:rFonts w:hint="eastAsia" w:ascii="宋体" w:hAnsi="宋体"/>
        </w:rPr>
        <w:t>（</w:t>
      </w:r>
      <w:r>
        <w:rPr>
          <w:rFonts w:ascii="宋体" w:hAnsi="宋体"/>
        </w:rPr>
        <w:t>11</w:t>
      </w:r>
      <w:r>
        <w:rPr>
          <w:rFonts w:hint="eastAsia" w:ascii="宋体" w:hAnsi="宋体"/>
        </w:rPr>
        <w:t>）财产被接管或冻结的；</w:t>
      </w:r>
    </w:p>
    <w:p>
      <w:pPr>
        <w:pageBreakBefore w:val="0"/>
        <w:widowControl w:val="0"/>
        <w:kinsoku/>
        <w:wordWrap/>
        <w:overflowPunct/>
        <w:topLinePunct w:val="0"/>
        <w:bidi w:val="0"/>
        <w:snapToGrid/>
        <w:spacing w:line="360" w:lineRule="auto"/>
        <w:ind w:firstLine="718" w:firstLineChars="342"/>
        <w:textAlignment w:val="auto"/>
        <w:rPr>
          <w:rFonts w:ascii="宋体"/>
        </w:rPr>
      </w:pPr>
      <w:r>
        <w:rPr>
          <w:rFonts w:hint="eastAsia" w:ascii="宋体" w:hAnsi="宋体"/>
        </w:rPr>
        <w:t>（</w:t>
      </w:r>
      <w:r>
        <w:rPr>
          <w:rFonts w:ascii="宋体" w:hAnsi="宋体"/>
        </w:rPr>
        <w:t>12</w:t>
      </w:r>
      <w:r>
        <w:rPr>
          <w:rFonts w:hint="eastAsia" w:ascii="宋体" w:hAnsi="宋体"/>
        </w:rPr>
        <w:t>）在最近三年内有骗取中标或严重违约或严重失信或重大工程质量问题的。</w:t>
      </w:r>
    </w:p>
    <w:p>
      <w:pPr>
        <w:pageBreakBefore w:val="0"/>
        <w:widowControl w:val="0"/>
        <w:kinsoku/>
        <w:wordWrap/>
        <w:overflowPunct/>
        <w:topLinePunct w:val="0"/>
        <w:bidi w:val="0"/>
        <w:snapToGrid/>
        <w:spacing w:line="360" w:lineRule="auto"/>
        <w:ind w:firstLine="420" w:firstLineChars="200"/>
        <w:textAlignment w:val="auto"/>
        <w:rPr>
          <w:rFonts w:ascii="宋体" w:cs="仿宋_GB2312"/>
          <w:kern w:val="0"/>
          <w:szCs w:val="21"/>
        </w:rPr>
      </w:pPr>
      <w:r>
        <w:rPr>
          <w:rFonts w:ascii="宋体" w:hAnsi="宋体"/>
        </w:rPr>
        <w:t xml:space="preserve">1.4.4 </w:t>
      </w:r>
      <w:r>
        <w:rPr>
          <w:rFonts w:hint="eastAsia" w:ascii="宋体" w:hAnsi="宋体"/>
        </w:rPr>
        <w:t>单位负责人为同一人或者存在控股、管理关系的不同单位，不得同时参加本招标项目投标。</w:t>
      </w:r>
    </w:p>
    <w:p>
      <w:pPr>
        <w:pStyle w:val="6"/>
        <w:pageBreakBefore w:val="0"/>
        <w:widowControl w:val="0"/>
        <w:kinsoku/>
        <w:wordWrap/>
        <w:overflowPunct/>
        <w:topLinePunct w:val="0"/>
        <w:bidi w:val="0"/>
        <w:snapToGrid/>
        <w:spacing w:line="360" w:lineRule="auto"/>
        <w:textAlignment w:val="auto"/>
      </w:pPr>
      <w:bookmarkStart w:id="97" w:name="_1.4_投标人资格要求（适用于未进行资格预审的）"/>
      <w:bookmarkEnd w:id="97"/>
      <w:bookmarkStart w:id="98" w:name="_1.5_费用承担"/>
      <w:bookmarkEnd w:id="98"/>
      <w:bookmarkStart w:id="99" w:name="_Toc266951046"/>
      <w:r>
        <w:rPr>
          <w:rFonts w:cs="TimesNewRomanPSMT"/>
        </w:rPr>
        <w:t xml:space="preserve">1.5 </w:t>
      </w:r>
      <w:r>
        <w:rPr>
          <w:rFonts w:hint="eastAsia"/>
        </w:rPr>
        <w:t>费用承担</w:t>
      </w:r>
      <w:bookmarkEnd w:id="99"/>
    </w:p>
    <w:p>
      <w:pPr>
        <w:pageBreakBefore w:val="0"/>
        <w:widowControl w:val="0"/>
        <w:kinsoku/>
        <w:wordWrap/>
        <w:overflowPunct/>
        <w:topLinePunct w:val="0"/>
        <w:bidi w:val="0"/>
        <w:snapToGrid/>
        <w:spacing w:line="360" w:lineRule="auto"/>
        <w:ind w:firstLine="420" w:firstLineChars="200"/>
        <w:textAlignment w:val="auto"/>
      </w:pPr>
      <w:r>
        <w:rPr>
          <w:rFonts w:hint="eastAsia" w:ascii="宋体" w:hAnsi="宋体" w:cs="Arial"/>
          <w:szCs w:val="21"/>
        </w:rPr>
        <w:t>投标人准备和参加投标活动所发生的费用自理。</w:t>
      </w:r>
    </w:p>
    <w:p>
      <w:pPr>
        <w:pStyle w:val="6"/>
        <w:pageBreakBefore w:val="0"/>
        <w:widowControl w:val="0"/>
        <w:kinsoku/>
        <w:wordWrap/>
        <w:overflowPunct/>
        <w:topLinePunct w:val="0"/>
        <w:bidi w:val="0"/>
        <w:snapToGrid/>
        <w:spacing w:line="360" w:lineRule="auto"/>
        <w:textAlignment w:val="auto"/>
        <w:rPr>
          <w:rFonts w:cs="黑体"/>
        </w:rPr>
      </w:pPr>
      <w:bookmarkStart w:id="100" w:name="_1.6_保密"/>
      <w:bookmarkEnd w:id="100"/>
      <w:bookmarkStart w:id="101" w:name="_Toc266951047"/>
      <w:r>
        <w:t xml:space="preserve">1.6 </w:t>
      </w:r>
      <w:r>
        <w:rPr>
          <w:rFonts w:hint="eastAsia" w:cs="黑体"/>
        </w:rPr>
        <w:t>保密</w:t>
      </w:r>
      <w:bookmarkEnd w:id="101"/>
    </w:p>
    <w:p>
      <w:pPr>
        <w:pageBreakBefore w:val="0"/>
        <w:widowControl w:val="0"/>
        <w:kinsoku/>
        <w:wordWrap/>
        <w:overflowPunct/>
        <w:topLinePunct w:val="0"/>
        <w:autoSpaceDE w:val="0"/>
        <w:autoSpaceDN w:val="0"/>
        <w:bidi w:val="0"/>
        <w:adjustRightInd w:val="0"/>
        <w:snapToGrid/>
        <w:spacing w:line="360" w:lineRule="auto"/>
        <w:ind w:firstLine="315" w:firstLineChars="150"/>
        <w:jc w:val="left"/>
        <w:textAlignment w:val="auto"/>
        <w:rPr>
          <w:rFonts w:ascii="宋体" w:cs="仿宋_GB2312"/>
          <w:kern w:val="0"/>
          <w:szCs w:val="21"/>
        </w:rPr>
      </w:pPr>
      <w:r>
        <w:rPr>
          <w:rFonts w:hint="eastAsia" w:ascii="宋体" w:hAnsi="宋体" w:cs="仿宋_GB2312"/>
          <w:kern w:val="0"/>
          <w:szCs w:val="21"/>
        </w:rPr>
        <w:t>参与招标投标活动的各方应对招标文件和投标文件中的商业和技术等秘密保密，违者应对由此造成的后果承担法律责任。</w:t>
      </w:r>
    </w:p>
    <w:p>
      <w:pPr>
        <w:pStyle w:val="6"/>
        <w:pageBreakBefore w:val="0"/>
        <w:widowControl w:val="0"/>
        <w:kinsoku/>
        <w:wordWrap/>
        <w:overflowPunct/>
        <w:topLinePunct w:val="0"/>
        <w:bidi w:val="0"/>
        <w:snapToGrid/>
        <w:spacing w:line="360" w:lineRule="auto"/>
        <w:textAlignment w:val="auto"/>
      </w:pPr>
      <w:bookmarkStart w:id="102" w:name="_1.7_语言文字"/>
      <w:bookmarkEnd w:id="102"/>
      <w:bookmarkStart w:id="103" w:name="_Toc266951048"/>
      <w:r>
        <w:rPr>
          <w:rFonts w:cs="TimesNewRomanPSMT"/>
        </w:rPr>
        <w:t xml:space="preserve">1.7 </w:t>
      </w:r>
      <w:r>
        <w:rPr>
          <w:rFonts w:hint="eastAsia"/>
        </w:rPr>
        <w:t>语言文字</w:t>
      </w:r>
      <w:bookmarkEnd w:id="103"/>
    </w:p>
    <w:p>
      <w:pPr>
        <w:pageBreakBefore w:val="0"/>
        <w:widowControl w:val="0"/>
        <w:kinsoku/>
        <w:wordWrap/>
        <w:overflowPunct/>
        <w:topLinePunct w:val="0"/>
        <w:autoSpaceDE w:val="0"/>
        <w:autoSpaceDN w:val="0"/>
        <w:bidi w:val="0"/>
        <w:adjustRightInd w:val="0"/>
        <w:snapToGrid/>
        <w:spacing w:line="360" w:lineRule="auto"/>
        <w:ind w:firstLine="315" w:firstLineChars="150"/>
        <w:jc w:val="left"/>
        <w:textAlignment w:val="auto"/>
        <w:rPr>
          <w:rFonts w:ascii="宋体" w:cs="仿宋_GB2312"/>
          <w:kern w:val="0"/>
          <w:szCs w:val="21"/>
        </w:rPr>
      </w:pPr>
      <w:r>
        <w:rPr>
          <w:rFonts w:hint="eastAsia" w:ascii="宋体" w:hAnsi="宋体" w:cs="仿宋_GB2312"/>
          <w:kern w:val="0"/>
          <w:szCs w:val="21"/>
        </w:rPr>
        <w:t>除专用术语外，与招标投标有关的语言均使用中文。必要时专用术语应附有中文注释。</w:t>
      </w:r>
    </w:p>
    <w:p>
      <w:pPr>
        <w:pStyle w:val="6"/>
        <w:pageBreakBefore w:val="0"/>
        <w:widowControl w:val="0"/>
        <w:kinsoku/>
        <w:wordWrap/>
        <w:overflowPunct/>
        <w:topLinePunct w:val="0"/>
        <w:bidi w:val="0"/>
        <w:snapToGrid/>
        <w:spacing w:line="360" w:lineRule="auto"/>
        <w:textAlignment w:val="auto"/>
      </w:pPr>
      <w:bookmarkStart w:id="104" w:name="_1.8_计量单位"/>
      <w:bookmarkEnd w:id="104"/>
      <w:bookmarkStart w:id="105" w:name="_Toc266951049"/>
      <w:r>
        <w:rPr>
          <w:rFonts w:cs="TimesNewRomanPSMT"/>
        </w:rPr>
        <w:t xml:space="preserve">1.8 </w:t>
      </w:r>
      <w:r>
        <w:rPr>
          <w:rFonts w:hint="eastAsia"/>
        </w:rPr>
        <w:t>计量单位</w:t>
      </w:r>
      <w:bookmarkEnd w:id="105"/>
    </w:p>
    <w:p>
      <w:pPr>
        <w:pageBreakBefore w:val="0"/>
        <w:widowControl w:val="0"/>
        <w:kinsoku/>
        <w:wordWrap/>
        <w:overflowPunct/>
        <w:topLinePunct w:val="0"/>
        <w:autoSpaceDE w:val="0"/>
        <w:autoSpaceDN w:val="0"/>
        <w:bidi w:val="0"/>
        <w:adjustRightInd w:val="0"/>
        <w:snapToGrid/>
        <w:spacing w:line="360" w:lineRule="auto"/>
        <w:ind w:firstLine="315" w:firstLineChars="150"/>
        <w:jc w:val="left"/>
        <w:textAlignment w:val="auto"/>
        <w:rPr>
          <w:rFonts w:ascii="宋体" w:cs="仿宋_GB2312"/>
          <w:kern w:val="0"/>
          <w:szCs w:val="21"/>
        </w:rPr>
      </w:pPr>
      <w:r>
        <w:rPr>
          <w:rFonts w:hint="eastAsia" w:ascii="宋体" w:hAnsi="宋体" w:cs="仿宋_GB2312"/>
          <w:kern w:val="0"/>
          <w:szCs w:val="21"/>
        </w:rPr>
        <w:t>所有计量均采用中华人民共和国法定计量单位。</w:t>
      </w:r>
    </w:p>
    <w:p>
      <w:pPr>
        <w:pStyle w:val="6"/>
        <w:pageBreakBefore w:val="0"/>
        <w:widowControl w:val="0"/>
        <w:kinsoku/>
        <w:wordWrap/>
        <w:overflowPunct/>
        <w:topLinePunct w:val="0"/>
        <w:bidi w:val="0"/>
        <w:snapToGrid/>
        <w:spacing w:line="360" w:lineRule="auto"/>
        <w:textAlignment w:val="auto"/>
      </w:pPr>
      <w:bookmarkStart w:id="106" w:name="_1.9_踏勘现场"/>
      <w:bookmarkEnd w:id="106"/>
      <w:bookmarkStart w:id="107" w:name="_Toc266951050"/>
      <w:r>
        <w:rPr>
          <w:rFonts w:cs="TimesNewRomanPSMT"/>
        </w:rPr>
        <w:t xml:space="preserve">1.9 </w:t>
      </w:r>
      <w:r>
        <w:rPr>
          <w:rFonts w:hint="eastAsia"/>
        </w:rPr>
        <w:t>踏勘现场</w:t>
      </w:r>
      <w:bookmarkEnd w:id="107"/>
    </w:p>
    <w:p>
      <w:pPr>
        <w:pageBreakBefore w:val="0"/>
        <w:widowControl w:val="0"/>
        <w:kinsoku/>
        <w:wordWrap/>
        <w:overflowPunct/>
        <w:topLinePunct w:val="0"/>
        <w:autoSpaceDE w:val="0"/>
        <w:autoSpaceDN w:val="0"/>
        <w:bidi w:val="0"/>
        <w:adjustRightInd w:val="0"/>
        <w:snapToGrid/>
        <w:spacing w:line="360" w:lineRule="auto"/>
        <w:ind w:firstLine="315" w:firstLineChars="150"/>
        <w:jc w:val="left"/>
        <w:textAlignment w:val="auto"/>
        <w:rPr>
          <w:rFonts w:ascii="宋体" w:cs="仿宋_GB2312"/>
          <w:kern w:val="0"/>
          <w:szCs w:val="21"/>
        </w:rPr>
      </w:pPr>
      <w:r>
        <w:rPr>
          <w:rFonts w:ascii="宋体" w:hAnsi="宋体" w:cs="TimesNewRomanPSMT"/>
          <w:kern w:val="0"/>
          <w:szCs w:val="21"/>
        </w:rPr>
        <w:t xml:space="preserve">1.9.1 </w:t>
      </w:r>
      <w:r>
        <w:fldChar w:fldCharType="begin"/>
      </w:r>
      <w:r>
        <w:instrText xml:space="preserve"> HYPERLINK "file:///H:\\泰州招标文件范本\\泰州市房屋建筑和市政工程施工2016.4.docx" \l "_踏勘现场" </w:instrText>
      </w:r>
      <w:r>
        <w:fldChar w:fldCharType="separate"/>
      </w:r>
      <w:r>
        <w:rPr>
          <w:rStyle w:val="18"/>
          <w:rFonts w:hint="eastAsia" w:ascii="宋体" w:hAnsi="宋体" w:cs="仿宋_GB2312"/>
          <w:color w:val="auto"/>
          <w:szCs w:val="21"/>
        </w:rPr>
        <w:t>投标人须知前附表</w:t>
      </w:r>
      <w:r>
        <w:rPr>
          <w:rStyle w:val="18"/>
          <w:rFonts w:hint="eastAsia" w:ascii="宋体" w:hAnsi="宋体" w:cs="仿宋_GB2312"/>
          <w:color w:val="auto"/>
          <w:szCs w:val="21"/>
        </w:rPr>
        <w:fldChar w:fldCharType="end"/>
      </w:r>
      <w:r>
        <w:rPr>
          <w:rFonts w:hint="eastAsia" w:ascii="宋体" w:hAnsi="宋体" w:cs="仿宋_GB2312"/>
          <w:kern w:val="0"/>
          <w:szCs w:val="21"/>
        </w:rPr>
        <w:t>规定组织踏勘现场的，招标人按</w:t>
      </w:r>
      <w:r>
        <w:fldChar w:fldCharType="begin"/>
      </w:r>
      <w:r>
        <w:instrText xml:space="preserve"> HYPERLINK "file:///H:\\泰州招标文件范本\\泰州市房屋建筑和市政工程施工2016.4.docx" \l "_踏勘现场" </w:instrText>
      </w:r>
      <w:r>
        <w:fldChar w:fldCharType="separate"/>
      </w:r>
      <w:r>
        <w:rPr>
          <w:rStyle w:val="18"/>
          <w:rFonts w:hint="eastAsia" w:ascii="宋体" w:hAnsi="宋体" w:cs="仿宋_GB2312"/>
          <w:color w:val="auto"/>
          <w:szCs w:val="21"/>
        </w:rPr>
        <w:t>投标人须知前附表</w:t>
      </w:r>
      <w:r>
        <w:rPr>
          <w:rStyle w:val="18"/>
          <w:rFonts w:hint="eastAsia" w:ascii="宋体" w:hAnsi="宋体" w:cs="仿宋_GB2312"/>
          <w:color w:val="auto"/>
          <w:szCs w:val="21"/>
        </w:rPr>
        <w:fldChar w:fldCharType="end"/>
      </w:r>
      <w:r>
        <w:rPr>
          <w:rFonts w:hint="eastAsia" w:ascii="宋体" w:hAnsi="宋体" w:cs="仿宋_GB2312"/>
          <w:kern w:val="0"/>
          <w:szCs w:val="21"/>
        </w:rPr>
        <w:t>规定的时间、地点组织投标人踏勘项目现场。</w:t>
      </w:r>
    </w:p>
    <w:p>
      <w:pPr>
        <w:pageBreakBefore w:val="0"/>
        <w:widowControl w:val="0"/>
        <w:kinsoku/>
        <w:wordWrap/>
        <w:overflowPunct/>
        <w:topLinePunct w:val="0"/>
        <w:autoSpaceDE w:val="0"/>
        <w:autoSpaceDN w:val="0"/>
        <w:bidi w:val="0"/>
        <w:adjustRightInd w:val="0"/>
        <w:snapToGrid/>
        <w:spacing w:line="360" w:lineRule="auto"/>
        <w:ind w:firstLine="315" w:firstLineChars="150"/>
        <w:jc w:val="left"/>
        <w:textAlignment w:val="auto"/>
        <w:rPr>
          <w:rFonts w:ascii="宋体" w:cs="仿宋_GB2312"/>
          <w:kern w:val="0"/>
          <w:szCs w:val="21"/>
        </w:rPr>
      </w:pPr>
      <w:r>
        <w:rPr>
          <w:rFonts w:ascii="宋体" w:hAnsi="宋体" w:cs="TimesNewRomanPSMT"/>
          <w:kern w:val="0"/>
          <w:szCs w:val="21"/>
        </w:rPr>
        <w:t xml:space="preserve">1.9.2 </w:t>
      </w:r>
      <w:r>
        <w:rPr>
          <w:rFonts w:hint="eastAsia" w:ascii="宋体" w:hAnsi="宋体" w:cs="仿宋_GB2312"/>
          <w:kern w:val="0"/>
          <w:szCs w:val="21"/>
        </w:rPr>
        <w:t>投标人踏勘现场发生的费用自理。</w:t>
      </w:r>
    </w:p>
    <w:p>
      <w:pPr>
        <w:pageBreakBefore w:val="0"/>
        <w:widowControl w:val="0"/>
        <w:kinsoku/>
        <w:wordWrap/>
        <w:overflowPunct/>
        <w:topLinePunct w:val="0"/>
        <w:autoSpaceDE w:val="0"/>
        <w:autoSpaceDN w:val="0"/>
        <w:bidi w:val="0"/>
        <w:adjustRightInd w:val="0"/>
        <w:snapToGrid/>
        <w:spacing w:line="360" w:lineRule="auto"/>
        <w:ind w:firstLine="315" w:firstLineChars="150"/>
        <w:jc w:val="left"/>
        <w:textAlignment w:val="auto"/>
        <w:rPr>
          <w:rFonts w:ascii="宋体" w:cs="仿宋_GB2312"/>
          <w:kern w:val="0"/>
          <w:szCs w:val="21"/>
        </w:rPr>
      </w:pPr>
      <w:r>
        <w:rPr>
          <w:rFonts w:ascii="宋体" w:hAnsi="宋体" w:cs="TimesNewRomanPSMT"/>
          <w:kern w:val="0"/>
          <w:szCs w:val="21"/>
        </w:rPr>
        <w:t xml:space="preserve">1.9.3 </w:t>
      </w:r>
      <w:r>
        <w:rPr>
          <w:rFonts w:hint="eastAsia" w:ascii="宋体" w:hAnsi="宋体" w:cs="仿宋_GB2312"/>
          <w:kern w:val="0"/>
          <w:szCs w:val="21"/>
        </w:rPr>
        <w:t>除招标人的原因外，投标人自行负责在踏勘现场中所发生的人员伤亡和财产损失。</w:t>
      </w:r>
    </w:p>
    <w:p>
      <w:pPr>
        <w:pageBreakBefore w:val="0"/>
        <w:widowControl w:val="0"/>
        <w:kinsoku/>
        <w:wordWrap/>
        <w:overflowPunct/>
        <w:topLinePunct w:val="0"/>
        <w:autoSpaceDE w:val="0"/>
        <w:autoSpaceDN w:val="0"/>
        <w:bidi w:val="0"/>
        <w:adjustRightInd w:val="0"/>
        <w:snapToGrid/>
        <w:spacing w:line="360" w:lineRule="auto"/>
        <w:ind w:firstLine="315" w:firstLineChars="150"/>
        <w:jc w:val="left"/>
        <w:textAlignment w:val="auto"/>
        <w:rPr>
          <w:rFonts w:ascii="宋体" w:cs="仿宋_GB2312"/>
          <w:kern w:val="0"/>
          <w:szCs w:val="21"/>
        </w:rPr>
      </w:pPr>
      <w:r>
        <w:rPr>
          <w:rFonts w:ascii="宋体" w:hAnsi="宋体" w:cs="TimesNewRomanPSMT"/>
          <w:kern w:val="0"/>
          <w:szCs w:val="21"/>
        </w:rPr>
        <w:t xml:space="preserve">1.9.4 </w:t>
      </w:r>
      <w:r>
        <w:rPr>
          <w:rFonts w:hint="eastAsia" w:ascii="宋体" w:hAnsi="宋体" w:cs="仿宋_GB2312"/>
          <w:kern w:val="0"/>
          <w:szCs w:val="21"/>
        </w:rPr>
        <w:t>招标人在踏勘现场中介绍的工程场地和相关的周边环境情况，供投标人在编制投标文件时参考，招标人不对投标人据此做出的判断和决策负责。</w:t>
      </w:r>
    </w:p>
    <w:p>
      <w:pPr>
        <w:pStyle w:val="6"/>
        <w:pageBreakBefore w:val="0"/>
        <w:widowControl w:val="0"/>
        <w:kinsoku/>
        <w:wordWrap/>
        <w:overflowPunct/>
        <w:topLinePunct w:val="0"/>
        <w:bidi w:val="0"/>
        <w:snapToGrid/>
        <w:spacing w:line="360" w:lineRule="auto"/>
        <w:textAlignment w:val="auto"/>
      </w:pPr>
      <w:bookmarkStart w:id="108" w:name="_1.10_投标预备会"/>
      <w:bookmarkEnd w:id="108"/>
      <w:bookmarkStart w:id="109" w:name="_Toc266951051"/>
      <w:r>
        <w:rPr>
          <w:rFonts w:cs="TimesNewRomanPSMT"/>
        </w:rPr>
        <w:t xml:space="preserve">1.10 </w:t>
      </w:r>
      <w:r>
        <w:rPr>
          <w:rFonts w:hint="eastAsia"/>
        </w:rPr>
        <w:t>投标预备会</w:t>
      </w:r>
      <w:bookmarkEnd w:id="109"/>
    </w:p>
    <w:p>
      <w:pPr>
        <w:pageBreakBefore w:val="0"/>
        <w:widowControl w:val="0"/>
        <w:kinsoku/>
        <w:wordWrap/>
        <w:overflowPunct/>
        <w:topLinePunct w:val="0"/>
        <w:autoSpaceDE w:val="0"/>
        <w:autoSpaceDN w:val="0"/>
        <w:bidi w:val="0"/>
        <w:adjustRightInd w:val="0"/>
        <w:snapToGrid/>
        <w:spacing w:line="360" w:lineRule="auto"/>
        <w:ind w:firstLine="315" w:firstLineChars="150"/>
        <w:jc w:val="left"/>
        <w:textAlignment w:val="auto"/>
        <w:rPr>
          <w:rFonts w:ascii="宋体" w:cs="仿宋_GB2312"/>
          <w:kern w:val="0"/>
          <w:szCs w:val="21"/>
        </w:rPr>
      </w:pPr>
      <w:r>
        <w:rPr>
          <w:rFonts w:ascii="宋体" w:hAnsi="宋体" w:cs="TimesNewRomanPSMT"/>
          <w:kern w:val="0"/>
          <w:szCs w:val="21"/>
        </w:rPr>
        <w:t xml:space="preserve">1.10.1 </w:t>
      </w:r>
      <w:r>
        <w:rPr>
          <w:rFonts w:hint="eastAsia" w:ascii="宋体" w:hAnsi="宋体" w:cs="仿宋_GB2312"/>
          <w:kern w:val="0"/>
          <w:szCs w:val="21"/>
        </w:rPr>
        <w:t>投标人须知前附表规定召开投标预备会的，招标人按</w:t>
      </w:r>
      <w:r>
        <w:fldChar w:fldCharType="begin"/>
      </w:r>
      <w:r>
        <w:instrText xml:space="preserve"> HYPERLINK "file:///H:\\泰州招标文件范本\\泰州市房屋建筑和市政工程施工2016.4.docx" \l "_投标预备会" </w:instrText>
      </w:r>
      <w:r>
        <w:fldChar w:fldCharType="separate"/>
      </w:r>
      <w:r>
        <w:rPr>
          <w:rStyle w:val="18"/>
          <w:rFonts w:hint="eastAsia" w:ascii="宋体" w:hAnsi="宋体" w:cs="仿宋_GB2312"/>
          <w:color w:val="auto"/>
          <w:szCs w:val="21"/>
        </w:rPr>
        <w:t>投标人须知前附表</w:t>
      </w:r>
      <w:r>
        <w:rPr>
          <w:rStyle w:val="18"/>
          <w:rFonts w:hint="eastAsia" w:ascii="宋体" w:hAnsi="宋体" w:cs="仿宋_GB2312"/>
          <w:color w:val="auto"/>
          <w:szCs w:val="21"/>
        </w:rPr>
        <w:fldChar w:fldCharType="end"/>
      </w:r>
      <w:r>
        <w:rPr>
          <w:rFonts w:hint="eastAsia" w:ascii="宋体" w:hAnsi="宋体" w:cs="仿宋_GB2312"/>
          <w:kern w:val="0"/>
          <w:szCs w:val="21"/>
        </w:rPr>
        <w:t>规定的时间和地点召开投标预备会，澄清投标人提出的问题。</w:t>
      </w:r>
    </w:p>
    <w:p>
      <w:pPr>
        <w:pageBreakBefore w:val="0"/>
        <w:widowControl w:val="0"/>
        <w:kinsoku/>
        <w:wordWrap/>
        <w:overflowPunct/>
        <w:topLinePunct w:val="0"/>
        <w:autoSpaceDE w:val="0"/>
        <w:autoSpaceDN w:val="0"/>
        <w:bidi w:val="0"/>
        <w:adjustRightInd w:val="0"/>
        <w:snapToGrid/>
        <w:spacing w:line="360" w:lineRule="auto"/>
        <w:ind w:firstLine="315" w:firstLineChars="150"/>
        <w:jc w:val="left"/>
        <w:textAlignment w:val="auto"/>
        <w:rPr>
          <w:rFonts w:ascii="宋体" w:cs="仿宋_GB2312"/>
          <w:kern w:val="0"/>
          <w:szCs w:val="21"/>
        </w:rPr>
      </w:pPr>
      <w:r>
        <w:rPr>
          <w:rFonts w:ascii="宋体" w:hAnsi="宋体" w:cs="TimesNewRomanPSMT"/>
          <w:kern w:val="0"/>
          <w:szCs w:val="21"/>
        </w:rPr>
        <w:t xml:space="preserve">1.10.2 </w:t>
      </w:r>
      <w:r>
        <w:fldChar w:fldCharType="begin"/>
      </w:r>
      <w:r>
        <w:instrText xml:space="preserve"> HYPERLINK "file:///H:\\泰州招标文件范本\\泰州市房屋建筑和市政工程施工2016.4.docx" \l "_投标预备会" </w:instrText>
      </w:r>
      <w:r>
        <w:fldChar w:fldCharType="separate"/>
      </w:r>
      <w:r>
        <w:rPr>
          <w:rStyle w:val="18"/>
          <w:rFonts w:hint="eastAsia" w:ascii="宋体" w:hAnsi="宋体" w:cs="仿宋_GB2312"/>
          <w:color w:val="auto"/>
          <w:szCs w:val="21"/>
        </w:rPr>
        <w:t>投标人应在投标人须知前附表</w:t>
      </w:r>
      <w:r>
        <w:rPr>
          <w:rStyle w:val="18"/>
          <w:rFonts w:hint="eastAsia" w:ascii="宋体" w:hAnsi="宋体" w:cs="仿宋_GB2312"/>
          <w:color w:val="auto"/>
          <w:szCs w:val="21"/>
        </w:rPr>
        <w:fldChar w:fldCharType="end"/>
      </w:r>
      <w:r>
        <w:rPr>
          <w:rFonts w:hint="eastAsia" w:ascii="宋体" w:hAnsi="宋体" w:cs="仿宋_GB2312"/>
          <w:kern w:val="0"/>
          <w:szCs w:val="21"/>
        </w:rPr>
        <w:t>规定的时间前，以书面形式将提出的问题通知招标人，以便招标人在会议期间澄清。</w:t>
      </w:r>
    </w:p>
    <w:p>
      <w:pPr>
        <w:pageBreakBefore w:val="0"/>
        <w:widowControl w:val="0"/>
        <w:kinsoku/>
        <w:wordWrap/>
        <w:overflowPunct/>
        <w:topLinePunct w:val="0"/>
        <w:autoSpaceDE w:val="0"/>
        <w:autoSpaceDN w:val="0"/>
        <w:bidi w:val="0"/>
        <w:adjustRightInd w:val="0"/>
        <w:snapToGrid/>
        <w:spacing w:line="360" w:lineRule="auto"/>
        <w:ind w:firstLine="315" w:firstLineChars="150"/>
        <w:jc w:val="left"/>
        <w:textAlignment w:val="auto"/>
        <w:rPr>
          <w:rFonts w:ascii="宋体" w:cs="仿宋_GB2312"/>
          <w:kern w:val="0"/>
          <w:szCs w:val="21"/>
        </w:rPr>
      </w:pPr>
      <w:r>
        <w:rPr>
          <w:rFonts w:ascii="宋体" w:hAnsi="宋体" w:cs="仿宋_GB2312"/>
          <w:kern w:val="0"/>
          <w:szCs w:val="21"/>
        </w:rPr>
        <w:t xml:space="preserve">1.10.3 </w:t>
      </w:r>
      <w:r>
        <w:rPr>
          <w:rFonts w:hint="eastAsia" w:ascii="宋体" w:hAnsi="宋体" w:cs="仿宋_GB2312"/>
          <w:kern w:val="0"/>
          <w:szCs w:val="21"/>
        </w:rPr>
        <w:t>投标预备会后，招标人在投标须知前附表规定的时间内，将对投标人所提问题的澄清，以书面的方式通知所有购买招标文件的投标人。该澄清内容为招标文件的组成部分。</w:t>
      </w:r>
    </w:p>
    <w:p>
      <w:pPr>
        <w:pStyle w:val="6"/>
        <w:pageBreakBefore w:val="0"/>
        <w:widowControl w:val="0"/>
        <w:kinsoku/>
        <w:wordWrap/>
        <w:overflowPunct/>
        <w:topLinePunct w:val="0"/>
        <w:bidi w:val="0"/>
        <w:snapToGrid/>
        <w:spacing w:line="360" w:lineRule="auto"/>
        <w:textAlignment w:val="auto"/>
        <w:rPr>
          <w:rFonts w:cs="黑体"/>
        </w:rPr>
      </w:pPr>
      <w:bookmarkStart w:id="110" w:name="_1.11_分包"/>
      <w:bookmarkEnd w:id="110"/>
      <w:bookmarkStart w:id="111" w:name="_Toc266951052"/>
      <w:r>
        <w:t xml:space="preserve">1.11 </w:t>
      </w:r>
      <w:r>
        <w:rPr>
          <w:rFonts w:hint="eastAsia" w:cs="黑体"/>
        </w:rPr>
        <w:t>分包</w:t>
      </w:r>
      <w:bookmarkEnd w:id="111"/>
    </w:p>
    <w:p>
      <w:pPr>
        <w:pageBreakBefore w:val="0"/>
        <w:widowControl w:val="0"/>
        <w:kinsoku/>
        <w:wordWrap/>
        <w:overflowPunct/>
        <w:topLinePunct w:val="0"/>
        <w:autoSpaceDE w:val="0"/>
        <w:autoSpaceDN w:val="0"/>
        <w:bidi w:val="0"/>
        <w:adjustRightInd w:val="0"/>
        <w:snapToGrid/>
        <w:spacing w:line="360" w:lineRule="auto"/>
        <w:ind w:firstLine="315" w:firstLineChars="150"/>
        <w:jc w:val="left"/>
        <w:textAlignment w:val="auto"/>
        <w:rPr>
          <w:rFonts w:ascii="宋体" w:cs="仿宋_GB2312"/>
          <w:kern w:val="0"/>
          <w:szCs w:val="21"/>
        </w:rPr>
      </w:pPr>
      <w:r>
        <w:rPr>
          <w:rFonts w:ascii="宋体" w:hAnsi="宋体" w:cs="仿宋_GB2312"/>
          <w:kern w:val="0"/>
          <w:szCs w:val="21"/>
        </w:rPr>
        <w:t>1.11.1</w:t>
      </w:r>
      <w:r>
        <w:rPr>
          <w:rFonts w:hint="eastAsia" w:ascii="宋体" w:hAnsi="宋体" w:cs="仿宋_GB2312"/>
          <w:kern w:val="0"/>
          <w:szCs w:val="21"/>
        </w:rPr>
        <w:t>投标人拟在中标后将中标项目的部分非主体、非关键性工作进行分包的，应符合</w:t>
      </w:r>
      <w:r>
        <w:fldChar w:fldCharType="begin"/>
      </w:r>
      <w:r>
        <w:instrText xml:space="preserve"> HYPERLINK "file:///H:\\泰州招标文件范本\\泰州市房屋建筑和市政工程施工2016.4.docx" \l "_分__包" </w:instrText>
      </w:r>
      <w:r>
        <w:fldChar w:fldCharType="separate"/>
      </w:r>
      <w:r>
        <w:rPr>
          <w:rStyle w:val="18"/>
          <w:rFonts w:hint="eastAsia" w:ascii="宋体" w:hAnsi="宋体" w:cs="仿宋_GB2312"/>
          <w:color w:val="auto"/>
          <w:szCs w:val="21"/>
        </w:rPr>
        <w:t>投标人须知前附表</w:t>
      </w:r>
      <w:r>
        <w:rPr>
          <w:rStyle w:val="18"/>
          <w:rFonts w:hint="eastAsia" w:ascii="宋体" w:hAnsi="宋体" w:cs="仿宋_GB2312"/>
          <w:color w:val="auto"/>
          <w:szCs w:val="21"/>
        </w:rPr>
        <w:fldChar w:fldCharType="end"/>
      </w:r>
      <w:r>
        <w:rPr>
          <w:rFonts w:hint="eastAsia" w:ascii="宋体" w:hAnsi="宋体" w:cs="仿宋_GB2312"/>
          <w:kern w:val="0"/>
          <w:szCs w:val="21"/>
        </w:rPr>
        <w:t>规定的分包内容、分包金额和接受分包（专业分包）的第三人资质要求等限制性条件。</w:t>
      </w:r>
    </w:p>
    <w:p>
      <w:pPr>
        <w:pStyle w:val="6"/>
        <w:pageBreakBefore w:val="0"/>
        <w:widowControl w:val="0"/>
        <w:kinsoku/>
        <w:wordWrap/>
        <w:overflowPunct/>
        <w:topLinePunct w:val="0"/>
        <w:bidi w:val="0"/>
        <w:snapToGrid/>
        <w:spacing w:line="360" w:lineRule="auto"/>
        <w:textAlignment w:val="auto"/>
        <w:rPr>
          <w:rFonts w:cs="黑体"/>
        </w:rPr>
      </w:pPr>
      <w:bookmarkStart w:id="112" w:name="_1.12_偏离"/>
      <w:bookmarkEnd w:id="112"/>
      <w:bookmarkStart w:id="113" w:name="_Toc266951053"/>
      <w:r>
        <w:t xml:space="preserve">1.12 </w:t>
      </w:r>
      <w:r>
        <w:rPr>
          <w:rFonts w:hint="eastAsia" w:cs="黑体"/>
        </w:rPr>
        <w:t>偏离</w:t>
      </w:r>
      <w:bookmarkEnd w:id="113"/>
    </w:p>
    <w:p>
      <w:pPr>
        <w:pageBreakBefore w:val="0"/>
        <w:widowControl w:val="0"/>
        <w:kinsoku/>
        <w:wordWrap/>
        <w:overflowPunct/>
        <w:topLinePunct w:val="0"/>
        <w:autoSpaceDE w:val="0"/>
        <w:autoSpaceDN w:val="0"/>
        <w:bidi w:val="0"/>
        <w:adjustRightInd w:val="0"/>
        <w:snapToGrid/>
        <w:spacing w:line="360" w:lineRule="auto"/>
        <w:ind w:firstLine="315" w:firstLineChars="150"/>
        <w:jc w:val="left"/>
        <w:textAlignment w:val="auto"/>
        <w:rPr>
          <w:rFonts w:ascii="宋体" w:cs="仿宋_GB2312"/>
          <w:kern w:val="0"/>
          <w:szCs w:val="21"/>
        </w:rPr>
      </w:pPr>
      <w:r>
        <w:rPr>
          <w:rFonts w:ascii="宋体" w:hAnsi="宋体" w:cs="仿宋_GB2312"/>
          <w:kern w:val="0"/>
          <w:szCs w:val="21"/>
        </w:rPr>
        <w:t xml:space="preserve">1.12.1 </w:t>
      </w:r>
      <w:r>
        <w:fldChar w:fldCharType="begin"/>
      </w:r>
      <w:r>
        <w:instrText xml:space="preserve"> HYPERLINK "file:///H:\\泰州招标文件范本\\泰州市房屋建筑和市政工程施工2016.4.docx" \l "_偏__离" </w:instrText>
      </w:r>
      <w:r>
        <w:fldChar w:fldCharType="separate"/>
      </w:r>
      <w:r>
        <w:rPr>
          <w:rStyle w:val="18"/>
          <w:rFonts w:hint="eastAsia" w:ascii="宋体" w:hAnsi="宋体" w:cs="仿宋_GB2312"/>
          <w:color w:val="auto"/>
          <w:szCs w:val="21"/>
        </w:rPr>
        <w:t>投标人须知前附表</w:t>
      </w:r>
      <w:r>
        <w:rPr>
          <w:rStyle w:val="18"/>
          <w:rFonts w:hint="eastAsia" w:ascii="宋体" w:hAnsi="宋体" w:cs="仿宋_GB2312"/>
          <w:color w:val="auto"/>
          <w:szCs w:val="21"/>
        </w:rPr>
        <w:fldChar w:fldCharType="end"/>
      </w:r>
      <w:r>
        <w:rPr>
          <w:rFonts w:hint="eastAsia" w:ascii="宋体" w:hAnsi="宋体" w:cs="仿宋_GB2312"/>
          <w:kern w:val="0"/>
          <w:szCs w:val="21"/>
        </w:rPr>
        <w:t>允许投标文件偏离招标文件某些要求的，偏离应当符合招标文件规定</w:t>
      </w:r>
      <w:r>
        <w:rPr>
          <w:rFonts w:hint="eastAsia"/>
          <w:kern w:val="0"/>
        </w:rPr>
        <w:t>的偏离范围和幅度。</w:t>
      </w:r>
    </w:p>
    <w:p>
      <w:pPr>
        <w:pStyle w:val="5"/>
        <w:pageBreakBefore w:val="0"/>
        <w:widowControl w:val="0"/>
        <w:kinsoku/>
        <w:wordWrap/>
        <w:overflowPunct/>
        <w:topLinePunct w:val="0"/>
        <w:bidi w:val="0"/>
        <w:snapToGrid/>
        <w:spacing w:line="360" w:lineRule="auto"/>
        <w:textAlignment w:val="auto"/>
        <w:rPr>
          <w:szCs w:val="28"/>
        </w:rPr>
      </w:pPr>
      <w:bookmarkStart w:id="114" w:name="_Toc275956103"/>
      <w:bookmarkStart w:id="115" w:name="_Toc266951054"/>
      <w:r>
        <w:rPr>
          <w:rFonts w:cs="TimesNewRomanPSMT"/>
        </w:rPr>
        <w:t xml:space="preserve">2. </w:t>
      </w:r>
      <w:r>
        <w:rPr>
          <w:rFonts w:hint="eastAsia"/>
        </w:rPr>
        <w:t>招标文件</w:t>
      </w:r>
      <w:bookmarkEnd w:id="114"/>
      <w:bookmarkEnd w:id="115"/>
    </w:p>
    <w:p>
      <w:pPr>
        <w:pStyle w:val="6"/>
        <w:pageBreakBefore w:val="0"/>
        <w:widowControl w:val="0"/>
        <w:kinsoku/>
        <w:wordWrap/>
        <w:overflowPunct/>
        <w:topLinePunct w:val="0"/>
        <w:bidi w:val="0"/>
        <w:snapToGrid/>
        <w:spacing w:line="360" w:lineRule="auto"/>
        <w:textAlignment w:val="auto"/>
      </w:pPr>
      <w:bookmarkStart w:id="116" w:name="_2.1_招标文件的组成"/>
      <w:bookmarkEnd w:id="116"/>
      <w:bookmarkStart w:id="117" w:name="_Toc266951055"/>
      <w:r>
        <w:t xml:space="preserve">2.1 </w:t>
      </w:r>
      <w:r>
        <w:rPr>
          <w:rFonts w:hint="eastAsia"/>
        </w:rPr>
        <w:t>招标文件的组成</w:t>
      </w:r>
      <w:bookmarkEnd w:id="117"/>
    </w:p>
    <w:p>
      <w:pPr>
        <w:pageBreakBefore w:val="0"/>
        <w:widowControl w:val="0"/>
        <w:kinsoku/>
        <w:wordWrap/>
        <w:overflowPunct/>
        <w:topLinePunct w:val="0"/>
        <w:autoSpaceDE w:val="0"/>
        <w:autoSpaceDN w:val="0"/>
        <w:bidi w:val="0"/>
        <w:adjustRightInd w:val="0"/>
        <w:snapToGrid/>
        <w:spacing w:line="360" w:lineRule="auto"/>
        <w:ind w:firstLine="315" w:firstLineChars="150"/>
        <w:jc w:val="left"/>
        <w:textAlignment w:val="auto"/>
        <w:rPr>
          <w:rFonts w:ascii="宋体" w:cs="仿宋_GB2312"/>
          <w:kern w:val="0"/>
          <w:szCs w:val="21"/>
        </w:rPr>
      </w:pPr>
      <w:r>
        <w:rPr>
          <w:rFonts w:hint="eastAsia" w:ascii="宋体" w:hAnsi="宋体" w:cs="仿宋_GB2312"/>
          <w:kern w:val="0"/>
          <w:szCs w:val="21"/>
        </w:rPr>
        <w:t>本招标文件包括：</w:t>
      </w:r>
    </w:p>
    <w:p>
      <w:pPr>
        <w:pageBreakBefore w:val="0"/>
        <w:widowControl w:val="0"/>
        <w:kinsoku/>
        <w:wordWrap/>
        <w:overflowPunct/>
        <w:topLinePunct w:val="0"/>
        <w:autoSpaceDE w:val="0"/>
        <w:autoSpaceDN w:val="0"/>
        <w:bidi w:val="0"/>
        <w:adjustRightInd w:val="0"/>
        <w:snapToGrid/>
        <w:spacing w:line="360" w:lineRule="auto"/>
        <w:ind w:firstLine="315" w:firstLineChars="150"/>
        <w:jc w:val="left"/>
        <w:textAlignment w:val="auto"/>
        <w:rPr>
          <w:rFonts w:ascii="宋体" w:cs="仿宋_GB2312"/>
          <w:kern w:val="0"/>
          <w:szCs w:val="21"/>
        </w:rPr>
      </w:pPr>
      <w:r>
        <w:rPr>
          <w:rFonts w:hint="eastAsia" w:ascii="宋体" w:hAnsi="宋体" w:cs="仿宋_GB2312"/>
          <w:kern w:val="0"/>
          <w:szCs w:val="21"/>
        </w:rPr>
        <w:t>（</w:t>
      </w:r>
      <w:r>
        <w:rPr>
          <w:rFonts w:ascii="宋体" w:hAnsi="宋体" w:cs="TimesNewRomanPSMT"/>
          <w:kern w:val="0"/>
          <w:szCs w:val="21"/>
        </w:rPr>
        <w:t>1</w:t>
      </w:r>
      <w:r>
        <w:rPr>
          <w:rFonts w:hint="eastAsia" w:ascii="宋体" w:hAnsi="宋体" w:cs="仿宋_GB2312"/>
          <w:kern w:val="0"/>
          <w:szCs w:val="21"/>
        </w:rPr>
        <w:t>）招标公告（或投标邀请书）；</w:t>
      </w:r>
    </w:p>
    <w:p>
      <w:pPr>
        <w:pageBreakBefore w:val="0"/>
        <w:widowControl w:val="0"/>
        <w:kinsoku/>
        <w:wordWrap/>
        <w:overflowPunct/>
        <w:topLinePunct w:val="0"/>
        <w:autoSpaceDE w:val="0"/>
        <w:autoSpaceDN w:val="0"/>
        <w:bidi w:val="0"/>
        <w:adjustRightInd w:val="0"/>
        <w:snapToGrid/>
        <w:spacing w:line="360" w:lineRule="auto"/>
        <w:ind w:firstLine="315" w:firstLineChars="150"/>
        <w:jc w:val="left"/>
        <w:textAlignment w:val="auto"/>
        <w:rPr>
          <w:rFonts w:ascii="宋体" w:cs="仿宋_GB2312"/>
          <w:kern w:val="0"/>
          <w:szCs w:val="21"/>
        </w:rPr>
      </w:pPr>
      <w:r>
        <w:rPr>
          <w:rFonts w:hint="eastAsia" w:ascii="宋体" w:hAnsi="宋体" w:cs="仿宋_GB2312"/>
          <w:kern w:val="0"/>
          <w:szCs w:val="21"/>
        </w:rPr>
        <w:t>（</w:t>
      </w:r>
      <w:r>
        <w:rPr>
          <w:rFonts w:ascii="宋体" w:hAnsi="宋体" w:cs="TimesNewRomanPSMT"/>
          <w:kern w:val="0"/>
          <w:szCs w:val="21"/>
        </w:rPr>
        <w:t>2</w:t>
      </w:r>
      <w:r>
        <w:rPr>
          <w:rFonts w:hint="eastAsia" w:ascii="宋体" w:hAnsi="宋体" w:cs="仿宋_GB2312"/>
          <w:kern w:val="0"/>
          <w:szCs w:val="21"/>
        </w:rPr>
        <w:t>）投标人须知；</w:t>
      </w:r>
    </w:p>
    <w:p>
      <w:pPr>
        <w:pageBreakBefore w:val="0"/>
        <w:widowControl w:val="0"/>
        <w:kinsoku/>
        <w:wordWrap/>
        <w:overflowPunct/>
        <w:topLinePunct w:val="0"/>
        <w:autoSpaceDE w:val="0"/>
        <w:autoSpaceDN w:val="0"/>
        <w:bidi w:val="0"/>
        <w:adjustRightInd w:val="0"/>
        <w:snapToGrid/>
        <w:spacing w:line="360" w:lineRule="auto"/>
        <w:ind w:firstLine="315" w:firstLineChars="150"/>
        <w:jc w:val="left"/>
        <w:textAlignment w:val="auto"/>
        <w:rPr>
          <w:rFonts w:ascii="宋体" w:cs="仿宋_GB2312"/>
          <w:kern w:val="0"/>
          <w:szCs w:val="21"/>
        </w:rPr>
      </w:pPr>
      <w:r>
        <w:rPr>
          <w:rFonts w:hint="eastAsia" w:ascii="宋体" w:hAnsi="宋体" w:cs="仿宋_GB2312"/>
          <w:kern w:val="0"/>
          <w:szCs w:val="21"/>
        </w:rPr>
        <w:t>（</w:t>
      </w:r>
      <w:r>
        <w:rPr>
          <w:rFonts w:ascii="宋体" w:hAnsi="宋体" w:cs="TimesNewRomanPSMT"/>
          <w:kern w:val="0"/>
          <w:szCs w:val="21"/>
        </w:rPr>
        <w:t>3</w:t>
      </w:r>
      <w:r>
        <w:rPr>
          <w:rFonts w:hint="eastAsia" w:ascii="宋体" w:hAnsi="宋体" w:cs="仿宋_GB2312"/>
          <w:kern w:val="0"/>
          <w:szCs w:val="21"/>
        </w:rPr>
        <w:t>）评标办法；</w:t>
      </w:r>
    </w:p>
    <w:p>
      <w:pPr>
        <w:pageBreakBefore w:val="0"/>
        <w:widowControl w:val="0"/>
        <w:kinsoku/>
        <w:wordWrap/>
        <w:overflowPunct/>
        <w:topLinePunct w:val="0"/>
        <w:autoSpaceDE w:val="0"/>
        <w:autoSpaceDN w:val="0"/>
        <w:bidi w:val="0"/>
        <w:adjustRightInd w:val="0"/>
        <w:snapToGrid/>
        <w:spacing w:line="360" w:lineRule="auto"/>
        <w:ind w:firstLine="315" w:firstLineChars="150"/>
        <w:jc w:val="left"/>
        <w:textAlignment w:val="auto"/>
        <w:rPr>
          <w:rFonts w:ascii="宋体" w:cs="仿宋_GB2312"/>
          <w:kern w:val="0"/>
          <w:szCs w:val="21"/>
        </w:rPr>
      </w:pPr>
      <w:r>
        <w:rPr>
          <w:rFonts w:hint="eastAsia" w:ascii="宋体" w:hAnsi="宋体" w:cs="仿宋_GB2312"/>
          <w:kern w:val="0"/>
          <w:szCs w:val="21"/>
        </w:rPr>
        <w:t>（</w:t>
      </w:r>
      <w:r>
        <w:rPr>
          <w:rFonts w:ascii="宋体" w:hAnsi="宋体" w:cs="TimesNewRomanPSMT"/>
          <w:kern w:val="0"/>
          <w:szCs w:val="21"/>
        </w:rPr>
        <w:t>4</w:t>
      </w:r>
      <w:r>
        <w:rPr>
          <w:rFonts w:hint="eastAsia" w:ascii="宋体" w:hAnsi="宋体" w:cs="仿宋_GB2312"/>
          <w:kern w:val="0"/>
          <w:szCs w:val="21"/>
        </w:rPr>
        <w:t>）合同条款及格式；</w:t>
      </w:r>
    </w:p>
    <w:p>
      <w:pPr>
        <w:pageBreakBefore w:val="0"/>
        <w:widowControl w:val="0"/>
        <w:kinsoku/>
        <w:wordWrap/>
        <w:overflowPunct/>
        <w:topLinePunct w:val="0"/>
        <w:autoSpaceDE w:val="0"/>
        <w:autoSpaceDN w:val="0"/>
        <w:bidi w:val="0"/>
        <w:adjustRightInd w:val="0"/>
        <w:snapToGrid/>
        <w:spacing w:line="360" w:lineRule="auto"/>
        <w:ind w:firstLine="315" w:firstLineChars="150"/>
        <w:jc w:val="left"/>
        <w:textAlignment w:val="auto"/>
        <w:rPr>
          <w:rFonts w:ascii="宋体" w:cs="仿宋_GB2312"/>
          <w:kern w:val="0"/>
          <w:szCs w:val="21"/>
        </w:rPr>
      </w:pPr>
      <w:r>
        <w:rPr>
          <w:rFonts w:hint="eastAsia" w:ascii="宋体" w:hAnsi="宋体" w:cs="仿宋_GB2312"/>
          <w:kern w:val="0"/>
          <w:szCs w:val="21"/>
        </w:rPr>
        <w:t>（</w:t>
      </w:r>
      <w:r>
        <w:rPr>
          <w:rFonts w:ascii="宋体" w:hAnsi="宋体" w:cs="TimesNewRomanPSMT"/>
          <w:kern w:val="0"/>
          <w:szCs w:val="21"/>
        </w:rPr>
        <w:t>5</w:t>
      </w:r>
      <w:r>
        <w:rPr>
          <w:rFonts w:hint="eastAsia" w:ascii="宋体" w:hAnsi="宋体" w:cs="仿宋_GB2312"/>
          <w:kern w:val="0"/>
          <w:szCs w:val="21"/>
        </w:rPr>
        <w:t>）工程量清单；</w:t>
      </w:r>
    </w:p>
    <w:p>
      <w:pPr>
        <w:pageBreakBefore w:val="0"/>
        <w:widowControl w:val="0"/>
        <w:kinsoku/>
        <w:wordWrap/>
        <w:overflowPunct/>
        <w:topLinePunct w:val="0"/>
        <w:autoSpaceDE w:val="0"/>
        <w:autoSpaceDN w:val="0"/>
        <w:bidi w:val="0"/>
        <w:adjustRightInd w:val="0"/>
        <w:snapToGrid/>
        <w:spacing w:line="360" w:lineRule="auto"/>
        <w:ind w:firstLine="315" w:firstLineChars="150"/>
        <w:jc w:val="left"/>
        <w:textAlignment w:val="auto"/>
        <w:rPr>
          <w:rFonts w:ascii="宋体" w:cs="仿宋_GB2312"/>
          <w:kern w:val="0"/>
          <w:szCs w:val="21"/>
        </w:rPr>
      </w:pPr>
      <w:r>
        <w:rPr>
          <w:rFonts w:hint="eastAsia" w:ascii="宋体" w:hAnsi="宋体" w:cs="仿宋_GB2312"/>
          <w:kern w:val="0"/>
          <w:szCs w:val="21"/>
        </w:rPr>
        <w:t>（</w:t>
      </w:r>
      <w:r>
        <w:rPr>
          <w:rFonts w:ascii="宋体" w:hAnsi="宋体" w:cs="TimesNewRomanPSMT"/>
          <w:kern w:val="0"/>
          <w:szCs w:val="21"/>
        </w:rPr>
        <w:t>6</w:t>
      </w:r>
      <w:r>
        <w:rPr>
          <w:rFonts w:hint="eastAsia" w:ascii="宋体" w:hAnsi="宋体" w:cs="仿宋_GB2312"/>
          <w:kern w:val="0"/>
          <w:szCs w:val="21"/>
        </w:rPr>
        <w:t>）图纸；</w:t>
      </w:r>
    </w:p>
    <w:p>
      <w:pPr>
        <w:pageBreakBefore w:val="0"/>
        <w:widowControl w:val="0"/>
        <w:kinsoku/>
        <w:wordWrap/>
        <w:overflowPunct/>
        <w:topLinePunct w:val="0"/>
        <w:autoSpaceDE w:val="0"/>
        <w:autoSpaceDN w:val="0"/>
        <w:bidi w:val="0"/>
        <w:adjustRightInd w:val="0"/>
        <w:snapToGrid/>
        <w:spacing w:line="360" w:lineRule="auto"/>
        <w:ind w:firstLine="315" w:firstLineChars="150"/>
        <w:jc w:val="left"/>
        <w:textAlignment w:val="auto"/>
        <w:rPr>
          <w:rFonts w:ascii="宋体" w:cs="仿宋_GB2312"/>
          <w:kern w:val="0"/>
          <w:szCs w:val="21"/>
        </w:rPr>
      </w:pPr>
      <w:r>
        <w:rPr>
          <w:rFonts w:hint="eastAsia" w:ascii="宋体" w:hAnsi="宋体" w:cs="仿宋_GB2312"/>
          <w:kern w:val="0"/>
          <w:szCs w:val="21"/>
        </w:rPr>
        <w:t>（</w:t>
      </w:r>
      <w:r>
        <w:rPr>
          <w:rFonts w:ascii="宋体" w:hAnsi="宋体" w:cs="TimesNewRomanPSMT"/>
          <w:kern w:val="0"/>
          <w:szCs w:val="21"/>
        </w:rPr>
        <w:t>7</w:t>
      </w:r>
      <w:r>
        <w:rPr>
          <w:rFonts w:hint="eastAsia" w:ascii="宋体" w:hAnsi="宋体" w:cs="仿宋_GB2312"/>
          <w:kern w:val="0"/>
          <w:szCs w:val="21"/>
        </w:rPr>
        <w:t>）技术标准和要求；</w:t>
      </w:r>
    </w:p>
    <w:p>
      <w:pPr>
        <w:pageBreakBefore w:val="0"/>
        <w:widowControl w:val="0"/>
        <w:kinsoku/>
        <w:wordWrap/>
        <w:overflowPunct/>
        <w:topLinePunct w:val="0"/>
        <w:autoSpaceDE w:val="0"/>
        <w:autoSpaceDN w:val="0"/>
        <w:bidi w:val="0"/>
        <w:adjustRightInd w:val="0"/>
        <w:snapToGrid/>
        <w:spacing w:line="360" w:lineRule="auto"/>
        <w:ind w:firstLine="315" w:firstLineChars="150"/>
        <w:jc w:val="left"/>
        <w:textAlignment w:val="auto"/>
        <w:rPr>
          <w:rFonts w:ascii="宋体" w:cs="仿宋_GB2312"/>
          <w:kern w:val="0"/>
          <w:szCs w:val="21"/>
        </w:rPr>
      </w:pPr>
      <w:r>
        <w:rPr>
          <w:rFonts w:hint="eastAsia" w:ascii="宋体" w:hAnsi="宋体" w:cs="仿宋_GB2312"/>
          <w:kern w:val="0"/>
          <w:szCs w:val="21"/>
        </w:rPr>
        <w:t>（</w:t>
      </w:r>
      <w:r>
        <w:rPr>
          <w:rFonts w:ascii="宋体" w:hAnsi="宋体" w:cs="TimesNewRomanPSMT"/>
          <w:kern w:val="0"/>
          <w:szCs w:val="21"/>
        </w:rPr>
        <w:t>8</w:t>
      </w:r>
      <w:r>
        <w:rPr>
          <w:rFonts w:hint="eastAsia" w:ascii="宋体" w:hAnsi="宋体" w:cs="仿宋_GB2312"/>
          <w:kern w:val="0"/>
          <w:szCs w:val="21"/>
        </w:rPr>
        <w:t>）投标文件格式；</w:t>
      </w:r>
    </w:p>
    <w:p>
      <w:pPr>
        <w:pageBreakBefore w:val="0"/>
        <w:widowControl w:val="0"/>
        <w:kinsoku/>
        <w:wordWrap/>
        <w:overflowPunct/>
        <w:topLinePunct w:val="0"/>
        <w:autoSpaceDE w:val="0"/>
        <w:autoSpaceDN w:val="0"/>
        <w:bidi w:val="0"/>
        <w:adjustRightInd w:val="0"/>
        <w:snapToGrid/>
        <w:spacing w:line="360" w:lineRule="auto"/>
        <w:ind w:firstLine="315" w:firstLineChars="150"/>
        <w:jc w:val="left"/>
        <w:textAlignment w:val="auto"/>
        <w:rPr>
          <w:rFonts w:ascii="宋体" w:cs="仿宋_GB2312"/>
          <w:kern w:val="0"/>
          <w:szCs w:val="21"/>
        </w:rPr>
      </w:pPr>
      <w:r>
        <w:rPr>
          <w:rFonts w:hint="eastAsia" w:ascii="宋体" w:hAnsi="宋体" w:cs="仿宋_GB2312"/>
          <w:kern w:val="0"/>
          <w:szCs w:val="21"/>
        </w:rPr>
        <w:t>（</w:t>
      </w:r>
      <w:r>
        <w:rPr>
          <w:rFonts w:ascii="宋体" w:hAnsi="宋体" w:cs="TimesNewRomanPSMT"/>
          <w:kern w:val="0"/>
          <w:szCs w:val="21"/>
        </w:rPr>
        <w:t>9</w:t>
      </w:r>
      <w:r>
        <w:rPr>
          <w:rFonts w:hint="eastAsia" w:ascii="宋体" w:hAnsi="宋体" w:cs="仿宋_GB2312"/>
          <w:kern w:val="0"/>
          <w:szCs w:val="21"/>
        </w:rPr>
        <w:t>）</w:t>
      </w:r>
      <w:r>
        <w:fldChar w:fldCharType="begin"/>
      </w:r>
      <w:r>
        <w:instrText xml:space="preserve"> HYPERLINK "file:///H:\\泰州招标文件范本\\泰州市房屋建筑和市政工程施工2016.4.docx" \l "_招标文件的组成" </w:instrText>
      </w:r>
      <w:r>
        <w:fldChar w:fldCharType="separate"/>
      </w:r>
      <w:r>
        <w:rPr>
          <w:rStyle w:val="18"/>
          <w:rFonts w:hint="eastAsia" w:ascii="宋体" w:hAnsi="宋体" w:cs="仿宋_GB2312"/>
          <w:color w:val="auto"/>
          <w:szCs w:val="21"/>
        </w:rPr>
        <w:t>投标人须知前附表</w:t>
      </w:r>
      <w:r>
        <w:rPr>
          <w:rStyle w:val="18"/>
          <w:rFonts w:hint="eastAsia" w:ascii="宋体" w:hAnsi="宋体" w:cs="仿宋_GB2312"/>
          <w:color w:val="auto"/>
          <w:szCs w:val="21"/>
        </w:rPr>
        <w:fldChar w:fldCharType="end"/>
      </w:r>
      <w:r>
        <w:rPr>
          <w:rFonts w:hint="eastAsia" w:ascii="宋体" w:hAnsi="宋体" w:cs="仿宋_GB2312"/>
          <w:kern w:val="0"/>
          <w:szCs w:val="21"/>
        </w:rPr>
        <w:t>规定的其他材料。</w:t>
      </w:r>
    </w:p>
    <w:p>
      <w:pPr>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cs="仿宋_GB2312"/>
          <w:kern w:val="0"/>
          <w:szCs w:val="21"/>
        </w:rPr>
      </w:pPr>
      <w:r>
        <w:rPr>
          <w:rFonts w:hint="eastAsia" w:ascii="宋体" w:hAnsi="宋体" w:cs="仿宋_GB2312"/>
          <w:kern w:val="0"/>
          <w:szCs w:val="21"/>
        </w:rPr>
        <w:t>根据本章</w:t>
      </w:r>
      <w:r>
        <w:fldChar w:fldCharType="begin"/>
      </w:r>
      <w:r>
        <w:instrText xml:space="preserve"> HYPERLINK "file:///H:\\泰州招标文件范本\\泰州市房屋建筑和市政工程施工2016.4.docx" \l "_1.10_投标预备会" </w:instrText>
      </w:r>
      <w:r>
        <w:fldChar w:fldCharType="separate"/>
      </w:r>
      <w:r>
        <w:rPr>
          <w:rStyle w:val="18"/>
          <w:rFonts w:hint="eastAsia" w:ascii="宋体" w:hAnsi="宋体" w:cs="仿宋_GB2312"/>
          <w:color w:val="auto"/>
          <w:szCs w:val="21"/>
        </w:rPr>
        <w:t>第</w:t>
      </w:r>
      <w:r>
        <w:rPr>
          <w:rStyle w:val="18"/>
          <w:rFonts w:ascii="宋体" w:hAnsi="宋体" w:cs="TimesNewRomanPSMT"/>
          <w:color w:val="auto"/>
          <w:szCs w:val="21"/>
        </w:rPr>
        <w:t>1.10</w:t>
      </w:r>
      <w:r>
        <w:rPr>
          <w:rStyle w:val="18"/>
          <w:rFonts w:hint="eastAsia" w:ascii="宋体" w:hAnsi="宋体" w:cs="仿宋_GB2312"/>
          <w:color w:val="auto"/>
          <w:szCs w:val="21"/>
        </w:rPr>
        <w:t>款</w:t>
      </w:r>
      <w:r>
        <w:rPr>
          <w:rStyle w:val="18"/>
          <w:rFonts w:hint="eastAsia" w:ascii="宋体" w:hAnsi="宋体" w:cs="仿宋_GB2312"/>
          <w:color w:val="auto"/>
          <w:szCs w:val="21"/>
        </w:rPr>
        <w:fldChar w:fldCharType="end"/>
      </w:r>
      <w:r>
        <w:rPr>
          <w:rFonts w:hint="eastAsia" w:ascii="宋体" w:hAnsi="宋体" w:cs="仿宋_GB2312"/>
          <w:kern w:val="0"/>
          <w:szCs w:val="21"/>
        </w:rPr>
        <w:t>、</w:t>
      </w:r>
      <w:r>
        <w:fldChar w:fldCharType="begin"/>
      </w:r>
      <w:r>
        <w:instrText xml:space="preserve"> HYPERLINK "file:///H:\\泰州招标文件范本\\泰州市房屋建筑和市政工程施工2016.4.docx" \l "_2.2_招标文件的澄清（适用于纸质招标文件）" </w:instrText>
      </w:r>
      <w:r>
        <w:fldChar w:fldCharType="separate"/>
      </w:r>
      <w:r>
        <w:rPr>
          <w:rStyle w:val="18"/>
          <w:rFonts w:hint="eastAsia" w:ascii="宋体" w:hAnsi="宋体" w:cs="仿宋_GB2312"/>
          <w:color w:val="auto"/>
          <w:szCs w:val="21"/>
        </w:rPr>
        <w:t>第</w:t>
      </w:r>
      <w:r>
        <w:rPr>
          <w:rStyle w:val="18"/>
          <w:rFonts w:ascii="宋体" w:hAnsi="宋体" w:cs="TimesNewRomanPSMT"/>
          <w:color w:val="auto"/>
          <w:szCs w:val="21"/>
        </w:rPr>
        <w:t>2.2</w:t>
      </w:r>
      <w:r>
        <w:rPr>
          <w:rStyle w:val="18"/>
          <w:rFonts w:hint="eastAsia" w:ascii="宋体" w:hAnsi="宋体" w:cs="仿宋_GB2312"/>
          <w:color w:val="auto"/>
          <w:szCs w:val="21"/>
        </w:rPr>
        <w:t>款</w:t>
      </w:r>
      <w:r>
        <w:rPr>
          <w:rStyle w:val="18"/>
          <w:rFonts w:hint="eastAsia" w:ascii="宋体" w:hAnsi="宋体" w:cs="仿宋_GB2312"/>
          <w:color w:val="auto"/>
          <w:szCs w:val="21"/>
        </w:rPr>
        <w:fldChar w:fldCharType="end"/>
      </w:r>
      <w:r>
        <w:rPr>
          <w:rFonts w:hint="eastAsia" w:ascii="宋体" w:hAnsi="宋体" w:cs="仿宋_GB2312"/>
          <w:kern w:val="0"/>
          <w:szCs w:val="21"/>
        </w:rPr>
        <w:t>和</w:t>
      </w:r>
      <w:r>
        <w:fldChar w:fldCharType="begin"/>
      </w:r>
      <w:r>
        <w:instrText xml:space="preserve"> HYPERLINK "file:///H:\\泰州招标文件范本\\泰州市房屋建筑和市政工程施工2016.4.docx" \l "_2.3_招标文件的修改" </w:instrText>
      </w:r>
      <w:r>
        <w:fldChar w:fldCharType="separate"/>
      </w:r>
      <w:r>
        <w:rPr>
          <w:rStyle w:val="18"/>
          <w:rFonts w:hint="eastAsia" w:ascii="宋体" w:hAnsi="宋体" w:cs="仿宋_GB2312"/>
          <w:color w:val="auto"/>
          <w:szCs w:val="21"/>
        </w:rPr>
        <w:t>第</w:t>
      </w:r>
      <w:r>
        <w:rPr>
          <w:rStyle w:val="18"/>
          <w:rFonts w:ascii="宋体" w:hAnsi="宋体" w:cs="TimesNewRomanPSMT"/>
          <w:color w:val="auto"/>
          <w:szCs w:val="21"/>
        </w:rPr>
        <w:t>2.3</w:t>
      </w:r>
      <w:r>
        <w:rPr>
          <w:rStyle w:val="18"/>
          <w:rFonts w:hint="eastAsia" w:ascii="宋体" w:hAnsi="宋体" w:cs="仿宋_GB2312"/>
          <w:color w:val="auto"/>
          <w:szCs w:val="21"/>
        </w:rPr>
        <w:t>款</w:t>
      </w:r>
      <w:r>
        <w:rPr>
          <w:rStyle w:val="18"/>
          <w:rFonts w:hint="eastAsia" w:ascii="宋体" w:hAnsi="宋体" w:cs="仿宋_GB2312"/>
          <w:color w:val="auto"/>
          <w:szCs w:val="21"/>
        </w:rPr>
        <w:fldChar w:fldCharType="end"/>
      </w:r>
      <w:r>
        <w:rPr>
          <w:rFonts w:hint="eastAsia" w:ascii="宋体" w:hAnsi="宋体" w:cs="仿宋_GB2312"/>
          <w:kern w:val="0"/>
          <w:szCs w:val="21"/>
        </w:rPr>
        <w:t>对招标文件所作的澄清、修改，构成招标文件的组成部分。</w:t>
      </w:r>
      <w:r>
        <w:rPr>
          <w:rFonts w:hint="eastAsia" w:ascii="宋体" w:hAnsi="宋体"/>
        </w:rPr>
        <w:t>当招标文件、招标文件的</w:t>
      </w:r>
      <w:r>
        <w:rPr>
          <w:rFonts w:hint="eastAsia"/>
        </w:rPr>
        <w:t>澄清、</w:t>
      </w:r>
      <w:r>
        <w:rPr>
          <w:rFonts w:hint="eastAsia" w:ascii="宋体" w:hAnsi="宋体"/>
        </w:rPr>
        <w:t>修改在同一内容表述不一致时，以最后上传的内容为准。</w:t>
      </w:r>
    </w:p>
    <w:p>
      <w:pPr>
        <w:pStyle w:val="6"/>
        <w:pageBreakBefore w:val="0"/>
        <w:widowControl w:val="0"/>
        <w:kinsoku/>
        <w:wordWrap/>
        <w:overflowPunct/>
        <w:topLinePunct w:val="0"/>
        <w:bidi w:val="0"/>
        <w:snapToGrid/>
        <w:spacing w:line="360" w:lineRule="auto"/>
        <w:textAlignment w:val="auto"/>
      </w:pPr>
      <w:bookmarkStart w:id="118" w:name="_2.2_招标文件的澄清"/>
      <w:bookmarkEnd w:id="118"/>
      <w:bookmarkStart w:id="119" w:name="_2.2_招标文件的澄清（适用于纸质招标文件）"/>
      <w:bookmarkEnd w:id="119"/>
      <w:bookmarkStart w:id="120" w:name="_Toc266951056"/>
      <w:r>
        <w:t xml:space="preserve">2.2 </w:t>
      </w:r>
      <w:r>
        <w:rPr>
          <w:rFonts w:hint="eastAsia"/>
        </w:rPr>
        <w:t>招标文件的澄清</w:t>
      </w:r>
      <w:bookmarkEnd w:id="120"/>
    </w:p>
    <w:p>
      <w:pPr>
        <w:pageBreakBefore w:val="0"/>
        <w:widowControl w:val="0"/>
        <w:kinsoku/>
        <w:wordWrap/>
        <w:overflowPunct/>
        <w:topLinePunct w:val="0"/>
        <w:autoSpaceDE w:val="0"/>
        <w:autoSpaceDN w:val="0"/>
        <w:bidi w:val="0"/>
        <w:adjustRightInd w:val="0"/>
        <w:snapToGrid/>
        <w:spacing w:line="360" w:lineRule="auto"/>
        <w:ind w:firstLine="462" w:firstLineChars="220"/>
        <w:jc w:val="left"/>
        <w:textAlignment w:val="auto"/>
        <w:rPr>
          <w:rFonts w:ascii="宋体" w:cs="仿宋_GB2312"/>
          <w:kern w:val="0"/>
          <w:szCs w:val="21"/>
        </w:rPr>
      </w:pPr>
      <w:r>
        <w:rPr>
          <w:rFonts w:ascii="宋体" w:hAnsi="宋体" w:cs="仿宋_GB2312"/>
          <w:kern w:val="0"/>
          <w:szCs w:val="21"/>
        </w:rPr>
        <w:t>2.2.1</w:t>
      </w:r>
      <w:r>
        <w:rPr>
          <w:rFonts w:hint="eastAsia" w:hAnsi="宋体"/>
          <w:szCs w:val="21"/>
        </w:rPr>
        <w:t>投标人应仔细阅读和检查招标文件的全部内容，如有疑问，应在投标人须知前附表规定的时间前以书面形式（须加盖投标人公章），要求招标人（招标代理）对招标文件予以澄清。</w:t>
      </w:r>
    </w:p>
    <w:p>
      <w:pPr>
        <w:pageBreakBefore w:val="0"/>
        <w:widowControl w:val="0"/>
        <w:kinsoku/>
        <w:wordWrap/>
        <w:overflowPunct/>
        <w:topLinePunct w:val="0"/>
        <w:autoSpaceDE w:val="0"/>
        <w:autoSpaceDN w:val="0"/>
        <w:bidi w:val="0"/>
        <w:adjustRightInd w:val="0"/>
        <w:snapToGrid/>
        <w:spacing w:line="360" w:lineRule="auto"/>
        <w:ind w:firstLine="462" w:firstLineChars="220"/>
        <w:jc w:val="left"/>
        <w:textAlignment w:val="auto"/>
        <w:rPr>
          <w:rFonts w:ascii="宋体" w:cs="仿宋_GB2312"/>
          <w:kern w:val="0"/>
          <w:szCs w:val="21"/>
        </w:rPr>
      </w:pPr>
      <w:r>
        <w:rPr>
          <w:rFonts w:ascii="宋体" w:hAnsi="宋体" w:cs="仿宋_GB2312"/>
          <w:kern w:val="0"/>
          <w:szCs w:val="21"/>
        </w:rPr>
        <w:t>2.2.2</w:t>
      </w:r>
      <w:r>
        <w:rPr>
          <w:rFonts w:hint="eastAsia" w:hAnsi="宋体"/>
          <w:szCs w:val="21"/>
        </w:rPr>
        <w:t>招标文件的澄清将在投标人须知前附表规定的投标截止时间</w:t>
      </w:r>
      <w:r>
        <w:rPr>
          <w:rFonts w:hint="eastAsia"/>
          <w:b/>
          <w:szCs w:val="21"/>
        </w:rPr>
        <w:t>5</w:t>
      </w:r>
      <w:r>
        <w:rPr>
          <w:rFonts w:hint="eastAsia" w:hAnsi="宋体"/>
          <w:szCs w:val="21"/>
        </w:rPr>
        <w:t>天前提供给所有购买招标文件的投标人。</w:t>
      </w:r>
      <w:r>
        <w:rPr>
          <w:rFonts w:hint="eastAsia" w:ascii="宋体" w:hAnsi="宋体" w:cs="仿宋_GB2312"/>
          <w:kern w:val="0"/>
          <w:szCs w:val="21"/>
        </w:rPr>
        <w:t>如果澄清文件内容影响投标文件编制的，将相应延长投标截止时间。</w:t>
      </w:r>
    </w:p>
    <w:p>
      <w:pPr>
        <w:pageBreakBefore w:val="0"/>
        <w:widowControl w:val="0"/>
        <w:kinsoku/>
        <w:wordWrap/>
        <w:overflowPunct/>
        <w:topLinePunct w:val="0"/>
        <w:bidi w:val="0"/>
        <w:snapToGrid/>
        <w:spacing w:line="360" w:lineRule="auto"/>
        <w:ind w:firstLine="420" w:firstLineChars="200"/>
        <w:textAlignment w:val="auto"/>
      </w:pPr>
      <w:r>
        <w:t>2.2.3</w:t>
      </w:r>
      <w:r>
        <w:rPr>
          <w:rFonts w:hint="eastAsia"/>
        </w:rPr>
        <w:t>澄清文件</w:t>
      </w:r>
      <w:r>
        <w:rPr>
          <w:rFonts w:hint="eastAsia" w:hAnsi="宋体"/>
          <w:szCs w:val="21"/>
        </w:rPr>
        <w:t>通过邮箱发送，自</w:t>
      </w:r>
      <w:r>
        <w:rPr>
          <w:rFonts w:hint="eastAsia"/>
        </w:rPr>
        <w:t>发送之日起，视为投标人已收到该澄清。</w:t>
      </w:r>
    </w:p>
    <w:p>
      <w:pPr>
        <w:pStyle w:val="6"/>
        <w:pageBreakBefore w:val="0"/>
        <w:widowControl w:val="0"/>
        <w:kinsoku/>
        <w:wordWrap/>
        <w:overflowPunct/>
        <w:topLinePunct w:val="0"/>
        <w:bidi w:val="0"/>
        <w:snapToGrid/>
        <w:spacing w:line="360" w:lineRule="auto"/>
        <w:textAlignment w:val="auto"/>
      </w:pPr>
      <w:bookmarkStart w:id="121" w:name="_2.3_招标文件的修改（适用于纸质招标文件）"/>
      <w:bookmarkEnd w:id="121"/>
      <w:bookmarkStart w:id="122" w:name="_2.3_招标文件的修改"/>
      <w:bookmarkEnd w:id="122"/>
      <w:bookmarkStart w:id="123" w:name="_Toc266951057"/>
      <w:r>
        <w:rPr>
          <w:rFonts w:cs="TimesNewRomanPSMT"/>
        </w:rPr>
        <w:t xml:space="preserve">2.3 </w:t>
      </w:r>
      <w:r>
        <w:rPr>
          <w:rFonts w:hint="eastAsia"/>
        </w:rPr>
        <w:t>招标文件的修改</w:t>
      </w:r>
      <w:bookmarkEnd w:id="123"/>
    </w:p>
    <w:p>
      <w:pPr>
        <w:pageBreakBefore w:val="0"/>
        <w:widowControl w:val="0"/>
        <w:kinsoku/>
        <w:wordWrap/>
        <w:overflowPunct/>
        <w:topLinePunct w:val="0"/>
        <w:bidi w:val="0"/>
        <w:snapToGrid/>
        <w:spacing w:line="360" w:lineRule="auto"/>
        <w:ind w:firstLine="420" w:firstLineChars="200"/>
        <w:textAlignment w:val="auto"/>
        <w:rPr>
          <w:rFonts w:ascii="宋体"/>
        </w:rPr>
      </w:pPr>
      <w:r>
        <w:rPr>
          <w:rFonts w:ascii="宋体" w:hAnsi="宋体"/>
        </w:rPr>
        <w:t>2.3.1</w:t>
      </w:r>
      <w:r>
        <w:rPr>
          <w:rFonts w:hint="eastAsia" w:hAnsi="宋体"/>
          <w:szCs w:val="21"/>
        </w:rPr>
        <w:t>在投标截止时间</w:t>
      </w:r>
      <w:r>
        <w:rPr>
          <w:rFonts w:hint="eastAsia"/>
          <w:b/>
          <w:szCs w:val="21"/>
        </w:rPr>
        <w:t>5</w:t>
      </w:r>
      <w:r>
        <w:rPr>
          <w:rFonts w:hint="eastAsia" w:hAnsi="宋体"/>
          <w:szCs w:val="21"/>
        </w:rPr>
        <w:t>天前，招标人可以对招标文件进行修改，同时将修改内容提供给所有购买招标文件的投标人。如果修改招标文件的时间距投标截止时间不足</w:t>
      </w:r>
      <w:r>
        <w:rPr>
          <w:rFonts w:hint="eastAsia"/>
          <w:szCs w:val="21"/>
        </w:rPr>
        <w:t>3个工作日</w:t>
      </w:r>
      <w:r>
        <w:rPr>
          <w:rFonts w:hint="eastAsia" w:hAnsi="宋体"/>
          <w:szCs w:val="21"/>
        </w:rPr>
        <w:t>，</w:t>
      </w:r>
      <w:r>
        <w:rPr>
          <w:rFonts w:hint="eastAsia" w:ascii="宋体" w:hAnsi="宋体" w:cs="仿宋_GB2312"/>
          <w:kern w:val="0"/>
          <w:szCs w:val="21"/>
        </w:rPr>
        <w:t>并且修改内容影响投标文件编制的，将相应延长投标截止时间。</w:t>
      </w:r>
    </w:p>
    <w:p>
      <w:pPr>
        <w:pageBreakBefore w:val="0"/>
        <w:widowControl w:val="0"/>
        <w:kinsoku/>
        <w:wordWrap/>
        <w:overflowPunct/>
        <w:topLinePunct w:val="0"/>
        <w:bidi w:val="0"/>
        <w:snapToGrid/>
        <w:spacing w:line="360" w:lineRule="auto"/>
        <w:ind w:firstLine="420" w:firstLineChars="200"/>
        <w:textAlignment w:val="auto"/>
      </w:pPr>
      <w:r>
        <w:rPr>
          <w:rFonts w:ascii="宋体" w:hAnsi="宋体"/>
        </w:rPr>
        <w:t>2.3.2</w:t>
      </w:r>
      <w:r>
        <w:rPr>
          <w:rFonts w:hint="eastAsia"/>
        </w:rPr>
        <w:t>修改文件</w:t>
      </w:r>
      <w:r>
        <w:rPr>
          <w:rFonts w:hint="eastAsia" w:hAnsi="宋体"/>
          <w:szCs w:val="21"/>
        </w:rPr>
        <w:t>通过邮箱发送，自</w:t>
      </w:r>
      <w:r>
        <w:rPr>
          <w:rFonts w:hint="eastAsia"/>
        </w:rPr>
        <w:t>发送之日起，视为投标人已收到该修改。</w:t>
      </w:r>
    </w:p>
    <w:p>
      <w:pPr>
        <w:pStyle w:val="5"/>
        <w:pageBreakBefore w:val="0"/>
        <w:widowControl w:val="0"/>
        <w:kinsoku/>
        <w:wordWrap/>
        <w:overflowPunct/>
        <w:topLinePunct w:val="0"/>
        <w:bidi w:val="0"/>
        <w:snapToGrid/>
        <w:spacing w:line="360" w:lineRule="auto"/>
        <w:textAlignment w:val="auto"/>
        <w:rPr>
          <w:sz w:val="24"/>
          <w:szCs w:val="24"/>
        </w:rPr>
      </w:pPr>
      <w:bookmarkStart w:id="124" w:name="_Toc468694884"/>
      <w:r>
        <w:rPr>
          <w:sz w:val="24"/>
          <w:szCs w:val="24"/>
        </w:rPr>
        <w:t xml:space="preserve">2.4 </w:t>
      </w:r>
      <w:r>
        <w:rPr>
          <w:rFonts w:hint="eastAsia"/>
          <w:sz w:val="24"/>
          <w:szCs w:val="24"/>
        </w:rPr>
        <w:t>招标控制价</w:t>
      </w:r>
      <w:bookmarkEnd w:id="124"/>
    </w:p>
    <w:p>
      <w:pPr>
        <w:pStyle w:val="9"/>
        <w:pageBreakBefore w:val="0"/>
        <w:widowControl w:val="0"/>
        <w:kinsoku/>
        <w:wordWrap/>
        <w:overflowPunct/>
        <w:topLinePunct w:val="0"/>
        <w:bidi w:val="0"/>
        <w:snapToGrid/>
        <w:spacing w:line="360" w:lineRule="auto"/>
        <w:ind w:firstLine="420" w:firstLineChars="200"/>
        <w:jc w:val="both"/>
        <w:textAlignment w:val="auto"/>
      </w:pPr>
      <w:r>
        <w:t xml:space="preserve">2.4.1 </w:t>
      </w:r>
      <w:r>
        <w:rPr>
          <w:rFonts w:hint="eastAsia"/>
        </w:rPr>
        <w:t>招标控制价，是招标人根据国家或省级、行业建设主管部门颁发的有关计价依据和办法，以及本招标文件和招标工程量清单，结合工程具体情况编制的本次招标工程的最高投标限价。</w:t>
      </w:r>
    </w:p>
    <w:p>
      <w:pPr>
        <w:pageBreakBefore w:val="0"/>
        <w:widowControl w:val="0"/>
        <w:kinsoku/>
        <w:wordWrap/>
        <w:overflowPunct/>
        <w:topLinePunct w:val="0"/>
        <w:autoSpaceDE w:val="0"/>
        <w:autoSpaceDN w:val="0"/>
        <w:bidi w:val="0"/>
        <w:adjustRightInd w:val="0"/>
        <w:snapToGrid/>
        <w:spacing w:line="360" w:lineRule="auto"/>
        <w:ind w:firstLine="525" w:firstLineChars="250"/>
        <w:textAlignment w:val="auto"/>
      </w:pPr>
      <w:r>
        <w:rPr>
          <w:rFonts w:hint="eastAsia"/>
        </w:rPr>
        <w:t>招标控制价随本项目招标文件同步发布。</w:t>
      </w:r>
    </w:p>
    <w:p>
      <w:pPr>
        <w:pStyle w:val="9"/>
        <w:pageBreakBefore w:val="0"/>
        <w:widowControl w:val="0"/>
        <w:kinsoku/>
        <w:wordWrap/>
        <w:overflowPunct/>
        <w:topLinePunct w:val="0"/>
        <w:bidi w:val="0"/>
        <w:snapToGrid/>
        <w:spacing w:line="360" w:lineRule="auto"/>
        <w:ind w:firstLine="420" w:firstLineChars="200"/>
        <w:jc w:val="both"/>
        <w:textAlignment w:val="auto"/>
      </w:pPr>
      <w:r>
        <w:t xml:space="preserve">2.4.2 </w:t>
      </w:r>
      <w:r>
        <w:rPr>
          <w:rFonts w:hint="eastAsia"/>
        </w:rPr>
        <w:t>招标控制价的异议与投诉</w:t>
      </w:r>
    </w:p>
    <w:p>
      <w:pPr>
        <w:pageBreakBefore w:val="0"/>
        <w:widowControl w:val="0"/>
        <w:kinsoku/>
        <w:wordWrap/>
        <w:overflowPunct/>
        <w:topLinePunct w:val="0"/>
        <w:bidi w:val="0"/>
        <w:snapToGrid/>
        <w:spacing w:line="360" w:lineRule="auto"/>
        <w:ind w:firstLine="357" w:firstLineChars="170"/>
        <w:textAlignment w:val="auto"/>
      </w:pPr>
      <w:r>
        <w:rPr>
          <w:rFonts w:hint="eastAsia"/>
        </w:rPr>
        <w:t>（</w:t>
      </w:r>
      <w:r>
        <w:t>1</w:t>
      </w:r>
      <w:r>
        <w:rPr>
          <w:rFonts w:hint="eastAsia"/>
        </w:rPr>
        <w:t>）投标人经复核认为招标人公布的招标控制价未按照现行计价规范进行编制的，应当在本章</w:t>
      </w:r>
      <w:r>
        <w:t>2.2.</w:t>
      </w:r>
      <w:r>
        <w:rPr>
          <w:rFonts w:hint="eastAsia"/>
        </w:rPr>
        <w:t>款规定的时间前向招标人提出异议。</w:t>
      </w:r>
    </w:p>
    <w:p>
      <w:pPr>
        <w:pageBreakBefore w:val="0"/>
        <w:widowControl w:val="0"/>
        <w:kinsoku/>
        <w:wordWrap/>
        <w:overflowPunct/>
        <w:topLinePunct w:val="0"/>
        <w:bidi w:val="0"/>
        <w:snapToGrid/>
        <w:spacing w:line="360" w:lineRule="auto"/>
        <w:ind w:firstLine="357" w:firstLineChars="170"/>
        <w:textAlignment w:val="auto"/>
      </w:pPr>
      <w:r>
        <w:rPr>
          <w:rFonts w:hint="eastAsia"/>
        </w:rPr>
        <w:t>（</w:t>
      </w:r>
      <w:r>
        <w:t>2</w:t>
      </w:r>
      <w:r>
        <w:rPr>
          <w:rFonts w:hint="eastAsia"/>
        </w:rPr>
        <w:t>）招标人将按照投标人提出的异议复核招标控制价。招标控制价确需调整的，招标人将在投标人须知前附表规定的投标截止时间5天前重新公布。公布的时间至招标文件要求提交投标文件截止时间不足</w:t>
      </w:r>
      <w:r>
        <w:rPr>
          <w:rFonts w:hint="eastAsia"/>
          <w:szCs w:val="21"/>
        </w:rPr>
        <w:t>3个工作日</w:t>
      </w:r>
      <w:r>
        <w:rPr>
          <w:rFonts w:hint="eastAsia"/>
        </w:rPr>
        <w:t>的，且影响投标文件编制的，招标人将相应延长提交投标文件截止时间。</w:t>
      </w:r>
    </w:p>
    <w:p>
      <w:pPr>
        <w:pageBreakBefore w:val="0"/>
        <w:widowControl w:val="0"/>
        <w:kinsoku/>
        <w:wordWrap/>
        <w:overflowPunct/>
        <w:topLinePunct w:val="0"/>
        <w:bidi w:val="0"/>
        <w:snapToGrid/>
        <w:spacing w:line="360" w:lineRule="auto"/>
        <w:ind w:firstLine="420" w:firstLineChars="200"/>
        <w:textAlignment w:val="auto"/>
        <w:rPr>
          <w:rFonts w:ascii="宋体" w:cs="宋体"/>
          <w:szCs w:val="21"/>
        </w:rPr>
      </w:pPr>
      <w:r>
        <w:rPr>
          <w:rFonts w:hint="eastAsia" w:ascii="宋体" w:hAnsi="宋体" w:cs="宋体"/>
          <w:szCs w:val="21"/>
        </w:rPr>
        <w:t>投标人对招标人提供的招标文件所做出的推论、解释和结论，招标人概不负责。投标人对招标文件的任何推论和误解以及招标人（或其委托代理人）对有关问题的口头解释所造成的后果，均由投标人自负。投标人应仔细审阅招标文件全部内容，如果投标人的投标文件没有按照招标文件要求提交全部资料或者投标文件没有对招标文件做出实质性响应，其风险由投标人自行承担</w:t>
      </w:r>
      <w:r>
        <w:rPr>
          <w:rFonts w:hint="eastAsia" w:ascii="宋体" w:hAnsi="宋体"/>
          <w:szCs w:val="21"/>
        </w:rPr>
        <w:t>。</w:t>
      </w:r>
    </w:p>
    <w:p>
      <w:pPr>
        <w:pStyle w:val="5"/>
        <w:pageBreakBefore w:val="0"/>
        <w:widowControl w:val="0"/>
        <w:kinsoku/>
        <w:wordWrap/>
        <w:overflowPunct/>
        <w:topLinePunct w:val="0"/>
        <w:bidi w:val="0"/>
        <w:snapToGrid/>
        <w:spacing w:line="360" w:lineRule="auto"/>
        <w:textAlignment w:val="auto"/>
        <w:rPr>
          <w:szCs w:val="28"/>
        </w:rPr>
      </w:pPr>
      <w:bookmarkStart w:id="125" w:name="_3._投标文件"/>
      <w:bookmarkEnd w:id="125"/>
      <w:bookmarkStart w:id="126" w:name="_Toc275956104"/>
      <w:bookmarkStart w:id="127" w:name="_Toc266951058"/>
      <w:r>
        <w:rPr>
          <w:rFonts w:cs="TimesNewRomanPSMT"/>
        </w:rPr>
        <w:t xml:space="preserve">3. </w:t>
      </w:r>
      <w:r>
        <w:rPr>
          <w:rFonts w:hint="eastAsia"/>
        </w:rPr>
        <w:t>投标文件</w:t>
      </w:r>
      <w:bookmarkEnd w:id="126"/>
      <w:bookmarkEnd w:id="127"/>
    </w:p>
    <w:p>
      <w:pPr>
        <w:pStyle w:val="6"/>
        <w:pageBreakBefore w:val="0"/>
        <w:widowControl w:val="0"/>
        <w:kinsoku/>
        <w:wordWrap/>
        <w:overflowPunct/>
        <w:topLinePunct w:val="0"/>
        <w:bidi w:val="0"/>
        <w:snapToGrid/>
        <w:spacing w:line="360" w:lineRule="auto"/>
        <w:textAlignment w:val="auto"/>
      </w:pPr>
      <w:bookmarkStart w:id="128" w:name="_3.1_投标文件的组成"/>
      <w:bookmarkEnd w:id="128"/>
      <w:bookmarkStart w:id="129" w:name="_Toc266951059"/>
      <w:r>
        <w:rPr>
          <w:rFonts w:cs="TimesNewRomanPSMT"/>
        </w:rPr>
        <w:t xml:space="preserve">3.1 </w:t>
      </w:r>
      <w:r>
        <w:rPr>
          <w:rFonts w:hint="eastAsia"/>
        </w:rPr>
        <w:t>投标文件的组成</w:t>
      </w:r>
      <w:bookmarkEnd w:id="129"/>
    </w:p>
    <w:p>
      <w:pPr>
        <w:pageBreakBefore w:val="0"/>
        <w:widowControl w:val="0"/>
        <w:kinsoku/>
        <w:wordWrap/>
        <w:overflowPunct/>
        <w:topLinePunct w:val="0"/>
        <w:autoSpaceDE w:val="0"/>
        <w:autoSpaceDN w:val="0"/>
        <w:bidi w:val="0"/>
        <w:adjustRightInd w:val="0"/>
        <w:snapToGrid/>
        <w:spacing w:line="360" w:lineRule="auto"/>
        <w:ind w:firstLine="316" w:firstLineChars="150"/>
        <w:jc w:val="left"/>
        <w:textAlignment w:val="auto"/>
        <w:rPr>
          <w:rFonts w:ascii="宋体" w:hAnsi="宋体" w:cs="仿宋_GB2312"/>
          <w:b/>
          <w:bCs/>
          <w:kern w:val="0"/>
          <w:szCs w:val="21"/>
        </w:rPr>
      </w:pPr>
      <w:r>
        <w:rPr>
          <w:rFonts w:ascii="宋体" w:hAnsi="宋体" w:cs="TimesNewRomanPSMT"/>
          <w:b/>
          <w:bCs/>
          <w:kern w:val="0"/>
          <w:szCs w:val="21"/>
        </w:rPr>
        <w:t xml:space="preserve">3.1.1 </w:t>
      </w:r>
      <w:r>
        <w:rPr>
          <w:rFonts w:hint="eastAsia" w:ascii="宋体" w:hAnsi="宋体" w:cs="仿宋_GB2312"/>
          <w:b/>
          <w:bCs/>
          <w:kern w:val="0"/>
          <w:szCs w:val="21"/>
        </w:rPr>
        <w:t>投标文件应包括下列内容：</w:t>
      </w:r>
    </w:p>
    <w:p>
      <w:pPr>
        <w:pageBreakBefore w:val="0"/>
        <w:widowControl w:val="0"/>
        <w:kinsoku/>
        <w:wordWrap/>
        <w:overflowPunct/>
        <w:topLinePunct w:val="0"/>
        <w:bidi w:val="0"/>
        <w:snapToGrid/>
        <w:spacing w:line="360" w:lineRule="auto"/>
        <w:ind w:left="424" w:leftChars="202"/>
        <w:textAlignment w:val="auto"/>
        <w:rPr>
          <w:b/>
          <w:u w:val="wave"/>
        </w:rPr>
      </w:pPr>
      <w:bookmarkStart w:id="130" w:name="_3.2_投标报价"/>
      <w:bookmarkEnd w:id="130"/>
      <w:bookmarkStart w:id="131" w:name="_Toc266951060"/>
      <w:r>
        <w:rPr>
          <w:rFonts w:hint="eastAsia"/>
          <w:b/>
          <w:u w:val="wave"/>
        </w:rPr>
        <w:t>1)投标函及投标函附录（原件）；</w:t>
      </w:r>
    </w:p>
    <w:p>
      <w:pPr>
        <w:pageBreakBefore w:val="0"/>
        <w:widowControl w:val="0"/>
        <w:kinsoku/>
        <w:wordWrap/>
        <w:overflowPunct/>
        <w:topLinePunct w:val="0"/>
        <w:bidi w:val="0"/>
        <w:snapToGrid/>
        <w:spacing w:line="360" w:lineRule="auto"/>
        <w:ind w:left="424" w:leftChars="202"/>
        <w:textAlignment w:val="auto"/>
        <w:rPr>
          <w:b/>
          <w:u w:val="wave"/>
        </w:rPr>
      </w:pPr>
      <w:r>
        <w:rPr>
          <w:rFonts w:hint="eastAsia"/>
          <w:b/>
          <w:u w:val="wave"/>
        </w:rPr>
        <w:t>2)法定代表人身份证明（原件）；</w:t>
      </w:r>
    </w:p>
    <w:p>
      <w:pPr>
        <w:pageBreakBefore w:val="0"/>
        <w:widowControl w:val="0"/>
        <w:kinsoku/>
        <w:wordWrap/>
        <w:overflowPunct/>
        <w:topLinePunct w:val="0"/>
        <w:bidi w:val="0"/>
        <w:snapToGrid/>
        <w:spacing w:line="360" w:lineRule="auto"/>
        <w:ind w:left="424" w:leftChars="202"/>
        <w:textAlignment w:val="auto"/>
        <w:rPr>
          <w:b/>
          <w:u w:val="wave"/>
        </w:rPr>
      </w:pPr>
      <w:r>
        <w:rPr>
          <w:rFonts w:hint="eastAsia"/>
          <w:b/>
          <w:u w:val="wave"/>
        </w:rPr>
        <w:t>3)授权委托书（原件）；</w:t>
      </w:r>
    </w:p>
    <w:p>
      <w:pPr>
        <w:pageBreakBefore w:val="0"/>
        <w:widowControl w:val="0"/>
        <w:kinsoku/>
        <w:wordWrap/>
        <w:overflowPunct/>
        <w:topLinePunct w:val="0"/>
        <w:bidi w:val="0"/>
        <w:snapToGrid/>
        <w:spacing w:line="360" w:lineRule="auto"/>
        <w:ind w:left="424" w:leftChars="202"/>
        <w:textAlignment w:val="auto"/>
        <w:rPr>
          <w:b/>
          <w:u w:val="wave"/>
        </w:rPr>
      </w:pPr>
      <w:r>
        <w:rPr>
          <w:rFonts w:hint="eastAsia"/>
          <w:b/>
          <w:u w:val="wave"/>
        </w:rPr>
        <w:t>4)投标保证金(复印件加盖投标人法人章)；</w:t>
      </w:r>
    </w:p>
    <w:p>
      <w:pPr>
        <w:pageBreakBefore w:val="0"/>
        <w:widowControl w:val="0"/>
        <w:kinsoku/>
        <w:wordWrap/>
        <w:overflowPunct/>
        <w:topLinePunct w:val="0"/>
        <w:bidi w:val="0"/>
        <w:snapToGrid/>
        <w:spacing w:line="360" w:lineRule="auto"/>
        <w:ind w:left="424" w:leftChars="202"/>
        <w:textAlignment w:val="auto"/>
        <w:rPr>
          <w:b/>
          <w:u w:val="wave"/>
        </w:rPr>
      </w:pPr>
      <w:r>
        <w:rPr>
          <w:rFonts w:hint="eastAsia"/>
          <w:b/>
          <w:u w:val="wave"/>
        </w:rPr>
        <w:t>5)低价差额保证金（复印件加盖投标人法人章）</w:t>
      </w:r>
    </w:p>
    <w:p>
      <w:pPr>
        <w:pageBreakBefore w:val="0"/>
        <w:widowControl w:val="0"/>
        <w:kinsoku/>
        <w:wordWrap/>
        <w:overflowPunct/>
        <w:topLinePunct w:val="0"/>
        <w:bidi w:val="0"/>
        <w:snapToGrid/>
        <w:spacing w:line="360" w:lineRule="auto"/>
        <w:ind w:left="424" w:leftChars="202"/>
        <w:textAlignment w:val="auto"/>
        <w:rPr>
          <w:b/>
          <w:u w:val="wave"/>
        </w:rPr>
      </w:pPr>
      <w:r>
        <w:rPr>
          <w:rFonts w:hint="eastAsia"/>
          <w:b/>
          <w:u w:val="wave"/>
        </w:rPr>
        <w:t>6)已标价工程量清单；</w:t>
      </w:r>
    </w:p>
    <w:p>
      <w:pPr>
        <w:pageBreakBefore w:val="0"/>
        <w:widowControl w:val="0"/>
        <w:kinsoku/>
        <w:wordWrap/>
        <w:overflowPunct/>
        <w:topLinePunct w:val="0"/>
        <w:bidi w:val="0"/>
        <w:snapToGrid/>
        <w:spacing w:line="360" w:lineRule="auto"/>
        <w:ind w:left="424" w:leftChars="202"/>
        <w:textAlignment w:val="auto"/>
        <w:rPr>
          <w:b/>
          <w:u w:val="wave"/>
        </w:rPr>
      </w:pPr>
      <w:r>
        <w:rPr>
          <w:rFonts w:hint="eastAsia"/>
          <w:b/>
          <w:u w:val="wave"/>
        </w:rPr>
        <w:t>7)项目经理简历表：附件建造师身份证、建造师注册证书及安全B证 (复印件加盖投标人法人章)；</w:t>
      </w:r>
    </w:p>
    <w:p>
      <w:pPr>
        <w:pageBreakBefore w:val="0"/>
        <w:widowControl w:val="0"/>
        <w:kinsoku/>
        <w:wordWrap/>
        <w:overflowPunct/>
        <w:topLinePunct w:val="0"/>
        <w:bidi w:val="0"/>
        <w:snapToGrid/>
        <w:spacing w:line="360" w:lineRule="auto"/>
        <w:ind w:firstLine="422" w:firstLineChars="200"/>
        <w:textAlignment w:val="auto"/>
        <w:rPr>
          <w:b/>
          <w:u w:val="wave"/>
        </w:rPr>
      </w:pPr>
      <w:r>
        <w:rPr>
          <w:rFonts w:hint="eastAsia"/>
          <w:b/>
          <w:u w:val="wave"/>
        </w:rPr>
        <w:t>8)资格审查资料：附件企业营业执照、企业资质证书副本；安全生产许可证、企业基本存款账户开户许可证（复印件加盖投标人法人章）；</w:t>
      </w:r>
    </w:p>
    <w:p>
      <w:pPr>
        <w:pageBreakBefore w:val="0"/>
        <w:widowControl w:val="0"/>
        <w:kinsoku/>
        <w:wordWrap/>
        <w:overflowPunct/>
        <w:topLinePunct w:val="0"/>
        <w:bidi w:val="0"/>
        <w:snapToGrid/>
        <w:spacing w:line="360" w:lineRule="auto"/>
        <w:ind w:left="424" w:leftChars="202"/>
        <w:textAlignment w:val="auto"/>
        <w:rPr>
          <w:b/>
          <w:u w:val="wave"/>
        </w:rPr>
      </w:pPr>
      <w:r>
        <w:rPr>
          <w:rFonts w:hint="eastAsia"/>
          <w:b/>
          <w:u w:val="wave"/>
        </w:rPr>
        <w:t>9)投标承诺书（原件）；</w:t>
      </w:r>
    </w:p>
    <w:p>
      <w:pPr>
        <w:pageBreakBefore w:val="0"/>
        <w:widowControl w:val="0"/>
        <w:kinsoku/>
        <w:wordWrap/>
        <w:overflowPunct/>
        <w:topLinePunct w:val="0"/>
        <w:bidi w:val="0"/>
        <w:snapToGrid/>
        <w:spacing w:line="360" w:lineRule="auto"/>
        <w:ind w:left="424" w:leftChars="202"/>
        <w:textAlignment w:val="auto"/>
        <w:rPr>
          <w:b/>
          <w:u w:val="wave"/>
        </w:rPr>
      </w:pPr>
      <w:r>
        <w:rPr>
          <w:rFonts w:hint="eastAsia"/>
          <w:b/>
          <w:u w:val="wave"/>
        </w:rPr>
        <w:t>10)其他材料</w:t>
      </w:r>
    </w:p>
    <w:p>
      <w:pPr>
        <w:pageBreakBefore w:val="0"/>
        <w:widowControl w:val="0"/>
        <w:kinsoku/>
        <w:wordWrap/>
        <w:overflowPunct/>
        <w:topLinePunct w:val="0"/>
        <w:bidi w:val="0"/>
        <w:snapToGrid/>
        <w:spacing w:line="360" w:lineRule="auto"/>
        <w:ind w:firstLine="422" w:firstLineChars="200"/>
        <w:textAlignment w:val="auto"/>
        <w:rPr>
          <w:rFonts w:ascii="宋体" w:hAnsi="宋体" w:cs="仿宋_GB2312"/>
          <w:kern w:val="0"/>
          <w:szCs w:val="21"/>
        </w:rPr>
      </w:pPr>
      <w:r>
        <w:rPr>
          <w:rFonts w:hint="eastAsia"/>
          <w:b/>
          <w:u w:val="wave"/>
        </w:rPr>
        <w:t>原件资料，组成如下（包括不限于）：</w:t>
      </w:r>
      <w:r>
        <w:rPr>
          <w:rFonts w:hint="eastAsia"/>
          <w:b/>
          <w:bCs/>
          <w:u w:val="single"/>
        </w:rPr>
        <w:t>低价差额担保原件（如有）</w:t>
      </w:r>
    </w:p>
    <w:p>
      <w:pPr>
        <w:pStyle w:val="6"/>
        <w:pageBreakBefore w:val="0"/>
        <w:widowControl w:val="0"/>
        <w:kinsoku/>
        <w:wordWrap/>
        <w:overflowPunct/>
        <w:topLinePunct w:val="0"/>
        <w:bidi w:val="0"/>
        <w:snapToGrid/>
        <w:spacing w:line="360" w:lineRule="auto"/>
        <w:textAlignment w:val="auto"/>
      </w:pPr>
      <w:r>
        <w:rPr>
          <w:rFonts w:cs="TimesNewRomanPSMT"/>
        </w:rPr>
        <w:t xml:space="preserve">3.2 </w:t>
      </w:r>
      <w:r>
        <w:rPr>
          <w:rFonts w:hint="eastAsia"/>
        </w:rPr>
        <w:t>投标报价</w:t>
      </w:r>
      <w:bookmarkEnd w:id="131"/>
    </w:p>
    <w:p>
      <w:pPr>
        <w:pageBreakBefore w:val="0"/>
        <w:widowControl w:val="0"/>
        <w:kinsoku/>
        <w:wordWrap/>
        <w:overflowPunct/>
        <w:topLinePunct w:val="0"/>
        <w:autoSpaceDE w:val="0"/>
        <w:autoSpaceDN w:val="0"/>
        <w:bidi w:val="0"/>
        <w:adjustRightInd w:val="0"/>
        <w:snapToGrid/>
        <w:spacing w:line="360" w:lineRule="auto"/>
        <w:ind w:firstLine="315" w:firstLineChars="150"/>
        <w:jc w:val="left"/>
        <w:textAlignment w:val="auto"/>
        <w:rPr>
          <w:rFonts w:ascii="宋体" w:cs="仿宋_GB2312"/>
          <w:kern w:val="0"/>
          <w:szCs w:val="21"/>
        </w:rPr>
      </w:pPr>
      <w:r>
        <w:rPr>
          <w:rFonts w:ascii="宋体" w:hAnsi="宋体" w:cs="TimesNewRomanPSMT"/>
          <w:kern w:val="0"/>
          <w:szCs w:val="21"/>
        </w:rPr>
        <w:t xml:space="preserve">3.2.1 </w:t>
      </w:r>
      <w:r>
        <w:rPr>
          <w:rFonts w:hint="eastAsia" w:ascii="宋体" w:hAnsi="宋体" w:cs="仿宋_GB2312"/>
          <w:kern w:val="0"/>
          <w:szCs w:val="21"/>
        </w:rPr>
        <w:t>投标人应按第五章“工程量清单”的要求填写相应表格。</w:t>
      </w:r>
    </w:p>
    <w:p>
      <w:pPr>
        <w:pageBreakBefore w:val="0"/>
        <w:widowControl w:val="0"/>
        <w:kinsoku/>
        <w:wordWrap/>
        <w:overflowPunct/>
        <w:topLinePunct w:val="0"/>
        <w:autoSpaceDE w:val="0"/>
        <w:autoSpaceDN w:val="0"/>
        <w:bidi w:val="0"/>
        <w:adjustRightInd w:val="0"/>
        <w:snapToGrid/>
        <w:spacing w:line="360" w:lineRule="auto"/>
        <w:ind w:firstLine="315" w:firstLineChars="150"/>
        <w:jc w:val="left"/>
        <w:textAlignment w:val="auto"/>
        <w:rPr>
          <w:rFonts w:ascii="宋体" w:cs="仿宋_GB2312"/>
          <w:kern w:val="0"/>
          <w:szCs w:val="21"/>
        </w:rPr>
      </w:pPr>
      <w:r>
        <w:rPr>
          <w:rFonts w:ascii="宋体" w:hAnsi="宋体" w:cs="TimesNewRomanPSMT"/>
          <w:kern w:val="0"/>
          <w:szCs w:val="21"/>
        </w:rPr>
        <w:t xml:space="preserve">3.2.2 </w:t>
      </w:r>
      <w:r>
        <w:rPr>
          <w:rFonts w:hint="eastAsia" w:ascii="宋体" w:hAnsi="宋体" w:cs="仿宋_GB2312"/>
          <w:kern w:val="0"/>
          <w:szCs w:val="21"/>
        </w:rPr>
        <w:t>投标人在投标截止时间前，若修改投标函中的投标总报价，应同时修改第五章“工程量清单”中的相应报价。此修改须符合</w:t>
      </w:r>
      <w:r>
        <w:fldChar w:fldCharType="begin"/>
      </w:r>
      <w:r>
        <w:instrText xml:space="preserve"> HYPERLINK "file:///H:\\泰州招标文件范本\\泰州市房屋建筑和市政工程施工2016.4.docx" \l "_4.3_投标文件的修改与撤回（适用于电子招标文件）" </w:instrText>
      </w:r>
      <w:r>
        <w:fldChar w:fldCharType="separate"/>
      </w:r>
      <w:r>
        <w:rPr>
          <w:rStyle w:val="18"/>
          <w:rFonts w:hint="eastAsia" w:ascii="宋体" w:hAnsi="宋体" w:cs="仿宋_GB2312"/>
          <w:color w:val="auto"/>
          <w:szCs w:val="21"/>
        </w:rPr>
        <w:t>本章第</w:t>
      </w:r>
      <w:r>
        <w:rPr>
          <w:rStyle w:val="18"/>
          <w:rFonts w:ascii="宋体" w:hAnsi="宋体" w:cs="TimesNewRomanPSMT"/>
          <w:color w:val="auto"/>
          <w:szCs w:val="21"/>
        </w:rPr>
        <w:t>4.</w:t>
      </w:r>
      <w:r>
        <w:rPr>
          <w:rStyle w:val="18"/>
          <w:rFonts w:hint="eastAsia" w:ascii="宋体" w:hAnsi="宋体" w:cs="TimesNewRomanPSMT"/>
          <w:color w:val="auto"/>
          <w:szCs w:val="21"/>
        </w:rPr>
        <w:t>4</w:t>
      </w:r>
      <w:r>
        <w:rPr>
          <w:rStyle w:val="18"/>
          <w:rFonts w:hint="eastAsia" w:ascii="宋体" w:hAnsi="宋体" w:cs="仿宋_GB2312"/>
          <w:color w:val="auto"/>
          <w:szCs w:val="21"/>
        </w:rPr>
        <w:t>款</w:t>
      </w:r>
      <w:r>
        <w:rPr>
          <w:rStyle w:val="18"/>
          <w:rFonts w:hint="eastAsia" w:ascii="宋体" w:hAnsi="宋体" w:cs="仿宋_GB2312"/>
          <w:color w:val="auto"/>
          <w:szCs w:val="21"/>
        </w:rPr>
        <w:fldChar w:fldCharType="end"/>
      </w:r>
      <w:r>
        <w:rPr>
          <w:rFonts w:hint="eastAsia" w:ascii="宋体" w:hAnsi="宋体" w:cs="仿宋_GB2312"/>
          <w:kern w:val="0"/>
          <w:szCs w:val="21"/>
        </w:rPr>
        <w:t>的有关要求。</w:t>
      </w:r>
    </w:p>
    <w:p>
      <w:pPr>
        <w:pStyle w:val="6"/>
        <w:pageBreakBefore w:val="0"/>
        <w:widowControl w:val="0"/>
        <w:kinsoku/>
        <w:wordWrap/>
        <w:overflowPunct/>
        <w:topLinePunct w:val="0"/>
        <w:bidi w:val="0"/>
        <w:snapToGrid/>
        <w:spacing w:line="360" w:lineRule="auto"/>
        <w:textAlignment w:val="auto"/>
      </w:pPr>
      <w:bookmarkStart w:id="132" w:name="_3.3_投标有效期"/>
      <w:bookmarkEnd w:id="132"/>
      <w:bookmarkStart w:id="133" w:name="_Toc266951061"/>
      <w:r>
        <w:rPr>
          <w:rFonts w:cs="TimesNewRomanPSMT"/>
        </w:rPr>
        <w:t xml:space="preserve">3.3 </w:t>
      </w:r>
      <w:r>
        <w:rPr>
          <w:rFonts w:hint="eastAsia"/>
        </w:rPr>
        <w:t>投标有效期</w:t>
      </w:r>
      <w:bookmarkEnd w:id="133"/>
    </w:p>
    <w:p>
      <w:pPr>
        <w:pageBreakBefore w:val="0"/>
        <w:widowControl w:val="0"/>
        <w:kinsoku/>
        <w:wordWrap/>
        <w:overflowPunct/>
        <w:topLinePunct w:val="0"/>
        <w:autoSpaceDE w:val="0"/>
        <w:autoSpaceDN w:val="0"/>
        <w:bidi w:val="0"/>
        <w:adjustRightInd w:val="0"/>
        <w:snapToGrid/>
        <w:spacing w:line="360" w:lineRule="auto"/>
        <w:ind w:firstLine="315" w:firstLineChars="150"/>
        <w:jc w:val="left"/>
        <w:textAlignment w:val="auto"/>
        <w:rPr>
          <w:rFonts w:ascii="宋体" w:cs="仿宋_GB2312"/>
          <w:kern w:val="0"/>
          <w:szCs w:val="21"/>
        </w:rPr>
      </w:pPr>
      <w:r>
        <w:rPr>
          <w:rFonts w:ascii="宋体" w:hAnsi="宋体" w:cs="TimesNewRomanPSMT"/>
          <w:kern w:val="0"/>
          <w:szCs w:val="21"/>
        </w:rPr>
        <w:t xml:space="preserve">3.3.1 </w:t>
      </w:r>
      <w:r>
        <w:rPr>
          <w:rFonts w:hint="eastAsia" w:ascii="宋体" w:hAnsi="宋体" w:cs="仿宋_GB2312"/>
          <w:kern w:val="0"/>
          <w:szCs w:val="21"/>
        </w:rPr>
        <w:t>在</w:t>
      </w:r>
      <w:r>
        <w:fldChar w:fldCharType="begin"/>
      </w:r>
      <w:r>
        <w:instrText xml:space="preserve"> HYPERLINK "file:///H:\\泰州招标文件范本\\泰州市房屋建筑和市政工程施工2016.4.docx" \l "_投标有效期" </w:instrText>
      </w:r>
      <w:r>
        <w:fldChar w:fldCharType="separate"/>
      </w:r>
      <w:r>
        <w:rPr>
          <w:rStyle w:val="18"/>
          <w:rFonts w:hint="eastAsia" w:ascii="宋体" w:hAnsi="宋体" w:cs="仿宋_GB2312"/>
          <w:color w:val="auto"/>
          <w:szCs w:val="21"/>
        </w:rPr>
        <w:t>投标人须知前附表</w:t>
      </w:r>
      <w:r>
        <w:rPr>
          <w:rStyle w:val="18"/>
          <w:rFonts w:hint="eastAsia" w:ascii="宋体" w:hAnsi="宋体" w:cs="仿宋_GB2312"/>
          <w:color w:val="auto"/>
          <w:szCs w:val="21"/>
        </w:rPr>
        <w:fldChar w:fldCharType="end"/>
      </w:r>
      <w:r>
        <w:rPr>
          <w:rFonts w:hint="eastAsia" w:ascii="宋体" w:hAnsi="宋体" w:cs="仿宋_GB2312"/>
          <w:kern w:val="0"/>
          <w:szCs w:val="21"/>
        </w:rPr>
        <w:t>规定的投标有效期内，投标人不得要求撤销或修改其投标文件。</w:t>
      </w:r>
    </w:p>
    <w:p>
      <w:pPr>
        <w:pageBreakBefore w:val="0"/>
        <w:widowControl w:val="0"/>
        <w:kinsoku/>
        <w:wordWrap/>
        <w:overflowPunct/>
        <w:topLinePunct w:val="0"/>
        <w:autoSpaceDE w:val="0"/>
        <w:autoSpaceDN w:val="0"/>
        <w:bidi w:val="0"/>
        <w:adjustRightInd w:val="0"/>
        <w:snapToGrid/>
        <w:spacing w:line="360" w:lineRule="auto"/>
        <w:ind w:firstLine="315" w:firstLineChars="150"/>
        <w:jc w:val="left"/>
        <w:textAlignment w:val="auto"/>
        <w:rPr>
          <w:rFonts w:ascii="宋体" w:cs="仿宋_GB2312"/>
          <w:kern w:val="0"/>
          <w:szCs w:val="21"/>
        </w:rPr>
      </w:pPr>
      <w:r>
        <w:rPr>
          <w:rFonts w:ascii="宋体" w:hAnsi="宋体" w:cs="TimesNewRomanPSMT"/>
          <w:kern w:val="0"/>
          <w:szCs w:val="21"/>
        </w:rPr>
        <w:t xml:space="preserve">3.3.2 </w:t>
      </w:r>
      <w:r>
        <w:rPr>
          <w:rFonts w:hint="eastAsia" w:ascii="宋体" w:hAnsi="宋体" w:cs="仿宋_GB2312"/>
          <w:kern w:val="0"/>
          <w:szCs w:val="21"/>
        </w:rPr>
        <w:t>出现特殊情况需要延长投标有效期的，</w:t>
      </w:r>
      <w:r>
        <w:rPr>
          <w:rFonts w:hint="eastAsia" w:hAnsi="宋体"/>
          <w:szCs w:val="21"/>
        </w:rPr>
        <w:t>招标人通知所有投标人延长投标有效期</w:t>
      </w:r>
      <w:r>
        <w:rPr>
          <w:rFonts w:hint="eastAsia" w:ascii="宋体" w:hAnsi="宋体" w:cs="仿宋_GB2312"/>
          <w:kern w:val="0"/>
          <w:szCs w:val="21"/>
        </w:rPr>
        <w:t>。投标人同意延长的，应相应延长其投标保证金的有效期，但不得要求或被允许修改或撤销其投标文件；投标人拒绝延长的，其投标失效，但投标人有权收回其投标保证金。</w:t>
      </w:r>
    </w:p>
    <w:p>
      <w:pPr>
        <w:pStyle w:val="6"/>
        <w:pageBreakBefore w:val="0"/>
        <w:widowControl w:val="0"/>
        <w:kinsoku/>
        <w:wordWrap/>
        <w:overflowPunct/>
        <w:topLinePunct w:val="0"/>
        <w:bidi w:val="0"/>
        <w:snapToGrid/>
        <w:spacing w:line="360" w:lineRule="auto"/>
        <w:textAlignment w:val="auto"/>
      </w:pPr>
      <w:bookmarkStart w:id="134" w:name="_3.4_投标担保"/>
      <w:bookmarkEnd w:id="134"/>
      <w:bookmarkStart w:id="135" w:name="_Toc266951062"/>
      <w:r>
        <w:rPr>
          <w:rFonts w:cs="TimesNewRomanPSMT"/>
        </w:rPr>
        <w:t xml:space="preserve">3.4 </w:t>
      </w:r>
      <w:bookmarkEnd w:id="135"/>
      <w:r>
        <w:rPr>
          <w:rFonts w:hint="eastAsia"/>
        </w:rPr>
        <w:t>投标保证金</w:t>
      </w:r>
    </w:p>
    <w:p>
      <w:pPr>
        <w:pageBreakBefore w:val="0"/>
        <w:widowControl w:val="0"/>
        <w:kinsoku/>
        <w:wordWrap/>
        <w:overflowPunct/>
        <w:topLinePunct w:val="0"/>
        <w:bidi w:val="0"/>
        <w:snapToGrid/>
        <w:spacing w:line="360" w:lineRule="auto"/>
        <w:ind w:firstLine="420" w:firstLineChars="200"/>
        <w:textAlignment w:val="auto"/>
        <w:rPr>
          <w:rFonts w:ascii="宋体"/>
        </w:rPr>
      </w:pPr>
      <w:r>
        <w:rPr>
          <w:rFonts w:ascii="宋体"/>
        </w:rPr>
        <w:t>3.4.1</w:t>
      </w:r>
      <w:r>
        <w:rPr>
          <w:rFonts w:hint="eastAsia"/>
        </w:rPr>
        <w:t>投标人应按投标人须知前附表规定的金额、缴纳账号、担保形式和第八章</w:t>
      </w:r>
      <w:r>
        <w:t>“</w:t>
      </w:r>
      <w:r>
        <w:rPr>
          <w:rFonts w:hint="eastAsia"/>
        </w:rPr>
        <w:t>投标文件格式</w:t>
      </w:r>
      <w:r>
        <w:t>”</w:t>
      </w:r>
      <w:r>
        <w:rPr>
          <w:rFonts w:hint="eastAsia"/>
        </w:rPr>
        <w:t>规定的投标保证金格式递交投标保证金，并作为其投标文件的组成部分。联合体投标的，其投标保证金由牵头人递交，并应符合投标人须知前附表的规定。</w:t>
      </w:r>
    </w:p>
    <w:p>
      <w:pPr>
        <w:pageBreakBefore w:val="0"/>
        <w:widowControl w:val="0"/>
        <w:kinsoku/>
        <w:wordWrap/>
        <w:overflowPunct/>
        <w:topLinePunct w:val="0"/>
        <w:bidi w:val="0"/>
        <w:snapToGrid/>
        <w:spacing w:line="360" w:lineRule="auto"/>
        <w:ind w:firstLine="420" w:firstLineChars="200"/>
        <w:textAlignment w:val="auto"/>
        <w:rPr>
          <w:rFonts w:ascii="宋体"/>
          <w:szCs w:val="21"/>
        </w:rPr>
      </w:pPr>
      <w:r>
        <w:rPr>
          <w:rFonts w:hint="eastAsia" w:ascii="宋体" w:hAnsi="宋体"/>
          <w:szCs w:val="21"/>
        </w:rPr>
        <w:t>投标保证金必须从投标人的基本账户银行转出。</w:t>
      </w:r>
    </w:p>
    <w:p>
      <w:pPr>
        <w:pageBreakBefore w:val="0"/>
        <w:widowControl w:val="0"/>
        <w:kinsoku/>
        <w:wordWrap/>
        <w:overflowPunct/>
        <w:topLinePunct w:val="0"/>
        <w:bidi w:val="0"/>
        <w:snapToGrid/>
        <w:spacing w:line="360" w:lineRule="auto"/>
        <w:ind w:firstLine="420" w:firstLineChars="200"/>
        <w:textAlignment w:val="auto"/>
        <w:rPr>
          <w:rFonts w:ascii="宋体"/>
          <w:szCs w:val="21"/>
        </w:rPr>
      </w:pPr>
      <w:r>
        <w:rPr>
          <w:rFonts w:ascii="宋体" w:hAnsi="宋体"/>
          <w:szCs w:val="21"/>
        </w:rPr>
        <w:t>3.4.2</w:t>
      </w:r>
      <w:r>
        <w:rPr>
          <w:rFonts w:hint="eastAsia" w:ascii="宋体" w:hAnsi="宋体"/>
          <w:szCs w:val="21"/>
        </w:rPr>
        <w:t>投标人不按本章</w:t>
      </w:r>
      <w:r>
        <w:rPr>
          <w:rFonts w:ascii="宋体" w:hAnsi="宋体"/>
          <w:szCs w:val="21"/>
        </w:rPr>
        <w:t>3.4.1</w:t>
      </w:r>
      <w:r>
        <w:rPr>
          <w:rFonts w:hint="eastAsia" w:ascii="宋体" w:hAnsi="宋体"/>
          <w:szCs w:val="21"/>
        </w:rPr>
        <w:t>项要求提交投标保证金的，评标委员会应当否决其投标。</w:t>
      </w:r>
    </w:p>
    <w:p>
      <w:pPr>
        <w:pageBreakBefore w:val="0"/>
        <w:widowControl w:val="0"/>
        <w:kinsoku/>
        <w:wordWrap/>
        <w:overflowPunct/>
        <w:topLinePunct w:val="0"/>
        <w:bidi w:val="0"/>
        <w:snapToGrid/>
        <w:spacing w:line="360" w:lineRule="auto"/>
        <w:ind w:firstLine="420" w:firstLineChars="200"/>
        <w:textAlignment w:val="auto"/>
      </w:pPr>
      <w:r>
        <w:rPr>
          <w:rFonts w:ascii="宋体" w:hAnsi="宋体"/>
          <w:szCs w:val="21"/>
        </w:rPr>
        <w:t>3.4.3</w:t>
      </w:r>
      <w:r>
        <w:rPr>
          <w:rFonts w:hint="eastAsia" w:ascii="宋体" w:hAnsi="宋体"/>
          <w:szCs w:val="21"/>
        </w:rPr>
        <w:t>对未中标人交纳的投标保证金应当于中标通知书发出之日起5个工作日内退还；对中标人交纳的投标保证金应当于合同签订之日起5个工作日内退还。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szCs w:val="21"/>
        </w:rPr>
      </w:pPr>
      <w:r>
        <w:rPr>
          <w:rFonts w:ascii="宋体" w:hAnsi="宋体"/>
          <w:szCs w:val="21"/>
        </w:rPr>
        <w:t>3.4.4</w:t>
      </w:r>
      <w:r>
        <w:rPr>
          <w:rFonts w:hint="eastAsia" w:ascii="宋体" w:hAnsi="宋体"/>
          <w:szCs w:val="21"/>
        </w:rPr>
        <w:t>有下列情况之一的，投标保证金将不予退还：</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）投标人在投标有效期内撤销或修改其投标文件的；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）中标人在中标通知书发出</w:t>
      </w:r>
      <w:r>
        <w:rPr>
          <w:rFonts w:ascii="宋体" w:hAnsi="宋体" w:cs="宋体"/>
          <w:szCs w:val="21"/>
        </w:rPr>
        <w:t>30</w:t>
      </w:r>
      <w:r>
        <w:rPr>
          <w:rFonts w:hint="eastAsia" w:ascii="宋体" w:hAnsi="宋体" w:cs="宋体"/>
          <w:szCs w:val="21"/>
        </w:rPr>
        <w:t>日内，无正当理由拒签合同协议书的；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cs="宋体"/>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）未按招标文件规定提交履约担保的；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cs="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）经核查，存在弄虚作假、借资质、挂靠、围标、串标等违法违规行为的；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cs="宋体"/>
          <w:szCs w:val="21"/>
        </w:rPr>
      </w:pPr>
      <w:r>
        <w:rPr>
          <w:rFonts w:hint="eastAsia" w:ascii="宋体" w:hAnsi="宋体" w:cs="宋体"/>
          <w:szCs w:val="21"/>
        </w:rPr>
        <w:t>（</w:t>
      </w:r>
      <w:r>
        <w:rPr>
          <w:rFonts w:ascii="宋体" w:hAnsi="宋体" w:cs="宋体"/>
          <w:szCs w:val="21"/>
        </w:rPr>
        <w:t>5</w:t>
      </w:r>
      <w:r>
        <w:rPr>
          <w:rFonts w:hint="eastAsia" w:ascii="宋体" w:hAnsi="宋体" w:cs="宋体"/>
          <w:szCs w:val="21"/>
        </w:rPr>
        <w:t>）投标人进行虚假、恶意投诉，阻碍招投标活动的正常进行的；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cs="TimesNewRomanPSMT"/>
          <w:kern w:val="0"/>
          <w:szCs w:val="21"/>
        </w:rPr>
      </w:pPr>
      <w:r>
        <w:rPr>
          <w:rFonts w:hint="eastAsia" w:ascii="宋体" w:hAnsi="宋体" w:cs="宋体"/>
          <w:szCs w:val="21"/>
        </w:rPr>
        <w:t>（</w:t>
      </w:r>
      <w:r>
        <w:rPr>
          <w:rFonts w:ascii="宋体" w:hAnsi="宋体" w:cs="宋体"/>
          <w:szCs w:val="21"/>
        </w:rPr>
        <w:t>6</w:t>
      </w:r>
      <w:r>
        <w:rPr>
          <w:rFonts w:hint="eastAsia" w:ascii="宋体" w:hAnsi="宋体" w:cs="宋体"/>
          <w:szCs w:val="21"/>
        </w:rPr>
        <w:t>）法律法规规定的其他情形。</w:t>
      </w:r>
      <w:bookmarkStart w:id="136" w:name="_3.5_资格审查资料（适用于未进行资格预审的）"/>
      <w:bookmarkEnd w:id="136"/>
      <w:bookmarkStart w:id="137" w:name="_3.5_资格审查资料（适用于已进行资格预审的）"/>
      <w:bookmarkEnd w:id="137"/>
    </w:p>
    <w:p>
      <w:pPr>
        <w:pStyle w:val="6"/>
        <w:pageBreakBefore w:val="0"/>
        <w:widowControl w:val="0"/>
        <w:kinsoku/>
        <w:wordWrap/>
        <w:overflowPunct/>
        <w:topLinePunct w:val="0"/>
        <w:bidi w:val="0"/>
        <w:snapToGrid/>
        <w:spacing w:line="360" w:lineRule="auto"/>
        <w:textAlignment w:val="auto"/>
        <w:rPr>
          <w:rFonts w:cs="TimesNewRomanPSMT"/>
        </w:rPr>
      </w:pPr>
      <w:r>
        <w:rPr>
          <w:rFonts w:cs="TimesNewRomanPSMT"/>
        </w:rPr>
        <w:t xml:space="preserve">3.5 </w:t>
      </w:r>
      <w:r>
        <w:rPr>
          <w:rFonts w:hint="eastAsia" w:cs="TimesNewRomanPSMT"/>
        </w:rPr>
        <w:t>资格审查资料（适用于未进行资格预审的）</w:t>
      </w:r>
    </w:p>
    <w:p>
      <w:pPr>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cs="仿宋_GB2312"/>
          <w:kern w:val="0"/>
          <w:szCs w:val="21"/>
        </w:rPr>
      </w:pPr>
      <w:r>
        <w:rPr>
          <w:rFonts w:ascii="宋体" w:hAnsi="宋体" w:cs="TimesNewRomanPSMT"/>
          <w:kern w:val="0"/>
          <w:szCs w:val="21"/>
        </w:rPr>
        <w:t xml:space="preserve">3.5.1 </w:t>
      </w:r>
      <w:r>
        <w:rPr>
          <w:rFonts w:hint="eastAsia" w:ascii="宋体" w:hAnsi="宋体" w:cs="仿宋_GB2312"/>
          <w:kern w:val="0"/>
          <w:szCs w:val="21"/>
        </w:rPr>
        <w:t>“投标人基本情况表”应附投标人营业执照副本、资质证书副本、安全生产许可证、企业基本存款账户开户许可证及年检合格的证明材料等复印件。</w:t>
      </w:r>
    </w:p>
    <w:p>
      <w:pPr>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cs="TimesNewRomanPSMT"/>
          <w:kern w:val="0"/>
          <w:szCs w:val="21"/>
        </w:rPr>
      </w:pPr>
      <w:r>
        <w:rPr>
          <w:rFonts w:ascii="宋体" w:hAnsi="宋体" w:cs="TimesNewRomanPSMT"/>
          <w:kern w:val="0"/>
          <w:szCs w:val="21"/>
        </w:rPr>
        <w:t xml:space="preserve">3.5.2 </w:t>
      </w:r>
      <w:r>
        <w:rPr>
          <w:rFonts w:hint="eastAsia" w:ascii="宋体" w:hAnsi="宋体" w:cs="TimesNewRomanPSMT"/>
          <w:kern w:val="0"/>
          <w:szCs w:val="21"/>
        </w:rPr>
        <w:t>“项目经理简历表”</w:t>
      </w:r>
      <w:r>
        <w:rPr>
          <w:rFonts w:hint="eastAsia" w:ascii="宋体" w:hAnsi="宋体" w:cs="仿宋_GB2312"/>
          <w:kern w:val="0"/>
          <w:szCs w:val="21"/>
        </w:rPr>
        <w:t>应附建造师注册执业资格证书、安全考核合格证书</w:t>
      </w:r>
      <w:r>
        <w:rPr>
          <w:rFonts w:ascii="宋体" w:hAnsi="宋体" w:cs="仿宋_GB2312"/>
          <w:kern w:val="0"/>
          <w:szCs w:val="21"/>
        </w:rPr>
        <w:t>(B</w:t>
      </w:r>
      <w:r>
        <w:rPr>
          <w:rFonts w:hint="eastAsia" w:ascii="宋体" w:hAnsi="宋体" w:cs="仿宋_GB2312"/>
          <w:kern w:val="0"/>
          <w:szCs w:val="21"/>
        </w:rPr>
        <w:t>证</w:t>
      </w:r>
      <w:r>
        <w:rPr>
          <w:rFonts w:ascii="宋体" w:hAnsi="宋体" w:cs="仿宋_GB2312"/>
          <w:kern w:val="0"/>
          <w:szCs w:val="21"/>
        </w:rPr>
        <w:t xml:space="preserve">) </w:t>
      </w:r>
      <w:r>
        <w:rPr>
          <w:rFonts w:hint="eastAsia" w:ascii="宋体" w:hAnsi="宋体" w:cs="仿宋_GB2312"/>
          <w:kern w:val="0"/>
          <w:szCs w:val="21"/>
        </w:rPr>
        <w:t>及年检合格的证明材料等复印件。</w:t>
      </w:r>
    </w:p>
    <w:p>
      <w:pPr>
        <w:pageBreakBefore w:val="0"/>
        <w:widowControl w:val="0"/>
        <w:kinsoku/>
        <w:wordWrap/>
        <w:overflowPunct/>
        <w:topLinePunct w:val="0"/>
        <w:autoSpaceDE w:val="0"/>
        <w:autoSpaceDN w:val="0"/>
        <w:bidi w:val="0"/>
        <w:adjustRightInd w:val="0"/>
        <w:snapToGrid/>
        <w:spacing w:line="360" w:lineRule="auto"/>
        <w:ind w:firstLine="420"/>
        <w:textAlignment w:val="auto"/>
        <w:rPr>
          <w:rFonts w:ascii="宋体" w:cs="仿宋_GB2312"/>
          <w:kern w:val="0"/>
          <w:szCs w:val="21"/>
        </w:rPr>
      </w:pPr>
      <w:r>
        <w:rPr>
          <w:rFonts w:ascii="宋体" w:hAnsi="宋体" w:cs="TimesNewRomanPSMT"/>
          <w:kern w:val="0"/>
          <w:szCs w:val="21"/>
        </w:rPr>
        <w:t xml:space="preserve">3.5.3 </w:t>
      </w:r>
      <w:r>
        <w:rPr>
          <w:rFonts w:hint="eastAsia" w:ascii="宋体" w:hAnsi="宋体" w:cs="仿宋_GB2312"/>
          <w:kern w:val="0"/>
          <w:szCs w:val="21"/>
        </w:rPr>
        <w:t>本章第</w:t>
      </w:r>
      <w:r>
        <w:rPr>
          <w:rFonts w:ascii="宋体" w:hAnsi="宋体" w:cs="TimesNewRomanPSMT"/>
          <w:kern w:val="0"/>
          <w:szCs w:val="21"/>
        </w:rPr>
        <w:t xml:space="preserve">3.5.1 </w:t>
      </w:r>
      <w:r>
        <w:rPr>
          <w:rFonts w:hint="eastAsia" w:ascii="宋体" w:hAnsi="宋体" w:cs="仿宋_GB2312"/>
          <w:kern w:val="0"/>
          <w:szCs w:val="21"/>
        </w:rPr>
        <w:t>项至第</w:t>
      </w:r>
      <w:r>
        <w:rPr>
          <w:rFonts w:ascii="宋体" w:hAnsi="宋体" w:cs="TimesNewRomanPSMT"/>
          <w:kern w:val="0"/>
          <w:szCs w:val="21"/>
        </w:rPr>
        <w:t>3.5.2</w:t>
      </w:r>
      <w:r>
        <w:rPr>
          <w:rFonts w:hint="eastAsia" w:ascii="宋体" w:hAnsi="宋体" w:cs="TimesNewRomanPSMT"/>
          <w:kern w:val="0"/>
          <w:szCs w:val="21"/>
        </w:rPr>
        <w:t>项</w:t>
      </w:r>
      <w:r>
        <w:rPr>
          <w:rFonts w:hint="eastAsia" w:ascii="宋体" w:hAnsi="宋体" w:cs="仿宋_GB2312"/>
          <w:kern w:val="0"/>
          <w:szCs w:val="21"/>
        </w:rPr>
        <w:t>所填报的各类信息必须与</w:t>
      </w:r>
      <w:r>
        <w:rPr>
          <w:rFonts w:hint="eastAsia" w:ascii="宋体" w:hAnsi="宋体" w:cs="TimesNewRomanPSMT"/>
          <w:kern w:val="0"/>
          <w:szCs w:val="21"/>
        </w:rPr>
        <w:t>企业法定</w:t>
      </w:r>
      <w:r>
        <w:rPr>
          <w:rFonts w:hint="eastAsia" w:ascii="宋体" w:hAnsi="宋体" w:cs="仿宋_GB2312"/>
          <w:kern w:val="0"/>
          <w:szCs w:val="21"/>
        </w:rPr>
        <w:t>的信息资料一致（下同）；要求应附的复印</w:t>
      </w:r>
      <w:r>
        <w:rPr>
          <w:rFonts w:hint="eastAsia" w:ascii="宋体" w:hAnsi="宋体"/>
          <w:szCs w:val="21"/>
        </w:rPr>
        <w:t>件应当为</w:t>
      </w:r>
      <w:r>
        <w:rPr>
          <w:rFonts w:hint="eastAsia" w:ascii="宋体" w:hAnsi="宋体" w:cs="TimesNewRomanPSMT"/>
          <w:kern w:val="0"/>
          <w:szCs w:val="21"/>
        </w:rPr>
        <w:t>投标人最新有效的资料。</w:t>
      </w:r>
    </w:p>
    <w:p>
      <w:pPr>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cs="仿宋_GB2312"/>
          <w:kern w:val="0"/>
          <w:szCs w:val="21"/>
        </w:rPr>
      </w:pPr>
      <w:r>
        <w:rPr>
          <w:rFonts w:ascii="宋体" w:hAnsi="宋体" w:cs="TimesNewRomanPSMT"/>
          <w:kern w:val="0"/>
          <w:szCs w:val="21"/>
        </w:rPr>
        <w:t xml:space="preserve">3.5.4 </w:t>
      </w:r>
      <w:r>
        <w:fldChar w:fldCharType="begin"/>
      </w:r>
      <w:r>
        <w:instrText xml:space="preserve"> HYPERLINK "file:///H:\\泰州招标文件范本\\泰州市房屋建筑和市政工程施工2016.4.docx" \l "_投标人资格要求" \o "详见投标须知表1.4.1项" </w:instrText>
      </w:r>
      <w:r>
        <w:fldChar w:fldCharType="separate"/>
      </w:r>
      <w:r>
        <w:rPr>
          <w:rStyle w:val="18"/>
          <w:rFonts w:hint="eastAsia" w:ascii="宋体" w:hAnsi="宋体" w:cs="仿宋_GB2312"/>
          <w:color w:val="auto"/>
          <w:szCs w:val="21"/>
        </w:rPr>
        <w:t>投标人须知前附表</w:t>
      </w:r>
      <w:r>
        <w:rPr>
          <w:rStyle w:val="18"/>
          <w:rFonts w:hint="eastAsia" w:ascii="宋体" w:hAnsi="宋体" w:cs="仿宋_GB2312"/>
          <w:color w:val="auto"/>
          <w:szCs w:val="21"/>
        </w:rPr>
        <w:fldChar w:fldCharType="end"/>
      </w:r>
      <w:r>
        <w:rPr>
          <w:rFonts w:hint="eastAsia" w:ascii="宋体" w:hAnsi="宋体" w:cs="仿宋_GB2312"/>
          <w:kern w:val="0"/>
          <w:szCs w:val="21"/>
        </w:rPr>
        <w:t>规定接受联合体投标的，本章第</w:t>
      </w:r>
      <w:r>
        <w:rPr>
          <w:rFonts w:ascii="宋体" w:hAnsi="宋体" w:cs="TimesNewRomanPSMT"/>
          <w:kern w:val="0"/>
          <w:szCs w:val="21"/>
        </w:rPr>
        <w:t xml:space="preserve">3.5.1 </w:t>
      </w:r>
      <w:r>
        <w:rPr>
          <w:rFonts w:hint="eastAsia" w:ascii="宋体" w:hAnsi="宋体" w:cs="仿宋_GB2312"/>
          <w:kern w:val="0"/>
          <w:szCs w:val="21"/>
        </w:rPr>
        <w:t>项至第</w:t>
      </w:r>
      <w:r>
        <w:rPr>
          <w:rFonts w:ascii="宋体" w:hAnsi="宋体" w:cs="TimesNewRomanPSMT"/>
          <w:kern w:val="0"/>
          <w:szCs w:val="21"/>
        </w:rPr>
        <w:t xml:space="preserve">3.5.2 </w:t>
      </w:r>
      <w:r>
        <w:rPr>
          <w:rFonts w:hint="eastAsia" w:ascii="宋体" w:hAnsi="宋体" w:cs="仿宋_GB2312"/>
          <w:kern w:val="0"/>
          <w:szCs w:val="21"/>
        </w:rPr>
        <w:t>项规定的表格和资料应包括联合体各方相关情况。</w:t>
      </w:r>
    </w:p>
    <w:p>
      <w:pPr>
        <w:pStyle w:val="6"/>
        <w:pageBreakBefore w:val="0"/>
        <w:widowControl w:val="0"/>
        <w:kinsoku/>
        <w:wordWrap/>
        <w:overflowPunct/>
        <w:topLinePunct w:val="0"/>
        <w:bidi w:val="0"/>
        <w:snapToGrid/>
        <w:spacing w:line="360" w:lineRule="auto"/>
        <w:textAlignment w:val="auto"/>
      </w:pPr>
      <w:bookmarkStart w:id="138" w:name="_3.6_备选投标方案"/>
      <w:bookmarkEnd w:id="138"/>
      <w:bookmarkStart w:id="139" w:name="_Toc266951064"/>
      <w:r>
        <w:rPr>
          <w:rFonts w:cs="TimesNewRomanPSMT"/>
        </w:rPr>
        <w:t xml:space="preserve">3.6 </w:t>
      </w:r>
      <w:r>
        <w:rPr>
          <w:rFonts w:hint="eastAsia"/>
        </w:rPr>
        <w:t>备选投标方案</w:t>
      </w:r>
      <w:bookmarkEnd w:id="139"/>
    </w:p>
    <w:p>
      <w:pPr>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cs="仿宋_GB2312"/>
          <w:kern w:val="0"/>
          <w:szCs w:val="21"/>
        </w:rPr>
      </w:pPr>
      <w:r>
        <w:rPr>
          <w:rFonts w:hint="eastAsia" w:ascii="宋体" w:hAnsi="宋体" w:cs="仿宋_GB2312"/>
          <w:kern w:val="0"/>
          <w:szCs w:val="21"/>
        </w:rPr>
        <w:t>除</w:t>
      </w:r>
      <w:r>
        <w:fldChar w:fldCharType="begin"/>
      </w:r>
      <w:r>
        <w:instrText xml:space="preserve"> HYPERLINK "file:///H:\\泰州招标文件范本\\泰州市房屋建筑和市政工程施工2016.4.docx" \l "_备选投标方案" </w:instrText>
      </w:r>
      <w:r>
        <w:fldChar w:fldCharType="separate"/>
      </w:r>
      <w:r>
        <w:rPr>
          <w:rStyle w:val="18"/>
          <w:rFonts w:hint="eastAsia" w:ascii="宋体" w:hAnsi="宋体" w:cs="仿宋_GB2312"/>
          <w:color w:val="auto"/>
          <w:szCs w:val="21"/>
        </w:rPr>
        <w:t>投标人须知前附表</w:t>
      </w:r>
      <w:r>
        <w:rPr>
          <w:rStyle w:val="18"/>
          <w:rFonts w:hint="eastAsia" w:ascii="宋体" w:hAnsi="宋体" w:cs="仿宋_GB2312"/>
          <w:color w:val="auto"/>
          <w:szCs w:val="21"/>
        </w:rPr>
        <w:fldChar w:fldCharType="end"/>
      </w:r>
      <w:r>
        <w:rPr>
          <w:rFonts w:hint="eastAsia" w:ascii="宋体" w:hAnsi="宋体" w:cs="仿宋_GB2312"/>
          <w:kern w:val="0"/>
          <w:szCs w:val="21"/>
        </w:rPr>
        <w:t>另有规定外，投标人不得递交备选投标方案。允许投标人递交备选投标方案的，只有中标人所递交的备选投标方案方可予以考虑。评标委员会认为中标人的备选投标方案优于其按照招标文件要求编制的投标方案的，招标人可以接受该备选投标方案。</w:t>
      </w:r>
    </w:p>
    <w:p>
      <w:pPr>
        <w:pStyle w:val="6"/>
        <w:pageBreakBefore w:val="0"/>
        <w:widowControl w:val="0"/>
        <w:kinsoku/>
        <w:wordWrap/>
        <w:overflowPunct/>
        <w:topLinePunct w:val="0"/>
        <w:bidi w:val="0"/>
        <w:snapToGrid/>
        <w:spacing w:line="360" w:lineRule="auto"/>
        <w:textAlignment w:val="auto"/>
      </w:pPr>
      <w:bookmarkStart w:id="140" w:name="_3.7_投标文件的编制（适用于纸质招标文件）"/>
      <w:bookmarkEnd w:id="140"/>
      <w:bookmarkStart w:id="141" w:name="_3.7_投标文件的编制"/>
      <w:bookmarkEnd w:id="141"/>
      <w:bookmarkStart w:id="142" w:name="_Toc266951065"/>
      <w:r>
        <w:rPr>
          <w:rFonts w:cs="TimesNewRomanPSMT"/>
        </w:rPr>
        <w:t xml:space="preserve">3.7 </w:t>
      </w:r>
      <w:r>
        <w:rPr>
          <w:rFonts w:hint="eastAsia"/>
        </w:rPr>
        <w:t>投标文件的编制</w:t>
      </w:r>
      <w:bookmarkEnd w:id="142"/>
    </w:p>
    <w:p>
      <w:pPr>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cs="仿宋_GB2312"/>
          <w:kern w:val="0"/>
          <w:szCs w:val="21"/>
        </w:rPr>
      </w:pPr>
      <w:r>
        <w:rPr>
          <w:rFonts w:ascii="宋体" w:hAnsi="宋体" w:cs="仿宋_GB2312"/>
          <w:kern w:val="0"/>
          <w:szCs w:val="21"/>
        </w:rPr>
        <w:t xml:space="preserve">3.7.1 </w:t>
      </w:r>
      <w:r>
        <w:rPr>
          <w:rFonts w:hint="eastAsia" w:ascii="宋体" w:hAnsi="宋体" w:cs="仿宋_GB2312"/>
          <w:kern w:val="0"/>
          <w:szCs w:val="21"/>
        </w:rPr>
        <w:t>投标文件应按第八章“</w:t>
      </w:r>
      <w:r>
        <w:fldChar w:fldCharType="begin"/>
      </w:r>
      <w:r>
        <w:instrText xml:space="preserve"> HYPERLINK "file:///H:\\泰州招标文件范本\\泰州市房屋建筑和市政工程施工2016.4.docx" \l "_第八章__投标文件格式" </w:instrText>
      </w:r>
      <w:r>
        <w:fldChar w:fldCharType="separate"/>
      </w:r>
      <w:r>
        <w:rPr>
          <w:rStyle w:val="18"/>
          <w:rFonts w:hint="eastAsia" w:ascii="宋体" w:hAnsi="宋体" w:cs="仿宋_GB2312"/>
          <w:color w:val="auto"/>
          <w:szCs w:val="21"/>
        </w:rPr>
        <w:t>投标文件格式</w:t>
      </w:r>
      <w:r>
        <w:rPr>
          <w:rStyle w:val="18"/>
          <w:rFonts w:hint="eastAsia" w:ascii="宋体" w:hAnsi="宋体" w:cs="仿宋_GB2312"/>
          <w:color w:val="auto"/>
          <w:szCs w:val="21"/>
        </w:rPr>
        <w:fldChar w:fldCharType="end"/>
      </w:r>
      <w:r>
        <w:rPr>
          <w:rFonts w:hint="eastAsia" w:ascii="宋体" w:hAnsi="宋体" w:cs="仿宋_GB2312"/>
          <w:kern w:val="0"/>
          <w:szCs w:val="21"/>
        </w:rPr>
        <w:t>”进行编写，如有必要，可以增加附页，作为投标文件的组成部分。其中，投标函附录在满足招标文件实质性要求的基础上，可以提出比招标文件要求更有利于招标人的承诺。</w:t>
      </w:r>
    </w:p>
    <w:p>
      <w:pPr>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cs="仿宋_GB2312"/>
          <w:kern w:val="0"/>
          <w:szCs w:val="21"/>
        </w:rPr>
      </w:pPr>
      <w:r>
        <w:rPr>
          <w:rFonts w:ascii="宋体" w:hAnsi="宋体" w:cs="仿宋_GB2312"/>
          <w:kern w:val="0"/>
          <w:szCs w:val="21"/>
        </w:rPr>
        <w:t xml:space="preserve">3.7.2 </w:t>
      </w:r>
      <w:r>
        <w:rPr>
          <w:rFonts w:hint="eastAsia" w:ascii="宋体" w:hAnsi="宋体" w:cs="仿宋_GB2312"/>
          <w:kern w:val="0"/>
          <w:szCs w:val="21"/>
        </w:rPr>
        <w:t>投标文件必须对招标文件有关工期、投标有效期、质量要求、技术标准和要求、招标范围等实质性内容作出响应。</w:t>
      </w:r>
    </w:p>
    <w:p>
      <w:pPr>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cs="仿宋_GB2312"/>
          <w:kern w:val="0"/>
          <w:szCs w:val="21"/>
        </w:rPr>
      </w:pPr>
      <w:r>
        <w:rPr>
          <w:rFonts w:ascii="宋体" w:hAnsi="宋体" w:cs="仿宋_GB2312"/>
          <w:kern w:val="0"/>
          <w:szCs w:val="21"/>
        </w:rPr>
        <w:t>3.7.3</w:t>
      </w:r>
      <w:r>
        <w:rPr>
          <w:rFonts w:hint="eastAsia" w:hAnsi="宋体"/>
          <w:szCs w:val="21"/>
        </w:rPr>
        <w:t>投标文件应由投标人的法定代表人或其委托代理人签名和盖单位印章。委托代理人签字的，投标文件应附法定代表人签署的授权委托书。签字或盖章的具体要求见</w:t>
      </w:r>
      <w:r>
        <w:fldChar w:fldCharType="begin"/>
      </w:r>
      <w:r>
        <w:instrText xml:space="preserve"> HYPERLINK "file:///H:\\泰州招标文件范本\\泰州市房屋建筑和市政工程施工2016.4.docx" \l "_投标文件的编制" </w:instrText>
      </w:r>
      <w:r>
        <w:fldChar w:fldCharType="separate"/>
      </w:r>
      <w:r>
        <w:rPr>
          <w:rStyle w:val="18"/>
          <w:rFonts w:hint="eastAsia" w:ascii="宋体" w:hAnsi="宋体" w:cs="仿宋_GB2312"/>
          <w:color w:val="auto"/>
          <w:szCs w:val="21"/>
        </w:rPr>
        <w:t>投标人须知前附表</w:t>
      </w:r>
      <w:r>
        <w:rPr>
          <w:rStyle w:val="18"/>
          <w:rFonts w:hint="eastAsia" w:ascii="宋体" w:hAnsi="宋体" w:cs="仿宋_GB2312"/>
          <w:color w:val="auto"/>
          <w:szCs w:val="21"/>
        </w:rPr>
        <w:fldChar w:fldCharType="end"/>
      </w:r>
      <w:r>
        <w:rPr>
          <w:rFonts w:hint="eastAsia" w:ascii="宋体" w:hAnsi="宋体" w:cs="仿宋_GB2312"/>
          <w:kern w:val="0"/>
          <w:szCs w:val="21"/>
        </w:rPr>
        <w:t>。</w:t>
      </w:r>
    </w:p>
    <w:p>
      <w:pPr>
        <w:pStyle w:val="5"/>
        <w:pageBreakBefore w:val="0"/>
        <w:widowControl w:val="0"/>
        <w:kinsoku/>
        <w:wordWrap/>
        <w:overflowPunct/>
        <w:topLinePunct w:val="0"/>
        <w:bidi w:val="0"/>
        <w:snapToGrid/>
        <w:spacing w:line="360" w:lineRule="auto"/>
        <w:textAlignment w:val="auto"/>
        <w:rPr>
          <w:rFonts w:cs="黑体"/>
        </w:rPr>
      </w:pPr>
      <w:bookmarkStart w:id="143" w:name="_4._投标"/>
      <w:bookmarkEnd w:id="143"/>
      <w:bookmarkStart w:id="144" w:name="_Toc266951066"/>
      <w:bookmarkStart w:id="145" w:name="_Toc275956105"/>
      <w:r>
        <w:t xml:space="preserve">4. </w:t>
      </w:r>
      <w:r>
        <w:rPr>
          <w:rFonts w:hint="eastAsia" w:cs="黑体"/>
        </w:rPr>
        <w:t>投标</w:t>
      </w:r>
      <w:bookmarkEnd w:id="144"/>
      <w:bookmarkEnd w:id="145"/>
    </w:p>
    <w:p>
      <w:pPr>
        <w:pageBreakBefore w:val="0"/>
        <w:widowControl w:val="0"/>
        <w:kinsoku/>
        <w:wordWrap/>
        <w:overflowPunct/>
        <w:topLinePunct w:val="0"/>
        <w:bidi w:val="0"/>
        <w:snapToGrid/>
        <w:spacing w:line="360" w:lineRule="auto"/>
        <w:textAlignment w:val="auto"/>
      </w:pPr>
      <w:bookmarkStart w:id="146" w:name="_4.1_投标文件的密封和标记（适用于电子投标文件）"/>
      <w:bookmarkEnd w:id="146"/>
      <w:bookmarkStart w:id="147" w:name="_4.1_投标文件的密封和标记（适用于纸质投标文件）"/>
      <w:bookmarkEnd w:id="147"/>
      <w:bookmarkStart w:id="148" w:name="_Toc266951068"/>
      <w:r>
        <w:rPr>
          <w:rFonts w:hint="eastAsia"/>
        </w:rPr>
        <w:t>4.1投标文件格式</w:t>
      </w:r>
    </w:p>
    <w:p>
      <w:pPr>
        <w:pageBreakBefore w:val="0"/>
        <w:widowControl w:val="0"/>
        <w:kinsoku/>
        <w:wordWrap/>
        <w:overflowPunct/>
        <w:topLinePunct w:val="0"/>
        <w:bidi w:val="0"/>
        <w:snapToGrid/>
        <w:spacing w:line="360" w:lineRule="auto"/>
        <w:ind w:firstLine="420" w:firstLineChars="200"/>
        <w:textAlignment w:val="auto"/>
      </w:pPr>
      <w:r>
        <w:rPr>
          <w:rFonts w:hint="eastAsia"/>
        </w:rPr>
        <w:t>4.1.1 投标人提交的投标文件按照第八章格式。</w:t>
      </w:r>
    </w:p>
    <w:p>
      <w:pPr>
        <w:pageBreakBefore w:val="0"/>
        <w:widowControl w:val="0"/>
        <w:kinsoku/>
        <w:wordWrap/>
        <w:overflowPunct/>
        <w:topLinePunct w:val="0"/>
        <w:bidi w:val="0"/>
        <w:snapToGrid/>
        <w:spacing w:line="360" w:lineRule="auto"/>
        <w:ind w:firstLine="420" w:firstLineChars="200"/>
        <w:textAlignment w:val="auto"/>
      </w:pPr>
      <w:r>
        <w:rPr>
          <w:rFonts w:hint="eastAsia"/>
        </w:rPr>
        <w:t>4.1.2 投标文件均需打印或使用不褪色的墨水笔书写，字迹应清晰易辨认，并采用A4纸张装订成册。</w:t>
      </w:r>
    </w:p>
    <w:p>
      <w:pPr>
        <w:pageBreakBefore w:val="0"/>
        <w:widowControl w:val="0"/>
        <w:kinsoku/>
        <w:wordWrap/>
        <w:overflowPunct/>
        <w:topLinePunct w:val="0"/>
        <w:bidi w:val="0"/>
        <w:snapToGrid/>
        <w:spacing w:line="360" w:lineRule="auto"/>
        <w:textAlignment w:val="auto"/>
      </w:pPr>
      <w:r>
        <w:rPr>
          <w:rFonts w:hint="eastAsia"/>
        </w:rPr>
        <w:t>4.2 投标文件的份数及签署</w:t>
      </w:r>
    </w:p>
    <w:p>
      <w:pPr>
        <w:pageBreakBefore w:val="0"/>
        <w:widowControl w:val="0"/>
        <w:kinsoku/>
        <w:wordWrap/>
        <w:overflowPunct/>
        <w:topLinePunct w:val="0"/>
        <w:bidi w:val="0"/>
        <w:snapToGrid/>
        <w:spacing w:line="360" w:lineRule="auto"/>
        <w:ind w:firstLine="420" w:firstLineChars="200"/>
        <w:textAlignment w:val="auto"/>
      </w:pPr>
      <w:r>
        <w:rPr>
          <w:rFonts w:hint="eastAsia"/>
        </w:rPr>
        <w:t>4.2.1 投标文件三份，其中1份“正本”和2份“副本”，并在投标文件封面的右上角清楚地注明“正本”和“副本”。“正本”和“副本”如有不一致之处，以正本为准。</w:t>
      </w:r>
    </w:p>
    <w:p>
      <w:pPr>
        <w:pageBreakBefore w:val="0"/>
        <w:widowControl w:val="0"/>
        <w:kinsoku/>
        <w:wordWrap/>
        <w:overflowPunct/>
        <w:topLinePunct w:val="0"/>
        <w:bidi w:val="0"/>
        <w:snapToGrid/>
        <w:spacing w:line="360" w:lineRule="auto"/>
        <w:ind w:firstLine="420" w:firstLineChars="200"/>
        <w:textAlignment w:val="auto"/>
      </w:pPr>
      <w:r>
        <w:rPr>
          <w:rFonts w:hint="eastAsia"/>
        </w:rPr>
        <w:t>4.2.2 投标文件应根据招标文件中投标文件格式要求加盖投标单位法人章并经法定代表人或其委托代理人签字或盖章。由委托代理人签字或盖章的在投标文件中须同时提交投标文件签署授权委托书。</w:t>
      </w:r>
    </w:p>
    <w:p>
      <w:pPr>
        <w:pageBreakBefore w:val="0"/>
        <w:widowControl w:val="0"/>
        <w:kinsoku/>
        <w:wordWrap/>
        <w:overflowPunct/>
        <w:topLinePunct w:val="0"/>
        <w:bidi w:val="0"/>
        <w:snapToGrid/>
        <w:spacing w:line="360" w:lineRule="auto"/>
        <w:ind w:firstLine="420" w:firstLineChars="200"/>
        <w:textAlignment w:val="auto"/>
      </w:pPr>
      <w:r>
        <w:rPr>
          <w:rFonts w:hint="eastAsia"/>
        </w:rPr>
        <w:t>4.2.3 投标文件中商务标书须加盖投标人公章。</w:t>
      </w:r>
    </w:p>
    <w:p>
      <w:pPr>
        <w:pageBreakBefore w:val="0"/>
        <w:widowControl w:val="0"/>
        <w:kinsoku/>
        <w:wordWrap/>
        <w:overflowPunct/>
        <w:topLinePunct w:val="0"/>
        <w:bidi w:val="0"/>
        <w:snapToGrid/>
        <w:spacing w:line="360" w:lineRule="auto"/>
        <w:ind w:firstLine="420" w:firstLineChars="200"/>
        <w:textAlignment w:val="auto"/>
      </w:pPr>
      <w:r>
        <w:rPr>
          <w:rFonts w:hint="eastAsia"/>
        </w:rPr>
        <w:t>4.2.4 全套投标文件应无修改和行间插字。如有修改，必须保证文件清晰整洁，并在修改处加盖投标人法定代表人或其委托代理人的印章（或签字）。</w:t>
      </w:r>
    </w:p>
    <w:p>
      <w:pPr>
        <w:pageBreakBefore w:val="0"/>
        <w:widowControl w:val="0"/>
        <w:kinsoku/>
        <w:wordWrap/>
        <w:overflowPunct/>
        <w:topLinePunct w:val="0"/>
        <w:bidi w:val="0"/>
        <w:snapToGrid/>
        <w:spacing w:line="360" w:lineRule="auto"/>
        <w:textAlignment w:val="auto"/>
      </w:pPr>
      <w:r>
        <w:rPr>
          <w:rFonts w:hint="eastAsia"/>
        </w:rPr>
        <w:t>4.3 投标文件的密封和标记</w:t>
      </w:r>
    </w:p>
    <w:p>
      <w:pPr>
        <w:pageBreakBefore w:val="0"/>
        <w:widowControl w:val="0"/>
        <w:kinsoku/>
        <w:wordWrap/>
        <w:overflowPunct/>
        <w:topLinePunct w:val="0"/>
        <w:bidi w:val="0"/>
        <w:snapToGrid/>
        <w:spacing w:line="360" w:lineRule="auto"/>
        <w:ind w:firstLine="420" w:firstLineChars="200"/>
        <w:textAlignment w:val="auto"/>
      </w:pPr>
      <w:r>
        <w:rPr>
          <w:rFonts w:hint="eastAsia"/>
        </w:rPr>
        <w:t xml:space="preserve">4.3.1 </w:t>
      </w:r>
      <w:r>
        <w:rPr>
          <w:rFonts w:hint="eastAsia"/>
          <w:b/>
          <w:bCs/>
          <w:u w:val="wave"/>
        </w:rPr>
        <w:t>投标文件共分</w:t>
      </w:r>
      <w:r>
        <w:rPr>
          <w:rFonts w:hint="eastAsia"/>
          <w:b/>
          <w:bCs/>
          <w:u w:val="wave"/>
          <w:lang w:val="en-US" w:eastAsia="zh-CN"/>
        </w:rPr>
        <w:t>2</w:t>
      </w:r>
      <w:r>
        <w:rPr>
          <w:rFonts w:hint="eastAsia"/>
          <w:b/>
          <w:bCs/>
          <w:u w:val="wave"/>
        </w:rPr>
        <w:t>个密封袋，投标文件正副本密封包装于一个袋内；低价差额担保金（如有）包装于一个袋内;</w:t>
      </w:r>
      <w:r>
        <w:rPr>
          <w:rFonts w:hint="eastAsia"/>
        </w:rPr>
        <w:t>并在密封袋上相应注明招标工程名称、投标人名称。</w:t>
      </w:r>
    </w:p>
    <w:p>
      <w:pPr>
        <w:pageBreakBefore w:val="0"/>
        <w:widowControl w:val="0"/>
        <w:kinsoku/>
        <w:wordWrap/>
        <w:overflowPunct/>
        <w:topLinePunct w:val="0"/>
        <w:bidi w:val="0"/>
        <w:snapToGrid/>
        <w:spacing w:line="360" w:lineRule="auto"/>
        <w:ind w:firstLine="420" w:firstLineChars="200"/>
        <w:textAlignment w:val="auto"/>
      </w:pPr>
      <w:r>
        <w:rPr>
          <w:rFonts w:hint="eastAsia"/>
        </w:rPr>
        <w:t>4.3.2 密封袋的封口处加盖投标单位法人章。</w:t>
      </w:r>
    </w:p>
    <w:p>
      <w:pPr>
        <w:pageBreakBefore w:val="0"/>
        <w:widowControl w:val="0"/>
        <w:kinsoku/>
        <w:wordWrap/>
        <w:overflowPunct/>
        <w:topLinePunct w:val="0"/>
        <w:bidi w:val="0"/>
        <w:snapToGrid/>
        <w:spacing w:line="360" w:lineRule="auto"/>
        <w:textAlignment w:val="auto"/>
      </w:pPr>
      <w:r>
        <w:rPr>
          <w:rFonts w:hint="eastAsia"/>
        </w:rPr>
        <w:t>4.4投标文件的修改与撤回</w:t>
      </w:r>
    </w:p>
    <w:p>
      <w:pPr>
        <w:pageBreakBefore w:val="0"/>
        <w:widowControl w:val="0"/>
        <w:kinsoku/>
        <w:wordWrap/>
        <w:overflowPunct/>
        <w:topLinePunct w:val="0"/>
        <w:bidi w:val="0"/>
        <w:snapToGrid/>
        <w:spacing w:line="360" w:lineRule="auto"/>
        <w:ind w:firstLine="420" w:firstLineChars="200"/>
        <w:textAlignment w:val="auto"/>
      </w:pPr>
      <w:r>
        <w:rPr>
          <w:rFonts w:hint="eastAsia"/>
        </w:rPr>
        <w:t>4.4.1 投标截止时间之前，投标人可对所递交的投标文件进行修改或撤回，但所递交的修改或撤回通知必须按本文件第4.3条的规定编制、密封、标记和递交，并在密封袋上注明“修改”或“撤回”字样，注明修改或撤回的时间，</w:t>
      </w:r>
      <w:r>
        <w:rPr>
          <w:rFonts w:hint="eastAsia" w:ascii="宋体" w:hAnsi="宋体"/>
        </w:rPr>
        <w:t>修改的内容为投标文件的组成部分；</w:t>
      </w:r>
    </w:p>
    <w:p>
      <w:pPr>
        <w:pageBreakBefore w:val="0"/>
        <w:widowControl w:val="0"/>
        <w:kinsoku/>
        <w:wordWrap/>
        <w:overflowPunct/>
        <w:topLinePunct w:val="0"/>
        <w:bidi w:val="0"/>
        <w:snapToGrid/>
        <w:spacing w:line="360" w:lineRule="auto"/>
        <w:ind w:firstLine="420" w:firstLineChars="200"/>
        <w:textAlignment w:val="auto"/>
      </w:pPr>
      <w:r>
        <w:rPr>
          <w:rFonts w:hint="eastAsia"/>
        </w:rPr>
        <w:t>4.4.2 投标截止时间之后，投标人不得修改或撤回投标文件。</w:t>
      </w:r>
    </w:p>
    <w:p>
      <w:pPr>
        <w:pageBreakBefore w:val="0"/>
        <w:widowControl w:val="0"/>
        <w:kinsoku/>
        <w:wordWrap/>
        <w:overflowPunct/>
        <w:topLinePunct w:val="0"/>
        <w:bidi w:val="0"/>
        <w:snapToGrid/>
        <w:spacing w:line="360" w:lineRule="auto"/>
        <w:textAlignment w:val="auto"/>
      </w:pPr>
      <w:r>
        <w:rPr>
          <w:rFonts w:hint="eastAsia"/>
        </w:rPr>
        <w:t>4.5 截标时投标文件的数量要求</w:t>
      </w:r>
    </w:p>
    <w:p>
      <w:pPr>
        <w:pageBreakBefore w:val="0"/>
        <w:widowControl w:val="0"/>
        <w:kinsoku/>
        <w:wordWrap/>
        <w:overflowPunct/>
        <w:topLinePunct w:val="0"/>
        <w:bidi w:val="0"/>
        <w:snapToGrid/>
        <w:spacing w:line="360" w:lineRule="auto"/>
        <w:ind w:firstLine="420" w:firstLineChars="200"/>
        <w:textAlignment w:val="auto"/>
      </w:pPr>
      <w:r>
        <w:rPr>
          <w:rFonts w:hint="eastAsia"/>
        </w:rPr>
        <w:t>截标时递交标书的投标人数量不足3名的，招标人可以根据情况决定是否开标和评标程序。如果导致招标失败，招标人将不负担因此给投标人造成的损失。</w:t>
      </w:r>
    </w:p>
    <w:bookmarkEnd w:id="148"/>
    <w:p>
      <w:pPr>
        <w:pStyle w:val="6"/>
        <w:pageBreakBefore w:val="0"/>
        <w:widowControl w:val="0"/>
        <w:kinsoku/>
        <w:wordWrap/>
        <w:overflowPunct/>
        <w:topLinePunct w:val="0"/>
        <w:bidi w:val="0"/>
        <w:snapToGrid/>
        <w:spacing w:line="360" w:lineRule="auto"/>
        <w:textAlignment w:val="auto"/>
      </w:pPr>
      <w:bookmarkStart w:id="149" w:name="_4.2_投标文件的递交（适用于纸质投标文件）"/>
      <w:bookmarkEnd w:id="149"/>
      <w:bookmarkStart w:id="150" w:name="_Toc266951070"/>
      <w:r>
        <w:rPr>
          <w:rFonts w:cs="TimesNewRomanPSMT"/>
        </w:rPr>
        <w:t>4.</w:t>
      </w:r>
      <w:r>
        <w:rPr>
          <w:rFonts w:hint="eastAsia" w:cs="TimesNewRomanPSMT"/>
        </w:rPr>
        <w:t>6</w:t>
      </w:r>
      <w:r>
        <w:rPr>
          <w:rFonts w:hint="eastAsia"/>
        </w:rPr>
        <w:t>投标文件的递交</w:t>
      </w:r>
      <w:bookmarkEnd w:id="150"/>
    </w:p>
    <w:p>
      <w:pPr>
        <w:pageBreakBefore w:val="0"/>
        <w:widowControl w:val="0"/>
        <w:kinsoku/>
        <w:wordWrap/>
        <w:overflowPunct/>
        <w:topLinePunct w:val="0"/>
        <w:bidi w:val="0"/>
        <w:snapToGrid/>
        <w:spacing w:line="360" w:lineRule="auto"/>
        <w:ind w:firstLine="315" w:firstLineChars="150"/>
        <w:textAlignment w:val="auto"/>
        <w:rPr>
          <w:rFonts w:ascii="宋体"/>
        </w:rPr>
      </w:pPr>
      <w:r>
        <w:rPr>
          <w:rFonts w:ascii="宋体" w:hAnsi="宋体"/>
        </w:rPr>
        <w:t>4.</w:t>
      </w:r>
      <w:r>
        <w:rPr>
          <w:rFonts w:hint="eastAsia" w:ascii="宋体" w:hAnsi="宋体"/>
        </w:rPr>
        <w:t>6</w:t>
      </w:r>
      <w:r>
        <w:rPr>
          <w:rFonts w:ascii="宋体" w:hAnsi="宋体"/>
        </w:rPr>
        <w:t>.1</w:t>
      </w:r>
      <w:r>
        <w:rPr>
          <w:rFonts w:hint="eastAsia" w:hAnsi="宋体"/>
          <w:szCs w:val="21"/>
        </w:rPr>
        <w:t>投标人应在本章第</w:t>
      </w:r>
      <w:r>
        <w:rPr>
          <w:rFonts w:hAnsi="宋体"/>
          <w:szCs w:val="21"/>
        </w:rPr>
        <w:t xml:space="preserve">2.2.2 </w:t>
      </w:r>
      <w:r>
        <w:rPr>
          <w:rFonts w:hint="eastAsia" w:hAnsi="宋体"/>
          <w:szCs w:val="21"/>
        </w:rPr>
        <w:t>项规定的投标截止时间前，</w:t>
      </w:r>
      <w:r>
        <w:rPr>
          <w:rFonts w:hint="eastAsia" w:ascii="宋体" w:hAnsi="宋体"/>
        </w:rPr>
        <w:t>递交投标文件至指定地点。未按规定方式密封的投标文件及逾期送达投标文件，招标人不予受理。</w:t>
      </w:r>
    </w:p>
    <w:p>
      <w:pPr>
        <w:pageBreakBefore w:val="0"/>
        <w:widowControl w:val="0"/>
        <w:kinsoku/>
        <w:wordWrap/>
        <w:overflowPunct/>
        <w:topLinePunct w:val="0"/>
        <w:bidi w:val="0"/>
        <w:snapToGrid/>
        <w:spacing w:line="360" w:lineRule="auto"/>
        <w:ind w:firstLine="315" w:firstLineChars="150"/>
        <w:textAlignment w:val="auto"/>
        <w:rPr>
          <w:rFonts w:ascii="宋体"/>
        </w:rPr>
      </w:pPr>
      <w:r>
        <w:rPr>
          <w:rFonts w:ascii="宋体" w:hAnsi="宋体"/>
        </w:rPr>
        <w:t>4.</w:t>
      </w:r>
      <w:r>
        <w:rPr>
          <w:rFonts w:hint="eastAsia" w:ascii="宋体" w:hAnsi="宋体"/>
        </w:rPr>
        <w:t>6</w:t>
      </w:r>
      <w:r>
        <w:rPr>
          <w:rFonts w:ascii="宋体" w:hAnsi="宋体"/>
        </w:rPr>
        <w:t xml:space="preserve">.2 </w:t>
      </w:r>
      <w:r>
        <w:rPr>
          <w:rFonts w:hint="eastAsia" w:ascii="宋体" w:hAnsi="宋体"/>
        </w:rPr>
        <w:t>投标人递交投标文件的形式及地点：见</w:t>
      </w:r>
      <w:r>
        <w:fldChar w:fldCharType="begin"/>
      </w:r>
      <w:r>
        <w:instrText xml:space="preserve"> HYPERLINK "file:///H:\\泰州招标文件范本\\泰州市房屋建筑和市政工程施工2016.4.docx" \l "_投标文件的递交" </w:instrText>
      </w:r>
      <w:r>
        <w:fldChar w:fldCharType="separate"/>
      </w:r>
      <w:r>
        <w:rPr>
          <w:rStyle w:val="18"/>
          <w:rFonts w:hint="eastAsia" w:ascii="宋体" w:hAnsi="宋体"/>
          <w:color w:val="auto"/>
        </w:rPr>
        <w:t>投标人须知前附表</w:t>
      </w:r>
      <w:r>
        <w:rPr>
          <w:rStyle w:val="18"/>
          <w:rFonts w:hint="eastAsia" w:ascii="宋体" w:hAnsi="宋体"/>
          <w:color w:val="auto"/>
        </w:rPr>
        <w:fldChar w:fldCharType="end"/>
      </w:r>
      <w:r>
        <w:rPr>
          <w:rFonts w:hint="eastAsia" w:ascii="宋体" w:hAnsi="宋体"/>
        </w:rPr>
        <w:t>。</w:t>
      </w:r>
    </w:p>
    <w:p>
      <w:pPr>
        <w:pStyle w:val="5"/>
        <w:pageBreakBefore w:val="0"/>
        <w:widowControl w:val="0"/>
        <w:kinsoku/>
        <w:wordWrap/>
        <w:overflowPunct/>
        <w:topLinePunct w:val="0"/>
        <w:bidi w:val="0"/>
        <w:snapToGrid/>
        <w:spacing w:line="360" w:lineRule="auto"/>
        <w:textAlignment w:val="auto"/>
        <w:rPr>
          <w:rFonts w:cs="黑体"/>
        </w:rPr>
      </w:pPr>
      <w:bookmarkStart w:id="151" w:name="_4.3_投标文件的修改与撤回（适用于电子招标文件）"/>
      <w:bookmarkEnd w:id="151"/>
      <w:bookmarkStart w:id="152" w:name="_4.3_投标文件的修改与撤回（适用于纸质投标文件）"/>
      <w:bookmarkEnd w:id="152"/>
      <w:bookmarkStart w:id="153" w:name="_Toc275956106"/>
      <w:bookmarkStart w:id="154" w:name="_Toc266951073"/>
      <w:r>
        <w:t xml:space="preserve">5. </w:t>
      </w:r>
      <w:r>
        <w:rPr>
          <w:rFonts w:hint="eastAsia" w:cs="黑体"/>
        </w:rPr>
        <w:t>开标</w:t>
      </w:r>
      <w:bookmarkEnd w:id="153"/>
      <w:bookmarkEnd w:id="154"/>
    </w:p>
    <w:p>
      <w:pPr>
        <w:pStyle w:val="6"/>
        <w:pageBreakBefore w:val="0"/>
        <w:widowControl w:val="0"/>
        <w:kinsoku/>
        <w:wordWrap/>
        <w:overflowPunct/>
        <w:topLinePunct w:val="0"/>
        <w:bidi w:val="0"/>
        <w:snapToGrid/>
        <w:spacing w:line="360" w:lineRule="auto"/>
        <w:textAlignment w:val="auto"/>
      </w:pPr>
      <w:bookmarkStart w:id="155" w:name="_5.1_开标时间和地点"/>
      <w:bookmarkEnd w:id="155"/>
      <w:bookmarkStart w:id="156" w:name="_Toc266951074"/>
      <w:r>
        <w:rPr>
          <w:rFonts w:cs="TimesNewRomanPSMT"/>
        </w:rPr>
        <w:t xml:space="preserve">5.1 </w:t>
      </w:r>
      <w:r>
        <w:rPr>
          <w:rFonts w:hint="eastAsia"/>
        </w:rPr>
        <w:t>开标时间和地点</w:t>
      </w:r>
      <w:bookmarkEnd w:id="156"/>
    </w:p>
    <w:p>
      <w:pPr>
        <w:pageBreakBefore w:val="0"/>
        <w:widowControl w:val="0"/>
        <w:kinsoku/>
        <w:wordWrap/>
        <w:overflowPunct/>
        <w:topLinePunct w:val="0"/>
        <w:autoSpaceDE w:val="0"/>
        <w:autoSpaceDN w:val="0"/>
        <w:bidi w:val="0"/>
        <w:adjustRightInd w:val="0"/>
        <w:snapToGrid/>
        <w:spacing w:line="360" w:lineRule="auto"/>
        <w:ind w:firstLine="315" w:firstLineChars="150"/>
        <w:jc w:val="left"/>
        <w:textAlignment w:val="auto"/>
        <w:rPr>
          <w:rFonts w:ascii="宋体" w:cs="仿宋_GB2312"/>
          <w:kern w:val="0"/>
          <w:szCs w:val="21"/>
        </w:rPr>
      </w:pPr>
      <w:r>
        <w:rPr>
          <w:rFonts w:hint="eastAsia" w:ascii="宋体" w:hAnsi="宋体" w:cs="仿宋_GB2312"/>
          <w:kern w:val="0"/>
          <w:szCs w:val="21"/>
        </w:rPr>
        <w:t>招标人应按照</w:t>
      </w:r>
      <w:r>
        <w:fldChar w:fldCharType="begin"/>
      </w:r>
      <w:r>
        <w:instrText xml:space="preserve"> HYPERLINK "file:///H:\\泰州招标文件范本\\泰州市房屋建筑和市政工程施工2016.4.docx" \l "_2.2_1" </w:instrText>
      </w:r>
      <w:r>
        <w:fldChar w:fldCharType="separate"/>
      </w:r>
      <w:r>
        <w:rPr>
          <w:rStyle w:val="18"/>
          <w:rFonts w:hint="eastAsia" w:ascii="宋体" w:hAnsi="宋体"/>
          <w:color w:val="auto"/>
        </w:rPr>
        <w:t>本章投标人须知前附表第</w:t>
      </w:r>
      <w:r>
        <w:rPr>
          <w:rStyle w:val="18"/>
          <w:rFonts w:ascii="宋体" w:hAnsi="宋体"/>
          <w:color w:val="auto"/>
        </w:rPr>
        <w:t>2.2.2</w:t>
      </w:r>
      <w:r>
        <w:rPr>
          <w:rStyle w:val="18"/>
          <w:rFonts w:hint="eastAsia" w:ascii="宋体" w:hAnsi="宋体"/>
          <w:color w:val="auto"/>
        </w:rPr>
        <w:t>项</w:t>
      </w:r>
      <w:r>
        <w:rPr>
          <w:rStyle w:val="18"/>
          <w:rFonts w:hint="eastAsia" w:ascii="宋体" w:hAnsi="宋体"/>
          <w:color w:val="auto"/>
        </w:rPr>
        <w:fldChar w:fldCharType="end"/>
      </w:r>
      <w:r>
        <w:rPr>
          <w:rFonts w:hint="eastAsia" w:ascii="宋体" w:hAnsi="宋体"/>
        </w:rPr>
        <w:t>规定的投标截止时间（开标时间）和</w:t>
      </w:r>
      <w:r>
        <w:fldChar w:fldCharType="begin"/>
      </w:r>
      <w:r>
        <w:instrText xml:space="preserve"> HYPERLINK "file:///H:\\泰州招标文件范本\\泰州市房屋建筑和市政工程施工2016.4.docx" \l "_开标时间和地点" </w:instrText>
      </w:r>
      <w:r>
        <w:fldChar w:fldCharType="separate"/>
      </w:r>
      <w:r>
        <w:rPr>
          <w:rStyle w:val="18"/>
          <w:rFonts w:hint="eastAsia" w:ascii="宋体" w:hAnsi="宋体" w:cs="仿宋_GB2312"/>
          <w:color w:val="auto"/>
          <w:szCs w:val="21"/>
        </w:rPr>
        <w:t>投标人须知前附表</w:t>
      </w:r>
      <w:r>
        <w:rPr>
          <w:rStyle w:val="18"/>
          <w:rFonts w:hint="eastAsia" w:ascii="宋体" w:hAnsi="宋体" w:cs="仿宋_GB2312"/>
          <w:color w:val="auto"/>
          <w:szCs w:val="21"/>
        </w:rPr>
        <w:fldChar w:fldCharType="end"/>
      </w:r>
      <w:r>
        <w:rPr>
          <w:rFonts w:hint="eastAsia" w:ascii="宋体" w:hAnsi="宋体" w:cs="仿宋_GB2312"/>
          <w:kern w:val="0"/>
          <w:szCs w:val="21"/>
        </w:rPr>
        <w:t>规定的地点公开开标，并邀请所有投标人准时参加。</w:t>
      </w:r>
    </w:p>
    <w:p>
      <w:pPr>
        <w:pageBreakBefore w:val="0"/>
        <w:widowControl w:val="0"/>
        <w:kinsoku/>
        <w:wordWrap/>
        <w:overflowPunct/>
        <w:topLinePunct w:val="0"/>
        <w:bidi w:val="0"/>
        <w:snapToGrid/>
        <w:spacing w:line="360" w:lineRule="auto"/>
        <w:textAlignment w:val="auto"/>
      </w:pPr>
      <w:r>
        <w:t xml:space="preserve">5.1.1 </w:t>
      </w:r>
      <w:r>
        <w:rPr>
          <w:rFonts w:hint="eastAsia"/>
          <w:b/>
          <w:bCs/>
        </w:rPr>
        <w:t>投标人参加开标会的要求</w:t>
      </w:r>
      <w:r>
        <w:rPr>
          <w:rFonts w:hint="eastAsia"/>
        </w:rPr>
        <w:t>：</w:t>
      </w:r>
    </w:p>
    <w:p>
      <w:pPr>
        <w:pageBreakBefore w:val="0"/>
        <w:widowControl w:val="0"/>
        <w:kinsoku/>
        <w:wordWrap/>
        <w:overflowPunct/>
        <w:topLinePunct w:val="0"/>
        <w:bidi w:val="0"/>
        <w:snapToGrid/>
        <w:spacing w:line="360" w:lineRule="auto"/>
        <w:ind w:firstLine="420" w:firstLineChars="200"/>
        <w:textAlignment w:val="auto"/>
      </w:pPr>
      <w:r>
        <w:rPr>
          <w:rFonts w:hint="eastAsia"/>
        </w:rPr>
        <w:t>详见</w:t>
      </w:r>
      <w:r>
        <w:t>投标人</w:t>
      </w:r>
      <w:r>
        <w:rPr>
          <w:rFonts w:hint="eastAsia"/>
        </w:rPr>
        <w:t>须知</w:t>
      </w:r>
      <w:r>
        <w:t>前附表。</w:t>
      </w:r>
    </w:p>
    <w:p>
      <w:pPr>
        <w:pStyle w:val="6"/>
        <w:pageBreakBefore w:val="0"/>
        <w:widowControl w:val="0"/>
        <w:kinsoku/>
        <w:wordWrap/>
        <w:overflowPunct/>
        <w:topLinePunct w:val="0"/>
        <w:bidi w:val="0"/>
        <w:snapToGrid/>
        <w:spacing w:line="360" w:lineRule="auto"/>
        <w:textAlignment w:val="auto"/>
      </w:pPr>
      <w:bookmarkStart w:id="157" w:name="_5.2_开标程序（适用于纸质招标文件）"/>
      <w:bookmarkEnd w:id="157"/>
      <w:bookmarkStart w:id="158" w:name="_5.2_开标程序（适用于网络开标）"/>
      <w:bookmarkEnd w:id="158"/>
      <w:bookmarkStart w:id="159" w:name="_Toc144974529"/>
      <w:bookmarkStart w:id="160" w:name="_Toc266951076"/>
      <w:bookmarkStart w:id="161" w:name="_Toc152042337"/>
      <w:bookmarkStart w:id="162" w:name="_Toc226189901"/>
      <w:bookmarkStart w:id="163" w:name="_Toc152045561"/>
      <w:r>
        <w:t xml:space="preserve">5.2 </w:t>
      </w:r>
      <w:r>
        <w:rPr>
          <w:rFonts w:hint="eastAsia"/>
        </w:rPr>
        <w:t>开标程序</w:t>
      </w:r>
      <w:bookmarkEnd w:id="159"/>
      <w:bookmarkEnd w:id="160"/>
      <w:bookmarkEnd w:id="161"/>
      <w:bookmarkEnd w:id="162"/>
      <w:bookmarkEnd w:id="163"/>
    </w:p>
    <w:p>
      <w:pPr>
        <w:pageBreakBefore w:val="0"/>
        <w:widowControl w:val="0"/>
        <w:kinsoku/>
        <w:wordWrap/>
        <w:overflowPunct/>
        <w:topLinePunct w:val="0"/>
        <w:bidi w:val="0"/>
        <w:snapToGrid/>
        <w:spacing w:line="360" w:lineRule="auto"/>
        <w:ind w:firstLine="420" w:firstLineChars="200"/>
        <w:textAlignment w:val="auto"/>
      </w:pPr>
      <w:r>
        <w:t>5.2.1</w:t>
      </w:r>
      <w:r>
        <w:rPr>
          <w:rFonts w:hint="eastAsia"/>
        </w:rPr>
        <w:t>招标人在规定的时间内，按下列程序进行开标：</w:t>
      </w:r>
    </w:p>
    <w:p>
      <w:pPr>
        <w:pageBreakBefore w:val="0"/>
        <w:widowControl w:val="0"/>
        <w:kinsoku/>
        <w:wordWrap/>
        <w:overflowPunct/>
        <w:topLinePunct w:val="0"/>
        <w:bidi w:val="0"/>
        <w:snapToGrid/>
        <w:spacing w:line="360" w:lineRule="auto"/>
        <w:ind w:firstLine="315" w:firstLineChars="150"/>
        <w:textAlignment w:val="auto"/>
      </w:pPr>
      <w:r>
        <w:rPr>
          <w:rFonts w:hint="eastAsia"/>
        </w:rPr>
        <w:t>（</w:t>
      </w:r>
      <w:r>
        <w:t>1</w:t>
      </w:r>
      <w:r>
        <w:rPr>
          <w:rFonts w:hint="eastAsia"/>
        </w:rPr>
        <w:t>）宣布开标纪律；</w:t>
      </w:r>
    </w:p>
    <w:p>
      <w:pPr>
        <w:pageBreakBefore w:val="0"/>
        <w:widowControl w:val="0"/>
        <w:kinsoku/>
        <w:wordWrap/>
        <w:overflowPunct/>
        <w:topLinePunct w:val="0"/>
        <w:bidi w:val="0"/>
        <w:snapToGrid/>
        <w:spacing w:line="360" w:lineRule="auto"/>
        <w:ind w:firstLine="315" w:firstLineChars="150"/>
        <w:textAlignment w:val="auto"/>
      </w:pPr>
      <w:r>
        <w:rPr>
          <w:rFonts w:hint="eastAsia"/>
        </w:rPr>
        <w:t>（</w:t>
      </w:r>
      <w:r>
        <w:t>2</w:t>
      </w:r>
      <w:r>
        <w:rPr>
          <w:rFonts w:hint="eastAsia"/>
        </w:rPr>
        <w:t>）宣布开标人、唱标人、记录人等有关人员姓名；</w:t>
      </w:r>
    </w:p>
    <w:p>
      <w:pPr>
        <w:pageBreakBefore w:val="0"/>
        <w:widowControl w:val="0"/>
        <w:kinsoku/>
        <w:wordWrap/>
        <w:overflowPunct/>
        <w:topLinePunct w:val="0"/>
        <w:bidi w:val="0"/>
        <w:snapToGrid/>
        <w:spacing w:line="360" w:lineRule="auto"/>
        <w:ind w:firstLine="315" w:firstLineChars="150"/>
        <w:textAlignment w:val="auto"/>
      </w:pPr>
      <w:r>
        <w:rPr>
          <w:rFonts w:hint="eastAsia"/>
        </w:rPr>
        <w:t>（</w:t>
      </w:r>
      <w:r>
        <w:t>3</w:t>
      </w:r>
      <w:r>
        <w:rPr>
          <w:rFonts w:hint="eastAsia"/>
        </w:rPr>
        <w:t>）核验投标人代表的身份后，公布投标人名称及</w:t>
      </w:r>
      <w:r>
        <w:rPr>
          <w:rFonts w:hint="eastAsia" w:hAnsi="宋体"/>
          <w:szCs w:val="21"/>
        </w:rPr>
        <w:t>投标人代表参加开标会签到情况</w:t>
      </w:r>
      <w:r>
        <w:rPr>
          <w:rFonts w:hint="eastAsia"/>
        </w:rPr>
        <w:t>；</w:t>
      </w:r>
    </w:p>
    <w:p>
      <w:pPr>
        <w:pageBreakBefore w:val="0"/>
        <w:widowControl w:val="0"/>
        <w:kinsoku/>
        <w:wordWrap/>
        <w:overflowPunct/>
        <w:topLinePunct w:val="0"/>
        <w:bidi w:val="0"/>
        <w:snapToGrid/>
        <w:spacing w:line="360" w:lineRule="auto"/>
        <w:ind w:firstLine="315" w:firstLineChars="150"/>
        <w:textAlignment w:val="auto"/>
        <w:rPr>
          <w:rFonts w:hAnsi="宋体"/>
          <w:szCs w:val="21"/>
        </w:rPr>
      </w:pPr>
      <w:r>
        <w:rPr>
          <w:rFonts w:hint="eastAsia"/>
          <w:szCs w:val="21"/>
        </w:rPr>
        <w:t>（</w:t>
      </w:r>
      <w:r>
        <w:rPr>
          <w:szCs w:val="21"/>
        </w:rPr>
        <w:t>4</w:t>
      </w:r>
      <w:r>
        <w:rPr>
          <w:rFonts w:hint="eastAsia"/>
          <w:szCs w:val="21"/>
        </w:rPr>
        <w:t>）</w:t>
      </w:r>
      <w:r>
        <w:rPr>
          <w:rFonts w:hint="eastAsia" w:hAnsi="宋体"/>
          <w:szCs w:val="21"/>
        </w:rPr>
        <w:t>检查并确认投标文件的密封是否完好并符合招标文件的要求；</w:t>
      </w:r>
    </w:p>
    <w:p>
      <w:pPr>
        <w:pageBreakBefore w:val="0"/>
        <w:widowControl w:val="0"/>
        <w:kinsoku/>
        <w:wordWrap/>
        <w:overflowPunct/>
        <w:topLinePunct w:val="0"/>
        <w:bidi w:val="0"/>
        <w:snapToGrid/>
        <w:spacing w:line="360" w:lineRule="auto"/>
        <w:ind w:firstLine="315" w:firstLineChars="150"/>
        <w:textAlignment w:val="auto"/>
        <w:rPr>
          <w:rFonts w:ascii="宋体"/>
        </w:rPr>
      </w:pPr>
      <w:r>
        <w:rPr>
          <w:rFonts w:hint="eastAsia"/>
          <w:szCs w:val="21"/>
        </w:rPr>
        <w:t>（</w:t>
      </w:r>
      <w:r>
        <w:rPr>
          <w:szCs w:val="21"/>
        </w:rPr>
        <w:t>5</w:t>
      </w:r>
      <w:r>
        <w:rPr>
          <w:rFonts w:hint="eastAsia"/>
          <w:szCs w:val="21"/>
        </w:rPr>
        <w:t>）</w:t>
      </w:r>
      <w:r>
        <w:rPr>
          <w:rFonts w:hint="eastAsia" w:hAnsi="宋体"/>
          <w:szCs w:val="21"/>
        </w:rPr>
        <w:t>按照递交投标文件的先后顺序依次唱标；</w:t>
      </w:r>
      <w:r>
        <w:rPr>
          <w:rFonts w:hint="eastAsia" w:ascii="宋体" w:hAnsi="宋体"/>
        </w:rPr>
        <w:t>公布投标人名称、标段名称、投标保证金的递交情况、投标报价、质量目标、工期及其他内容；</w:t>
      </w:r>
    </w:p>
    <w:p>
      <w:pPr>
        <w:pageBreakBefore w:val="0"/>
        <w:widowControl w:val="0"/>
        <w:kinsoku/>
        <w:wordWrap/>
        <w:overflowPunct/>
        <w:topLinePunct w:val="0"/>
        <w:bidi w:val="0"/>
        <w:snapToGrid/>
        <w:spacing w:line="360" w:lineRule="auto"/>
        <w:ind w:firstLine="315" w:firstLineChars="150"/>
        <w:textAlignment w:val="auto"/>
        <w:rPr>
          <w:rFonts w:hAnsi="宋体"/>
          <w:szCs w:val="21"/>
        </w:rPr>
      </w:pPr>
      <w:r>
        <w:rPr>
          <w:rFonts w:hint="eastAsia"/>
          <w:szCs w:val="21"/>
        </w:rPr>
        <w:t>（6</w:t>
      </w:r>
      <w:r>
        <w:rPr>
          <w:rFonts w:hint="eastAsia" w:hAnsi="宋体"/>
          <w:szCs w:val="21"/>
        </w:rPr>
        <w:t>）投标人代表对开标情况签字确认；</w:t>
      </w:r>
    </w:p>
    <w:p>
      <w:pPr>
        <w:pageBreakBefore w:val="0"/>
        <w:widowControl w:val="0"/>
        <w:kinsoku/>
        <w:wordWrap/>
        <w:overflowPunct/>
        <w:topLinePunct w:val="0"/>
        <w:bidi w:val="0"/>
        <w:snapToGrid/>
        <w:spacing w:line="360" w:lineRule="auto"/>
        <w:ind w:firstLine="315" w:firstLineChars="150"/>
        <w:textAlignment w:val="auto"/>
        <w:rPr>
          <w:rFonts w:hAnsi="宋体"/>
          <w:szCs w:val="21"/>
        </w:rPr>
      </w:pPr>
      <w:r>
        <w:rPr>
          <w:rFonts w:hint="eastAsia" w:hAnsi="宋体"/>
          <w:szCs w:val="21"/>
        </w:rPr>
        <w:t>（7）开标现场异议处理并制作记录；</w:t>
      </w:r>
    </w:p>
    <w:p>
      <w:pPr>
        <w:pageBreakBefore w:val="0"/>
        <w:widowControl w:val="0"/>
        <w:kinsoku/>
        <w:wordWrap/>
        <w:overflowPunct/>
        <w:topLinePunct w:val="0"/>
        <w:bidi w:val="0"/>
        <w:snapToGrid/>
        <w:spacing w:line="360" w:lineRule="auto"/>
        <w:ind w:firstLine="315" w:firstLineChars="150"/>
        <w:textAlignment w:val="auto"/>
        <w:rPr>
          <w:rFonts w:hAnsi="宋体"/>
          <w:szCs w:val="21"/>
        </w:rPr>
      </w:pPr>
      <w:r>
        <w:rPr>
          <w:rFonts w:hint="eastAsia" w:hAnsi="宋体"/>
          <w:szCs w:val="21"/>
        </w:rPr>
        <w:t>（8）开标结束。</w:t>
      </w:r>
    </w:p>
    <w:p>
      <w:pPr>
        <w:pStyle w:val="6"/>
        <w:pageBreakBefore w:val="0"/>
        <w:widowControl w:val="0"/>
        <w:kinsoku/>
        <w:wordWrap/>
        <w:overflowPunct/>
        <w:topLinePunct w:val="0"/>
        <w:bidi w:val="0"/>
        <w:snapToGrid/>
        <w:spacing w:line="360" w:lineRule="auto"/>
        <w:textAlignment w:val="auto"/>
      </w:pPr>
      <w:r>
        <w:t>5.</w:t>
      </w:r>
      <w:r>
        <w:rPr>
          <w:rFonts w:hint="eastAsia"/>
        </w:rPr>
        <w:t>3开标异议</w:t>
      </w:r>
    </w:p>
    <w:p>
      <w:pPr>
        <w:pageBreakBefore w:val="0"/>
        <w:widowControl w:val="0"/>
        <w:kinsoku/>
        <w:wordWrap/>
        <w:overflowPunct/>
        <w:topLinePunct w:val="0"/>
        <w:bidi w:val="0"/>
        <w:snapToGrid/>
        <w:spacing w:line="360" w:lineRule="auto"/>
        <w:ind w:firstLine="420"/>
        <w:textAlignment w:val="auto"/>
      </w:pPr>
      <w:r>
        <w:rPr>
          <w:rFonts w:hint="eastAsia"/>
        </w:rPr>
        <w:t>投标人对开标有异议的，应当在开标现场提出，招标人当场作出答复，并制作记录。在评标时</w:t>
      </w:r>
      <w:r>
        <w:rPr>
          <w:rFonts w:hint="eastAsia"/>
          <w:b/>
          <w:bCs/>
        </w:rPr>
        <w:t>，由评标委员会认定相关投标文件是否为有效投标。</w:t>
      </w:r>
    </w:p>
    <w:p>
      <w:pPr>
        <w:pStyle w:val="5"/>
        <w:pageBreakBefore w:val="0"/>
        <w:widowControl w:val="0"/>
        <w:kinsoku/>
        <w:wordWrap/>
        <w:overflowPunct/>
        <w:topLinePunct w:val="0"/>
        <w:bidi w:val="0"/>
        <w:snapToGrid/>
        <w:spacing w:line="360" w:lineRule="auto"/>
        <w:textAlignment w:val="auto"/>
        <w:rPr>
          <w:rFonts w:cs="黑体"/>
        </w:rPr>
      </w:pPr>
      <w:bookmarkStart w:id="164" w:name="_5.4_开标时出现下列情况的，招标人将拒绝其投标。"/>
      <w:bookmarkEnd w:id="164"/>
      <w:bookmarkStart w:id="165" w:name="_Toc266951079"/>
      <w:bookmarkStart w:id="166" w:name="_Toc275956107"/>
      <w:r>
        <w:t xml:space="preserve">6. </w:t>
      </w:r>
      <w:r>
        <w:rPr>
          <w:rFonts w:hint="eastAsia" w:cs="黑体"/>
        </w:rPr>
        <w:t>评标</w:t>
      </w:r>
      <w:bookmarkEnd w:id="165"/>
      <w:bookmarkEnd w:id="166"/>
    </w:p>
    <w:p>
      <w:pPr>
        <w:pStyle w:val="6"/>
        <w:pageBreakBefore w:val="0"/>
        <w:widowControl w:val="0"/>
        <w:kinsoku/>
        <w:wordWrap/>
        <w:overflowPunct/>
        <w:topLinePunct w:val="0"/>
        <w:bidi w:val="0"/>
        <w:snapToGrid/>
        <w:spacing w:line="360" w:lineRule="auto"/>
        <w:textAlignment w:val="auto"/>
      </w:pPr>
      <w:bookmarkStart w:id="167" w:name="_6.1_评标委员会"/>
      <w:bookmarkEnd w:id="167"/>
      <w:bookmarkStart w:id="168" w:name="_Toc266951080"/>
      <w:r>
        <w:rPr>
          <w:rFonts w:cs="TimesNewRomanPSMT"/>
        </w:rPr>
        <w:t xml:space="preserve">6.1 </w:t>
      </w:r>
      <w:r>
        <w:rPr>
          <w:rFonts w:hint="eastAsia"/>
        </w:rPr>
        <w:t>评标委员会</w:t>
      </w:r>
      <w:bookmarkEnd w:id="168"/>
    </w:p>
    <w:p>
      <w:pPr>
        <w:pageBreakBefore w:val="0"/>
        <w:widowControl w:val="0"/>
        <w:kinsoku/>
        <w:wordWrap/>
        <w:overflowPunct/>
        <w:topLinePunct w:val="0"/>
        <w:bidi w:val="0"/>
        <w:snapToGrid/>
        <w:spacing w:line="360" w:lineRule="auto"/>
        <w:ind w:firstLine="420" w:firstLineChars="200"/>
        <w:textAlignment w:val="auto"/>
        <w:rPr>
          <w:szCs w:val="21"/>
        </w:rPr>
      </w:pPr>
      <w:r>
        <w:rPr>
          <w:rFonts w:ascii="宋体" w:hAnsi="宋体" w:cs="TimesNewRomanPSMT"/>
          <w:kern w:val="0"/>
          <w:szCs w:val="21"/>
        </w:rPr>
        <w:t xml:space="preserve">6.1.1 </w:t>
      </w:r>
      <w:r>
        <w:rPr>
          <w:rFonts w:hint="eastAsia" w:ascii="宋体" w:hAnsi="宋体" w:cs="仿宋_GB2312"/>
          <w:kern w:val="0"/>
          <w:szCs w:val="21"/>
        </w:rPr>
        <w:t>评标由招标人依法组建的评标委员会负责。</w:t>
      </w:r>
      <w:r>
        <w:rPr>
          <w:rFonts w:hint="eastAsia" w:hAnsi="宋体"/>
          <w:szCs w:val="21"/>
        </w:rPr>
        <w:t>评标委员会成员人数以及技术、经济等方面专家的确定方式见投标人须知前附表。</w:t>
      </w:r>
    </w:p>
    <w:p>
      <w:pPr>
        <w:pageBreakBefore w:val="0"/>
        <w:widowControl w:val="0"/>
        <w:kinsoku/>
        <w:wordWrap/>
        <w:overflowPunct/>
        <w:topLinePunct w:val="0"/>
        <w:autoSpaceDE w:val="0"/>
        <w:autoSpaceDN w:val="0"/>
        <w:bidi w:val="0"/>
        <w:adjustRightInd w:val="0"/>
        <w:snapToGrid/>
        <w:spacing w:line="360" w:lineRule="auto"/>
        <w:ind w:firstLine="315" w:firstLineChars="150"/>
        <w:jc w:val="left"/>
        <w:textAlignment w:val="auto"/>
        <w:rPr>
          <w:rFonts w:ascii="宋体" w:cs="仿宋_GB2312"/>
          <w:kern w:val="0"/>
          <w:szCs w:val="21"/>
        </w:rPr>
      </w:pPr>
      <w:r>
        <w:rPr>
          <w:rFonts w:ascii="宋体" w:hAnsi="宋体" w:cs="TimesNewRomanPSMT"/>
          <w:kern w:val="0"/>
          <w:szCs w:val="21"/>
        </w:rPr>
        <w:t xml:space="preserve">6.1.2 </w:t>
      </w:r>
      <w:r>
        <w:rPr>
          <w:rFonts w:hint="eastAsia" w:ascii="宋体" w:hAnsi="宋体" w:cs="仿宋_GB2312"/>
          <w:kern w:val="0"/>
          <w:szCs w:val="21"/>
        </w:rPr>
        <w:t>评标委员会成员有下列情形之一的，应当回避：</w:t>
      </w:r>
    </w:p>
    <w:p>
      <w:pPr>
        <w:pageBreakBefore w:val="0"/>
        <w:widowControl w:val="0"/>
        <w:kinsoku/>
        <w:wordWrap/>
        <w:overflowPunct/>
        <w:topLinePunct w:val="0"/>
        <w:autoSpaceDE w:val="0"/>
        <w:autoSpaceDN w:val="0"/>
        <w:bidi w:val="0"/>
        <w:adjustRightInd w:val="0"/>
        <w:snapToGrid/>
        <w:spacing w:line="360" w:lineRule="auto"/>
        <w:ind w:firstLine="315" w:firstLineChars="150"/>
        <w:jc w:val="left"/>
        <w:textAlignment w:val="auto"/>
        <w:rPr>
          <w:rFonts w:ascii="宋体" w:cs="仿宋_GB2312"/>
          <w:kern w:val="0"/>
          <w:szCs w:val="21"/>
        </w:rPr>
      </w:pPr>
      <w:r>
        <w:rPr>
          <w:rFonts w:hint="eastAsia" w:ascii="宋体" w:hAnsi="宋体" w:cs="仿宋_GB2312"/>
          <w:kern w:val="0"/>
          <w:szCs w:val="21"/>
        </w:rPr>
        <w:t>（</w:t>
      </w:r>
      <w:r>
        <w:rPr>
          <w:rFonts w:ascii="宋体" w:hAnsi="宋体" w:cs="TimesNewRomanPSMT"/>
          <w:kern w:val="0"/>
          <w:szCs w:val="21"/>
        </w:rPr>
        <w:t>1</w:t>
      </w:r>
      <w:r>
        <w:rPr>
          <w:rFonts w:hint="eastAsia" w:ascii="宋体" w:hAnsi="宋体" w:cs="仿宋_GB2312"/>
          <w:kern w:val="0"/>
          <w:szCs w:val="21"/>
        </w:rPr>
        <w:t>）招标人或投标人的主要负责人的近亲属；</w:t>
      </w:r>
    </w:p>
    <w:p>
      <w:pPr>
        <w:pageBreakBefore w:val="0"/>
        <w:widowControl w:val="0"/>
        <w:kinsoku/>
        <w:wordWrap/>
        <w:overflowPunct/>
        <w:topLinePunct w:val="0"/>
        <w:autoSpaceDE w:val="0"/>
        <w:autoSpaceDN w:val="0"/>
        <w:bidi w:val="0"/>
        <w:adjustRightInd w:val="0"/>
        <w:snapToGrid/>
        <w:spacing w:line="360" w:lineRule="auto"/>
        <w:ind w:firstLine="315" w:firstLineChars="150"/>
        <w:jc w:val="left"/>
        <w:textAlignment w:val="auto"/>
        <w:rPr>
          <w:rFonts w:ascii="宋体" w:cs="仿宋_GB2312"/>
          <w:kern w:val="0"/>
          <w:szCs w:val="21"/>
        </w:rPr>
      </w:pPr>
      <w:r>
        <w:rPr>
          <w:rFonts w:hint="eastAsia" w:ascii="宋体" w:hAnsi="宋体" w:cs="仿宋_GB2312"/>
          <w:kern w:val="0"/>
          <w:szCs w:val="21"/>
        </w:rPr>
        <w:t>（</w:t>
      </w:r>
      <w:r>
        <w:rPr>
          <w:rFonts w:ascii="宋体" w:hAnsi="宋体" w:cs="TimesNewRomanPSMT"/>
          <w:kern w:val="0"/>
          <w:szCs w:val="21"/>
        </w:rPr>
        <w:t>2</w:t>
      </w:r>
      <w:r>
        <w:rPr>
          <w:rFonts w:hint="eastAsia" w:ascii="宋体" w:hAnsi="宋体" w:cs="仿宋_GB2312"/>
          <w:kern w:val="0"/>
          <w:szCs w:val="21"/>
        </w:rPr>
        <w:t>）项目主管部门或者行政监督部门的人员；</w:t>
      </w:r>
    </w:p>
    <w:p>
      <w:pPr>
        <w:pageBreakBefore w:val="0"/>
        <w:widowControl w:val="0"/>
        <w:kinsoku/>
        <w:wordWrap/>
        <w:overflowPunct/>
        <w:topLinePunct w:val="0"/>
        <w:autoSpaceDE w:val="0"/>
        <w:autoSpaceDN w:val="0"/>
        <w:bidi w:val="0"/>
        <w:adjustRightInd w:val="0"/>
        <w:snapToGrid/>
        <w:spacing w:line="360" w:lineRule="auto"/>
        <w:ind w:firstLine="315" w:firstLineChars="150"/>
        <w:jc w:val="left"/>
        <w:textAlignment w:val="auto"/>
        <w:rPr>
          <w:rFonts w:ascii="宋体" w:cs="仿宋_GB2312"/>
          <w:kern w:val="0"/>
          <w:szCs w:val="21"/>
        </w:rPr>
      </w:pPr>
      <w:r>
        <w:rPr>
          <w:rFonts w:hint="eastAsia" w:ascii="宋体" w:hAnsi="宋体" w:cs="仿宋_GB2312"/>
          <w:kern w:val="0"/>
          <w:szCs w:val="21"/>
        </w:rPr>
        <w:t>（</w:t>
      </w:r>
      <w:r>
        <w:rPr>
          <w:rFonts w:ascii="宋体" w:hAnsi="宋体" w:cs="TimesNewRomanPSMT"/>
          <w:kern w:val="0"/>
          <w:szCs w:val="21"/>
        </w:rPr>
        <w:t>3</w:t>
      </w:r>
      <w:r>
        <w:rPr>
          <w:rFonts w:hint="eastAsia" w:ascii="宋体" w:hAnsi="宋体" w:cs="仿宋_GB2312"/>
          <w:kern w:val="0"/>
          <w:szCs w:val="21"/>
        </w:rPr>
        <w:t>）与投标人有经济利益关系；</w:t>
      </w:r>
    </w:p>
    <w:p>
      <w:pPr>
        <w:pageBreakBefore w:val="0"/>
        <w:widowControl w:val="0"/>
        <w:kinsoku/>
        <w:wordWrap/>
        <w:overflowPunct/>
        <w:topLinePunct w:val="0"/>
        <w:autoSpaceDE w:val="0"/>
        <w:autoSpaceDN w:val="0"/>
        <w:bidi w:val="0"/>
        <w:adjustRightInd w:val="0"/>
        <w:snapToGrid/>
        <w:spacing w:line="360" w:lineRule="auto"/>
        <w:ind w:firstLine="315" w:firstLineChars="150"/>
        <w:jc w:val="left"/>
        <w:textAlignment w:val="auto"/>
        <w:rPr>
          <w:rFonts w:ascii="宋体" w:cs="仿宋_GB2312"/>
          <w:kern w:val="0"/>
          <w:szCs w:val="21"/>
        </w:rPr>
      </w:pPr>
      <w:r>
        <w:rPr>
          <w:rFonts w:hint="eastAsia" w:ascii="宋体" w:hAnsi="宋体" w:cs="仿宋_GB2312"/>
          <w:kern w:val="0"/>
          <w:szCs w:val="21"/>
        </w:rPr>
        <w:t>（</w:t>
      </w:r>
      <w:r>
        <w:rPr>
          <w:rFonts w:ascii="宋体" w:hAnsi="宋体" w:cs="TimesNewRomanPSMT"/>
          <w:kern w:val="0"/>
          <w:szCs w:val="21"/>
        </w:rPr>
        <w:t>4</w:t>
      </w:r>
      <w:r>
        <w:rPr>
          <w:rFonts w:hint="eastAsia" w:ascii="宋体" w:hAnsi="宋体" w:cs="仿宋_GB2312"/>
          <w:kern w:val="0"/>
          <w:szCs w:val="21"/>
        </w:rPr>
        <w:t>）曾因在招标、评标以及其他与招标投标有关活动中从事违法行为而受过行政处罚或刑事处罚的；</w:t>
      </w:r>
    </w:p>
    <w:p>
      <w:pPr>
        <w:pageBreakBefore w:val="0"/>
        <w:widowControl w:val="0"/>
        <w:kinsoku/>
        <w:wordWrap/>
        <w:overflowPunct/>
        <w:topLinePunct w:val="0"/>
        <w:autoSpaceDE w:val="0"/>
        <w:autoSpaceDN w:val="0"/>
        <w:bidi w:val="0"/>
        <w:adjustRightInd w:val="0"/>
        <w:snapToGrid/>
        <w:spacing w:line="360" w:lineRule="auto"/>
        <w:ind w:firstLine="315" w:firstLineChars="150"/>
        <w:jc w:val="left"/>
        <w:textAlignment w:val="auto"/>
        <w:rPr>
          <w:rFonts w:ascii="宋体" w:cs="仿宋_GB2312"/>
          <w:kern w:val="0"/>
          <w:szCs w:val="21"/>
        </w:rPr>
      </w:pPr>
      <w:r>
        <w:rPr>
          <w:rFonts w:hint="eastAsia" w:ascii="宋体" w:hAnsi="宋体" w:cs="仿宋_GB2312"/>
          <w:kern w:val="0"/>
          <w:szCs w:val="21"/>
        </w:rPr>
        <w:t>（</w:t>
      </w:r>
      <w:r>
        <w:rPr>
          <w:rFonts w:ascii="宋体" w:hAnsi="宋体" w:cs="TimesNewRomanPSMT"/>
          <w:kern w:val="0"/>
          <w:szCs w:val="21"/>
        </w:rPr>
        <w:t>5</w:t>
      </w:r>
      <w:r>
        <w:rPr>
          <w:rFonts w:hint="eastAsia" w:ascii="宋体" w:hAnsi="宋体" w:cs="仿宋_GB2312"/>
          <w:kern w:val="0"/>
          <w:szCs w:val="21"/>
        </w:rPr>
        <w:t>）与投标人有其他利害关系。</w:t>
      </w:r>
    </w:p>
    <w:p>
      <w:pPr>
        <w:pStyle w:val="6"/>
        <w:pageBreakBefore w:val="0"/>
        <w:widowControl w:val="0"/>
        <w:kinsoku/>
        <w:wordWrap/>
        <w:overflowPunct/>
        <w:topLinePunct w:val="0"/>
        <w:bidi w:val="0"/>
        <w:snapToGrid/>
        <w:spacing w:line="360" w:lineRule="auto"/>
        <w:textAlignment w:val="auto"/>
      </w:pPr>
      <w:bookmarkStart w:id="169" w:name="_6.2_评标原则"/>
      <w:bookmarkEnd w:id="169"/>
      <w:bookmarkStart w:id="170" w:name="_Toc266951081"/>
      <w:r>
        <w:rPr>
          <w:rFonts w:cs="TimesNewRomanPSMT"/>
        </w:rPr>
        <w:t xml:space="preserve">6.2 </w:t>
      </w:r>
      <w:r>
        <w:rPr>
          <w:rFonts w:hint="eastAsia"/>
          <w:b/>
          <w:bCs w:val="0"/>
        </w:rPr>
        <w:t>评标原则</w:t>
      </w:r>
      <w:bookmarkEnd w:id="170"/>
    </w:p>
    <w:p>
      <w:pPr>
        <w:pageBreakBefore w:val="0"/>
        <w:widowControl w:val="0"/>
        <w:kinsoku/>
        <w:wordWrap/>
        <w:overflowPunct/>
        <w:topLinePunct w:val="0"/>
        <w:autoSpaceDE w:val="0"/>
        <w:autoSpaceDN w:val="0"/>
        <w:bidi w:val="0"/>
        <w:adjustRightInd w:val="0"/>
        <w:snapToGrid/>
        <w:spacing w:line="360" w:lineRule="auto"/>
        <w:ind w:firstLine="315" w:firstLineChars="150"/>
        <w:jc w:val="left"/>
        <w:textAlignment w:val="auto"/>
        <w:rPr>
          <w:rFonts w:ascii="宋体" w:cs="仿宋_GB2312"/>
          <w:kern w:val="0"/>
          <w:szCs w:val="21"/>
        </w:rPr>
      </w:pPr>
      <w:r>
        <w:rPr>
          <w:rFonts w:hint="eastAsia" w:ascii="宋体" w:hAnsi="宋体" w:cs="仿宋_GB2312"/>
          <w:kern w:val="0"/>
          <w:szCs w:val="21"/>
        </w:rPr>
        <w:t>评标活动遵循公平、公正、科学和择优的原则。</w:t>
      </w:r>
    </w:p>
    <w:p>
      <w:pPr>
        <w:pStyle w:val="6"/>
        <w:pageBreakBefore w:val="0"/>
        <w:widowControl w:val="0"/>
        <w:kinsoku/>
        <w:wordWrap/>
        <w:overflowPunct/>
        <w:topLinePunct w:val="0"/>
        <w:bidi w:val="0"/>
        <w:snapToGrid/>
        <w:spacing w:line="360" w:lineRule="auto"/>
        <w:textAlignment w:val="auto"/>
        <w:rPr>
          <w:rFonts w:cs="黑体"/>
        </w:rPr>
      </w:pPr>
      <w:bookmarkStart w:id="171" w:name="_6.3_评标"/>
      <w:bookmarkEnd w:id="171"/>
      <w:bookmarkStart w:id="172" w:name="_Toc266951082"/>
      <w:r>
        <w:t>6.3</w:t>
      </w:r>
      <w:r>
        <w:rPr>
          <w:rFonts w:hint="eastAsia" w:cs="黑体"/>
          <w:b/>
          <w:bCs w:val="0"/>
        </w:rPr>
        <w:t>评标</w:t>
      </w:r>
      <w:bookmarkEnd w:id="172"/>
    </w:p>
    <w:p>
      <w:pPr>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cs="仿宋_GB2312"/>
          <w:kern w:val="0"/>
          <w:szCs w:val="21"/>
        </w:rPr>
      </w:pPr>
      <w:r>
        <w:rPr>
          <w:rFonts w:ascii="宋体" w:hAnsi="宋体" w:cs="仿宋_GB2312"/>
          <w:kern w:val="0"/>
          <w:szCs w:val="21"/>
        </w:rPr>
        <w:t>6.3.1</w:t>
      </w:r>
      <w:r>
        <w:rPr>
          <w:rFonts w:hint="eastAsia" w:ascii="宋体" w:hAnsi="宋体" w:cs="仿宋_GB2312"/>
          <w:kern w:val="0"/>
          <w:szCs w:val="21"/>
        </w:rPr>
        <w:t>评标委员会按照第三章“</w:t>
      </w:r>
      <w:r>
        <w:fldChar w:fldCharType="begin"/>
      </w:r>
      <w:r>
        <w:instrText xml:space="preserve"> HYPERLINK "file:///H:\\泰州招标文件范本\\泰州市房屋建筑和市政工程施工2016.4.docx" \l "_第三章_评标办法（经评审的合理低价法）" </w:instrText>
      </w:r>
      <w:r>
        <w:fldChar w:fldCharType="separate"/>
      </w:r>
      <w:r>
        <w:rPr>
          <w:rStyle w:val="18"/>
          <w:rFonts w:hint="eastAsia" w:ascii="宋体" w:hAnsi="宋体" w:cs="仿宋_GB2312"/>
          <w:color w:val="auto"/>
          <w:szCs w:val="21"/>
        </w:rPr>
        <w:t>评标办法</w:t>
      </w:r>
      <w:r>
        <w:rPr>
          <w:rStyle w:val="18"/>
          <w:rFonts w:hint="eastAsia" w:ascii="宋体" w:hAnsi="宋体" w:cs="仿宋_GB2312"/>
          <w:color w:val="auto"/>
          <w:szCs w:val="21"/>
        </w:rPr>
        <w:fldChar w:fldCharType="end"/>
      </w:r>
      <w:r>
        <w:rPr>
          <w:rFonts w:hint="eastAsia" w:ascii="宋体" w:hAnsi="宋体" w:cs="仿宋_GB2312"/>
          <w:kern w:val="0"/>
          <w:szCs w:val="21"/>
        </w:rPr>
        <w:t>”规定的方法、评审因素、标准和程序对投标文件进行评审。第三章“</w:t>
      </w:r>
      <w:r>
        <w:fldChar w:fldCharType="begin"/>
      </w:r>
      <w:r>
        <w:instrText xml:space="preserve"> HYPERLINK "file:///H:\\泰州招标文件范本\\泰州市房屋建筑和市政工程施工2016.4.docx" \l "_第三章_评标办法（经评审的合理低价法）" </w:instrText>
      </w:r>
      <w:r>
        <w:fldChar w:fldCharType="separate"/>
      </w:r>
      <w:r>
        <w:rPr>
          <w:rStyle w:val="18"/>
          <w:rFonts w:hint="eastAsia" w:ascii="宋体" w:hAnsi="宋体" w:cs="仿宋_GB2312"/>
          <w:color w:val="auto"/>
          <w:szCs w:val="21"/>
        </w:rPr>
        <w:t>评标办法</w:t>
      </w:r>
      <w:r>
        <w:rPr>
          <w:rStyle w:val="18"/>
          <w:rFonts w:hint="eastAsia" w:ascii="宋体" w:hAnsi="宋体" w:cs="仿宋_GB2312"/>
          <w:color w:val="auto"/>
          <w:szCs w:val="21"/>
        </w:rPr>
        <w:fldChar w:fldCharType="end"/>
      </w:r>
      <w:r>
        <w:rPr>
          <w:rFonts w:hint="eastAsia" w:ascii="宋体" w:hAnsi="宋体" w:cs="仿宋_GB2312"/>
          <w:kern w:val="0"/>
          <w:szCs w:val="21"/>
        </w:rPr>
        <w:t>”没有规定的评标方法、评审因素和标准，不作为评标依据。招标文件未列明的否决性条款，不得作为否决投标、判定无效标的依据。</w:t>
      </w:r>
    </w:p>
    <w:p>
      <w:pPr>
        <w:pageBreakBefore w:val="0"/>
        <w:widowControl w:val="0"/>
        <w:kinsoku/>
        <w:wordWrap/>
        <w:overflowPunct/>
        <w:topLinePunct w:val="0"/>
        <w:bidi w:val="0"/>
        <w:snapToGrid/>
        <w:spacing w:line="360" w:lineRule="auto"/>
        <w:ind w:firstLine="420" w:firstLineChars="200"/>
        <w:textAlignment w:val="auto"/>
        <w:rPr>
          <w:rFonts w:ascii="宋体" w:cs="仿宋_GB2312"/>
          <w:kern w:val="0"/>
          <w:szCs w:val="21"/>
        </w:rPr>
      </w:pPr>
      <w:r>
        <w:rPr>
          <w:rFonts w:ascii="宋体" w:hAnsi="宋体" w:cs="仿宋_GB2312"/>
          <w:kern w:val="0"/>
          <w:szCs w:val="21"/>
        </w:rPr>
        <w:t>6.3.2</w:t>
      </w:r>
      <w:r>
        <w:rPr>
          <w:rFonts w:hint="eastAsia" w:ascii="宋体" w:hAnsi="宋体" w:cs="仿宋_GB2312"/>
          <w:kern w:val="0"/>
          <w:szCs w:val="21"/>
        </w:rPr>
        <w:t>本次招标所采用的评标方法见</w:t>
      </w:r>
      <w:r>
        <w:fldChar w:fldCharType="begin"/>
      </w:r>
      <w:r>
        <w:instrText xml:space="preserve"> HYPERLINK "file:///H:\\泰州招标文件范本\\泰州市房屋建筑和市政工程施工2016.4.docx" \l "_评标" </w:instrText>
      </w:r>
      <w:r>
        <w:fldChar w:fldCharType="separate"/>
      </w:r>
      <w:r>
        <w:rPr>
          <w:rStyle w:val="18"/>
          <w:rFonts w:hint="eastAsia" w:ascii="宋体" w:hAnsi="宋体" w:cs="仿宋_GB2312"/>
          <w:color w:val="auto"/>
          <w:szCs w:val="21"/>
        </w:rPr>
        <w:t>投标人须知前附表</w:t>
      </w:r>
      <w:r>
        <w:rPr>
          <w:rStyle w:val="18"/>
          <w:rFonts w:hint="eastAsia" w:ascii="宋体" w:hAnsi="宋体" w:cs="仿宋_GB2312"/>
          <w:color w:val="auto"/>
          <w:szCs w:val="21"/>
        </w:rPr>
        <w:fldChar w:fldCharType="end"/>
      </w:r>
      <w:r>
        <w:rPr>
          <w:rFonts w:hint="eastAsia" w:ascii="宋体" w:hAnsi="宋体" w:cs="仿宋_GB2312"/>
          <w:kern w:val="0"/>
          <w:szCs w:val="21"/>
        </w:rPr>
        <w:t>。</w:t>
      </w:r>
    </w:p>
    <w:p>
      <w:pPr>
        <w:pStyle w:val="6"/>
        <w:pageBreakBefore w:val="0"/>
        <w:widowControl w:val="0"/>
        <w:kinsoku/>
        <w:wordWrap/>
        <w:overflowPunct/>
        <w:topLinePunct w:val="0"/>
        <w:bidi w:val="0"/>
        <w:snapToGrid/>
        <w:spacing w:line="360" w:lineRule="auto"/>
        <w:textAlignment w:val="auto"/>
      </w:pPr>
      <w:bookmarkStart w:id="173" w:name="_Toc10791"/>
      <w:bookmarkStart w:id="174" w:name="_Toc16425"/>
      <w:bookmarkStart w:id="175" w:name="_Toc3926"/>
      <w:r>
        <w:t xml:space="preserve">6.4 </w:t>
      </w:r>
      <w:r>
        <w:rPr>
          <w:rFonts w:hint="eastAsia"/>
        </w:rPr>
        <w:t>中标候选人公示</w:t>
      </w:r>
    </w:p>
    <w:p>
      <w:pPr>
        <w:pageBreakBefore w:val="0"/>
        <w:widowControl w:val="0"/>
        <w:kinsoku/>
        <w:wordWrap/>
        <w:overflowPunct/>
        <w:topLinePunct w:val="0"/>
        <w:bidi w:val="0"/>
        <w:snapToGrid/>
        <w:spacing w:line="360" w:lineRule="auto"/>
        <w:ind w:firstLine="420" w:firstLineChars="200"/>
        <w:textAlignment w:val="auto"/>
      </w:pPr>
      <w:r>
        <w:t xml:space="preserve">6.4.1 </w:t>
      </w:r>
      <w:r>
        <w:rPr>
          <w:rFonts w:hint="eastAsia"/>
        </w:rPr>
        <w:t>公示时间和方式：</w:t>
      </w:r>
      <w:r>
        <w:rPr>
          <w:rFonts w:hint="eastAsia" w:ascii="宋体" w:hAnsi="宋体"/>
          <w:szCs w:val="21"/>
        </w:rPr>
        <w:t>招标人在收到评标报告之日起</w:t>
      </w:r>
      <w:r>
        <w:rPr>
          <w:rFonts w:ascii="宋体" w:hAnsi="宋体"/>
          <w:szCs w:val="21"/>
        </w:rPr>
        <w:t>3</w:t>
      </w:r>
      <w:r>
        <w:rPr>
          <w:rFonts w:hint="eastAsia" w:ascii="宋体" w:hAnsi="宋体"/>
          <w:szCs w:val="21"/>
        </w:rPr>
        <w:t>日内应当在招标公告发布媒介上公示如下中标候选人情况、评标结果及拟定中标人名称，公示期不少于</w:t>
      </w:r>
      <w:r>
        <w:rPr>
          <w:rFonts w:ascii="宋体" w:hAnsi="宋体"/>
          <w:szCs w:val="21"/>
        </w:rPr>
        <w:t>3</w:t>
      </w:r>
      <w:r>
        <w:rPr>
          <w:rFonts w:hint="eastAsia" w:ascii="宋体" w:hAnsi="宋体"/>
          <w:szCs w:val="21"/>
        </w:rPr>
        <w:t>日。</w:t>
      </w:r>
    </w:p>
    <w:p>
      <w:pPr>
        <w:pageBreakBefore w:val="0"/>
        <w:widowControl w:val="0"/>
        <w:kinsoku/>
        <w:wordWrap/>
        <w:overflowPunct/>
        <w:topLinePunct w:val="0"/>
        <w:bidi w:val="0"/>
        <w:snapToGrid/>
        <w:spacing w:line="360" w:lineRule="auto"/>
        <w:textAlignment w:val="auto"/>
      </w:pPr>
      <w:r>
        <w:t xml:space="preserve">    6.4.2 </w:t>
      </w:r>
      <w:r>
        <w:rPr>
          <w:rFonts w:hint="eastAsia"/>
        </w:rPr>
        <w:t>公示内容：</w:t>
      </w:r>
    </w:p>
    <w:p>
      <w:pPr>
        <w:pageBreakBefore w:val="0"/>
        <w:widowControl w:val="0"/>
        <w:kinsoku/>
        <w:wordWrap/>
        <w:overflowPunct/>
        <w:topLinePunct w:val="0"/>
        <w:bidi w:val="0"/>
        <w:snapToGrid/>
        <w:spacing w:line="360" w:lineRule="auto"/>
        <w:textAlignment w:val="auto"/>
      </w:pPr>
      <w:r>
        <w:rPr>
          <w:rFonts w:hint="eastAsia"/>
        </w:rPr>
        <w:t>（</w:t>
      </w:r>
      <w:r>
        <w:t>1</w:t>
      </w:r>
      <w:r>
        <w:rPr>
          <w:rFonts w:hint="eastAsia"/>
        </w:rPr>
        <w:t>）评标委员会推荐的中标候选人名单、报价（含暂估价、暂列金额等）及其排序；</w:t>
      </w:r>
    </w:p>
    <w:p>
      <w:pPr>
        <w:pageBreakBefore w:val="0"/>
        <w:widowControl w:val="0"/>
        <w:kinsoku/>
        <w:wordWrap/>
        <w:overflowPunct/>
        <w:topLinePunct w:val="0"/>
        <w:bidi w:val="0"/>
        <w:snapToGrid/>
        <w:spacing w:line="360" w:lineRule="auto"/>
        <w:textAlignment w:val="auto"/>
      </w:pPr>
      <w:r>
        <w:rPr>
          <w:rFonts w:hint="eastAsia"/>
        </w:rPr>
        <w:t>（</w:t>
      </w:r>
      <w:r>
        <w:t>2</w:t>
      </w:r>
      <w:r>
        <w:rPr>
          <w:rFonts w:hint="eastAsia"/>
        </w:rPr>
        <w:t>）资格审查不合格的投标人的名称以及不合格的具体原因；</w:t>
      </w:r>
    </w:p>
    <w:p>
      <w:pPr>
        <w:pageBreakBefore w:val="0"/>
        <w:widowControl w:val="0"/>
        <w:kinsoku/>
        <w:wordWrap/>
        <w:overflowPunct/>
        <w:topLinePunct w:val="0"/>
        <w:bidi w:val="0"/>
        <w:snapToGrid/>
        <w:spacing w:line="360" w:lineRule="auto"/>
        <w:textAlignment w:val="auto"/>
      </w:pPr>
      <w:r>
        <w:rPr>
          <w:rFonts w:hint="eastAsia"/>
        </w:rPr>
        <w:t>（</w:t>
      </w:r>
      <w:r>
        <w:t>3</w:t>
      </w:r>
      <w:r>
        <w:rPr>
          <w:rFonts w:hint="eastAsia"/>
        </w:rPr>
        <w:t>）投标文件被判为无效标的投标人的名称以及判定依据；</w:t>
      </w:r>
    </w:p>
    <w:p>
      <w:pPr>
        <w:pageBreakBefore w:val="0"/>
        <w:widowControl w:val="0"/>
        <w:kinsoku/>
        <w:wordWrap/>
        <w:overflowPunct/>
        <w:topLinePunct w:val="0"/>
        <w:bidi w:val="0"/>
        <w:snapToGrid/>
        <w:spacing w:line="360" w:lineRule="auto"/>
        <w:textAlignment w:val="auto"/>
      </w:pPr>
      <w:r>
        <w:rPr>
          <w:rFonts w:hint="eastAsia"/>
        </w:rPr>
        <w:t>（</w:t>
      </w:r>
      <w:r>
        <w:t>4</w:t>
      </w:r>
      <w:r>
        <w:rPr>
          <w:rFonts w:hint="eastAsia"/>
        </w:rPr>
        <w:t>）评标委员会对投标报价修正的原因、依据和修正结果；</w:t>
      </w:r>
    </w:p>
    <w:p>
      <w:pPr>
        <w:pageBreakBefore w:val="0"/>
        <w:widowControl w:val="0"/>
        <w:kinsoku/>
        <w:wordWrap/>
        <w:overflowPunct/>
        <w:topLinePunct w:val="0"/>
        <w:bidi w:val="0"/>
        <w:snapToGrid/>
        <w:spacing w:line="360" w:lineRule="auto"/>
        <w:textAlignment w:val="auto"/>
      </w:pPr>
      <w:r>
        <w:rPr>
          <w:rFonts w:hint="eastAsia"/>
        </w:rPr>
        <w:t>（</w:t>
      </w:r>
      <w:r>
        <w:t>5</w:t>
      </w:r>
      <w:r>
        <w:rPr>
          <w:rFonts w:hint="eastAsia"/>
        </w:rPr>
        <w:t>）中标候选人及其拟派项目负责人类似工程、业绩、奖项情况；</w:t>
      </w:r>
    </w:p>
    <w:p>
      <w:pPr>
        <w:pageBreakBefore w:val="0"/>
        <w:widowControl w:val="0"/>
        <w:kinsoku/>
        <w:wordWrap/>
        <w:overflowPunct/>
        <w:topLinePunct w:val="0"/>
        <w:bidi w:val="0"/>
        <w:snapToGrid/>
        <w:spacing w:line="360" w:lineRule="auto"/>
        <w:textAlignment w:val="auto"/>
      </w:pPr>
      <w:r>
        <w:rPr>
          <w:rFonts w:hint="eastAsia"/>
        </w:rPr>
        <w:t>（</w:t>
      </w:r>
      <w:r>
        <w:t>6</w:t>
      </w:r>
      <w:r>
        <w:rPr>
          <w:rFonts w:hint="eastAsia"/>
        </w:rPr>
        <w:t>）各投标人的分项得分情况（评标委员会成员的名单不公布）；</w:t>
      </w:r>
    </w:p>
    <w:p>
      <w:pPr>
        <w:pageBreakBefore w:val="0"/>
        <w:widowControl w:val="0"/>
        <w:kinsoku/>
        <w:wordWrap/>
        <w:overflowPunct/>
        <w:topLinePunct w:val="0"/>
        <w:bidi w:val="0"/>
        <w:snapToGrid/>
        <w:spacing w:line="360" w:lineRule="auto"/>
        <w:textAlignment w:val="auto"/>
      </w:pPr>
      <w:r>
        <w:rPr>
          <w:rFonts w:hint="eastAsia"/>
        </w:rPr>
        <w:t>（</w:t>
      </w:r>
      <w:r>
        <w:t>7</w:t>
      </w:r>
      <w:r>
        <w:rPr>
          <w:rFonts w:hint="eastAsia"/>
        </w:rPr>
        <w:t>）各投标人的最终总得分。</w:t>
      </w:r>
    </w:p>
    <w:p>
      <w:pPr>
        <w:pageBreakBefore w:val="0"/>
        <w:widowControl w:val="0"/>
        <w:kinsoku/>
        <w:wordWrap/>
        <w:overflowPunct/>
        <w:topLinePunct w:val="0"/>
        <w:bidi w:val="0"/>
        <w:snapToGrid/>
        <w:spacing w:line="360" w:lineRule="auto"/>
        <w:textAlignment w:val="auto"/>
        <w:rPr>
          <w:rFonts w:ascii="宋体"/>
          <w:szCs w:val="21"/>
        </w:rPr>
      </w:pPr>
      <w:r>
        <w:t xml:space="preserve">    6.4.3</w:t>
      </w:r>
      <w:r>
        <w:rPr>
          <w:rFonts w:hint="eastAsia" w:ascii="宋体" w:hAnsi="宋体"/>
          <w:szCs w:val="21"/>
        </w:rPr>
        <w:t>投标人或者其他利害关系人对依法必须进行招标的项目的评标结果有异议的，应当在中标候选人公示期间提出。招标人应当自收到异议之日起</w:t>
      </w:r>
      <w:r>
        <w:rPr>
          <w:rFonts w:ascii="宋体" w:hAnsi="宋体"/>
          <w:szCs w:val="21"/>
        </w:rPr>
        <w:t xml:space="preserve">3 </w:t>
      </w:r>
      <w:r>
        <w:rPr>
          <w:rFonts w:hint="eastAsia" w:ascii="宋体" w:hAnsi="宋体"/>
          <w:szCs w:val="21"/>
        </w:rPr>
        <w:t>日内作出答复；作出答复前，应当暂停招标投标活动。</w:t>
      </w:r>
    </w:p>
    <w:bookmarkEnd w:id="173"/>
    <w:bookmarkEnd w:id="174"/>
    <w:bookmarkEnd w:id="175"/>
    <w:p>
      <w:pPr>
        <w:pStyle w:val="5"/>
        <w:pageBreakBefore w:val="0"/>
        <w:widowControl w:val="0"/>
        <w:kinsoku/>
        <w:wordWrap/>
        <w:overflowPunct/>
        <w:topLinePunct w:val="0"/>
        <w:bidi w:val="0"/>
        <w:snapToGrid/>
        <w:spacing w:line="360" w:lineRule="auto"/>
        <w:textAlignment w:val="auto"/>
      </w:pPr>
      <w:bookmarkStart w:id="176" w:name="_Toc275956108"/>
      <w:bookmarkStart w:id="177" w:name="_Toc266951083"/>
      <w:r>
        <w:rPr>
          <w:rFonts w:cs="TimesNewRomanPSMT"/>
        </w:rPr>
        <w:t xml:space="preserve">7. </w:t>
      </w:r>
      <w:r>
        <w:rPr>
          <w:rFonts w:hint="eastAsia"/>
        </w:rPr>
        <w:t>合同授予</w:t>
      </w:r>
      <w:bookmarkEnd w:id="176"/>
      <w:bookmarkEnd w:id="177"/>
    </w:p>
    <w:p>
      <w:pPr>
        <w:pStyle w:val="6"/>
        <w:pageBreakBefore w:val="0"/>
        <w:widowControl w:val="0"/>
        <w:kinsoku/>
        <w:wordWrap/>
        <w:overflowPunct/>
        <w:topLinePunct w:val="0"/>
        <w:bidi w:val="0"/>
        <w:snapToGrid/>
        <w:spacing w:line="360" w:lineRule="auto"/>
        <w:textAlignment w:val="auto"/>
      </w:pPr>
      <w:bookmarkStart w:id="178" w:name="_7.1_中标公示"/>
      <w:bookmarkEnd w:id="178"/>
      <w:bookmarkStart w:id="179" w:name="_Toc266951085"/>
      <w:r>
        <w:rPr>
          <w:rFonts w:cs="TimesNewRomanPSMT"/>
        </w:rPr>
        <w:t xml:space="preserve">7.1 </w:t>
      </w:r>
      <w:r>
        <w:rPr>
          <w:rFonts w:hint="eastAsia"/>
        </w:rPr>
        <w:t>定标方式</w:t>
      </w:r>
      <w:bookmarkEnd w:id="179"/>
    </w:p>
    <w:p>
      <w:pPr>
        <w:pageBreakBefore w:val="0"/>
        <w:widowControl w:val="0"/>
        <w:kinsoku/>
        <w:wordWrap/>
        <w:overflowPunct/>
        <w:topLinePunct w:val="0"/>
        <w:autoSpaceDE w:val="0"/>
        <w:autoSpaceDN w:val="0"/>
        <w:bidi w:val="0"/>
        <w:adjustRightInd w:val="0"/>
        <w:snapToGrid/>
        <w:spacing w:line="360" w:lineRule="auto"/>
        <w:ind w:firstLine="315" w:firstLineChars="150"/>
        <w:jc w:val="left"/>
        <w:textAlignment w:val="auto"/>
        <w:rPr>
          <w:rFonts w:ascii="宋体" w:cs="仿宋_GB2312"/>
          <w:kern w:val="0"/>
          <w:szCs w:val="21"/>
        </w:rPr>
      </w:pPr>
      <w:r>
        <w:rPr>
          <w:rFonts w:hint="eastAsia" w:ascii="宋体" w:hAnsi="宋体" w:cs="仿宋_GB2312"/>
          <w:kern w:val="0"/>
          <w:szCs w:val="21"/>
        </w:rPr>
        <w:t>除</w:t>
      </w:r>
      <w:r>
        <w:fldChar w:fldCharType="begin"/>
      </w:r>
      <w:r>
        <w:instrText xml:space="preserve"> HYPERLINK "file:///H:\\泰州招标文件范本\\泰州市房屋建筑和市政工程施工2016.4.docx" \l "_定标方式" </w:instrText>
      </w:r>
      <w:r>
        <w:fldChar w:fldCharType="separate"/>
      </w:r>
      <w:r>
        <w:rPr>
          <w:rStyle w:val="18"/>
          <w:rFonts w:hint="eastAsia" w:ascii="宋体" w:hAnsi="宋体" w:cs="仿宋_GB2312"/>
          <w:color w:val="auto"/>
          <w:szCs w:val="21"/>
        </w:rPr>
        <w:t>投标人须知前附表</w:t>
      </w:r>
      <w:r>
        <w:rPr>
          <w:rStyle w:val="18"/>
          <w:rFonts w:hint="eastAsia" w:ascii="宋体" w:hAnsi="宋体" w:cs="仿宋_GB2312"/>
          <w:color w:val="auto"/>
          <w:szCs w:val="21"/>
        </w:rPr>
        <w:fldChar w:fldCharType="end"/>
      </w:r>
      <w:r>
        <w:rPr>
          <w:rFonts w:hint="eastAsia" w:ascii="宋体" w:hAnsi="宋体" w:cs="仿宋_GB2312"/>
          <w:kern w:val="0"/>
          <w:szCs w:val="21"/>
        </w:rPr>
        <w:t>规定评标委员会直接确定中标人外，招标人依据评标委员会推荐的中标候选人确定中标人。评标委员会推荐中标候选人的人数见</w:t>
      </w:r>
      <w:r>
        <w:fldChar w:fldCharType="begin"/>
      </w:r>
      <w:r>
        <w:instrText xml:space="preserve"> HYPERLINK "file:///H:\\泰州招标文件范本\\泰州市房屋建筑和市政工程施工2016.4.docx" \l "_定标方式" </w:instrText>
      </w:r>
      <w:r>
        <w:fldChar w:fldCharType="separate"/>
      </w:r>
      <w:r>
        <w:rPr>
          <w:rStyle w:val="18"/>
          <w:rFonts w:hint="eastAsia" w:ascii="宋体" w:hAnsi="宋体" w:cs="仿宋_GB2312"/>
          <w:color w:val="auto"/>
          <w:szCs w:val="21"/>
        </w:rPr>
        <w:t>投标人须知前附表</w:t>
      </w:r>
      <w:r>
        <w:rPr>
          <w:rStyle w:val="18"/>
          <w:rFonts w:hint="eastAsia" w:ascii="宋体" w:hAnsi="宋体" w:cs="仿宋_GB2312"/>
          <w:color w:val="auto"/>
          <w:szCs w:val="21"/>
        </w:rPr>
        <w:fldChar w:fldCharType="end"/>
      </w:r>
      <w:r>
        <w:rPr>
          <w:rFonts w:hint="eastAsia" w:ascii="宋体" w:hAnsi="宋体" w:cs="仿宋_GB2312"/>
          <w:kern w:val="0"/>
          <w:szCs w:val="21"/>
        </w:rPr>
        <w:t>。</w:t>
      </w:r>
    </w:p>
    <w:p>
      <w:pPr>
        <w:pageBreakBefore w:val="0"/>
        <w:widowControl w:val="0"/>
        <w:kinsoku/>
        <w:wordWrap/>
        <w:overflowPunct/>
        <w:topLinePunct w:val="0"/>
        <w:bidi w:val="0"/>
        <w:snapToGrid/>
        <w:spacing w:line="360" w:lineRule="auto"/>
        <w:textAlignment w:val="auto"/>
      </w:pPr>
      <w:bookmarkStart w:id="180" w:name="_Toc266951084"/>
      <w:r>
        <w:t>7.2</w:t>
      </w:r>
      <w:bookmarkEnd w:id="180"/>
      <w:r>
        <w:rPr>
          <w:rFonts w:hint="eastAsia"/>
        </w:rPr>
        <w:t>中标候选人考察</w:t>
      </w:r>
    </w:p>
    <w:p>
      <w:pPr>
        <w:pageBreakBefore w:val="0"/>
        <w:widowControl w:val="0"/>
        <w:kinsoku/>
        <w:wordWrap/>
        <w:overflowPunct/>
        <w:topLinePunct w:val="0"/>
        <w:bidi w:val="0"/>
        <w:snapToGrid/>
        <w:spacing w:line="360" w:lineRule="auto"/>
        <w:textAlignment w:val="auto"/>
      </w:pPr>
      <w:r>
        <w:t xml:space="preserve">    7.2.1 </w:t>
      </w:r>
      <w:r>
        <w:rPr>
          <w:rFonts w:hint="eastAsia"/>
        </w:rPr>
        <w:t>投标人或项目负责人承担过类似工程的业绩作为评审条件时，招标人可对中标候选人的业绩进行实地考察。</w:t>
      </w:r>
    </w:p>
    <w:p>
      <w:pPr>
        <w:pageBreakBefore w:val="0"/>
        <w:widowControl w:val="0"/>
        <w:kinsoku/>
        <w:wordWrap/>
        <w:overflowPunct/>
        <w:topLinePunct w:val="0"/>
        <w:bidi w:val="0"/>
        <w:snapToGrid/>
        <w:spacing w:line="360" w:lineRule="auto"/>
        <w:textAlignment w:val="auto"/>
      </w:pPr>
      <w:r>
        <w:t xml:space="preserve">    7.2.2 </w:t>
      </w:r>
      <w:r>
        <w:rPr>
          <w:rFonts w:hint="eastAsia"/>
        </w:rPr>
        <w:t>第一中标候选人提供的业绩经招标人考察属实的，招标人将不再对其他中标候选人进行考察；如第一中标候选人提供的业绩不属实，招标人将依次考察其他中标候选人业绩。</w:t>
      </w:r>
    </w:p>
    <w:p>
      <w:pPr>
        <w:pageBreakBefore w:val="0"/>
        <w:widowControl w:val="0"/>
        <w:kinsoku/>
        <w:wordWrap/>
        <w:overflowPunct/>
        <w:topLinePunct w:val="0"/>
        <w:bidi w:val="0"/>
        <w:snapToGrid/>
        <w:spacing w:line="360" w:lineRule="auto"/>
        <w:textAlignment w:val="auto"/>
      </w:pPr>
      <w:r>
        <w:t xml:space="preserve">    7.2.3 </w:t>
      </w:r>
      <w:r>
        <w:rPr>
          <w:rFonts w:hint="eastAsia"/>
        </w:rPr>
        <w:t>考察费用由招标人承担，投标人有义务配合。</w:t>
      </w:r>
    </w:p>
    <w:p>
      <w:pPr>
        <w:pageBreakBefore w:val="0"/>
        <w:widowControl w:val="0"/>
        <w:kinsoku/>
        <w:wordWrap/>
        <w:overflowPunct/>
        <w:topLinePunct w:val="0"/>
        <w:bidi w:val="0"/>
        <w:snapToGrid/>
        <w:spacing w:line="360" w:lineRule="auto"/>
        <w:textAlignment w:val="auto"/>
      </w:pPr>
      <w:r>
        <w:t xml:space="preserve">7.3 </w:t>
      </w:r>
      <w:r>
        <w:rPr>
          <w:rFonts w:hint="eastAsia"/>
        </w:rPr>
        <w:t>确定中标人</w:t>
      </w:r>
    </w:p>
    <w:p>
      <w:pPr>
        <w:pageBreakBefore w:val="0"/>
        <w:widowControl w:val="0"/>
        <w:kinsoku/>
        <w:wordWrap/>
        <w:overflowPunct/>
        <w:topLinePunct w:val="0"/>
        <w:bidi w:val="0"/>
        <w:snapToGrid/>
        <w:spacing w:line="360" w:lineRule="auto"/>
        <w:ind w:firstLine="420" w:firstLineChars="200"/>
        <w:textAlignment w:val="auto"/>
      </w:pPr>
      <w:r>
        <w:rPr>
          <w:rFonts w:hint="eastAsia"/>
        </w:rPr>
        <w:t>招标人确定排名第一的中标候选人为中标人。排名第一的中标候选人出现下列情形之一的，招标人将按照评标委员会提出的中标候选人名单排序依次确定其他中标候选人为中标人。如其他中标候选人与采购预期差距较大，或者依次选择中标人对招标人明显不利时，招标人可重新招标：</w:t>
      </w:r>
    </w:p>
    <w:p>
      <w:pPr>
        <w:pageBreakBefore w:val="0"/>
        <w:widowControl w:val="0"/>
        <w:kinsoku/>
        <w:wordWrap/>
        <w:overflowPunct/>
        <w:topLinePunct w:val="0"/>
        <w:bidi w:val="0"/>
        <w:snapToGrid/>
        <w:spacing w:line="360" w:lineRule="auto"/>
        <w:textAlignment w:val="auto"/>
      </w:pPr>
      <w:r>
        <w:rPr>
          <w:rFonts w:hint="eastAsia"/>
        </w:rPr>
        <w:t>（</w:t>
      </w:r>
      <w:r>
        <w:t>1</w:t>
      </w:r>
      <w:r>
        <w:rPr>
          <w:rFonts w:hint="eastAsia"/>
        </w:rPr>
        <w:t>）业绩经考察不属实的，或因不可抗力不能履行合同的，或被查实存在影响中标结果的违法行为等情形，不符合中标条件的；</w:t>
      </w:r>
    </w:p>
    <w:p>
      <w:pPr>
        <w:pageBreakBefore w:val="0"/>
        <w:widowControl w:val="0"/>
        <w:kinsoku/>
        <w:wordWrap/>
        <w:overflowPunct/>
        <w:topLinePunct w:val="0"/>
        <w:bidi w:val="0"/>
        <w:snapToGrid/>
        <w:spacing w:line="360" w:lineRule="auto"/>
        <w:textAlignment w:val="auto"/>
      </w:pPr>
      <w:r>
        <w:rPr>
          <w:rFonts w:hint="eastAsia"/>
        </w:rPr>
        <w:t>（</w:t>
      </w:r>
      <w:r>
        <w:t>2</w:t>
      </w:r>
      <w:r>
        <w:rPr>
          <w:rFonts w:hint="eastAsia"/>
        </w:rPr>
        <w:t>）评标结束后，中标候选人的经营、财务状况发生较大变化或者存在违法行为，招标人认为可能影响其履约能力，经评标委员会按招标文件规定的办法重新审查，确认其不符合招标文件规定的标准，取消其候选人资格的。</w:t>
      </w:r>
    </w:p>
    <w:p>
      <w:pPr>
        <w:pageBreakBefore w:val="0"/>
        <w:widowControl w:val="0"/>
        <w:kinsoku/>
        <w:wordWrap/>
        <w:overflowPunct/>
        <w:topLinePunct w:val="0"/>
        <w:bidi w:val="0"/>
        <w:snapToGrid/>
        <w:spacing w:line="360" w:lineRule="auto"/>
        <w:textAlignment w:val="auto"/>
      </w:pPr>
      <w:r>
        <w:rPr>
          <w:rFonts w:hint="eastAsia"/>
        </w:rPr>
        <w:t>（</w:t>
      </w:r>
      <w:r>
        <w:t>3</w:t>
      </w:r>
      <w:r>
        <w:rPr>
          <w:rFonts w:hint="eastAsia"/>
        </w:rPr>
        <w:t>）被确定为中标人后，放弃中标的，或不按照招标文件要求提交履约保证金的；</w:t>
      </w:r>
    </w:p>
    <w:p>
      <w:pPr>
        <w:pageBreakBefore w:val="0"/>
        <w:widowControl w:val="0"/>
        <w:kinsoku/>
        <w:wordWrap/>
        <w:overflowPunct/>
        <w:topLinePunct w:val="0"/>
        <w:bidi w:val="0"/>
        <w:snapToGrid/>
        <w:spacing w:line="360" w:lineRule="auto"/>
        <w:textAlignment w:val="auto"/>
        <w:rPr>
          <w:rFonts w:hint="eastAsia" w:eastAsia="宋体"/>
          <w:lang w:eastAsia="zh-CN"/>
        </w:rPr>
      </w:pPr>
      <w:r>
        <w:rPr>
          <w:rFonts w:hint="eastAsia"/>
        </w:rPr>
        <w:t>（</w:t>
      </w:r>
      <w:r>
        <w:t>4</w:t>
      </w:r>
      <w:r>
        <w:rPr>
          <w:rFonts w:hint="eastAsia"/>
        </w:rPr>
        <w:t>）被确定为中标人并与招标人签订合同后，因不可抗力不能履行合同的</w:t>
      </w:r>
      <w:r>
        <w:rPr>
          <w:rFonts w:hint="eastAsia"/>
          <w:lang w:eastAsia="zh-CN"/>
        </w:rPr>
        <w:t>。</w:t>
      </w:r>
    </w:p>
    <w:p>
      <w:pPr>
        <w:pStyle w:val="6"/>
        <w:pageBreakBefore w:val="0"/>
        <w:widowControl w:val="0"/>
        <w:kinsoku/>
        <w:wordWrap/>
        <w:overflowPunct/>
        <w:topLinePunct w:val="0"/>
        <w:bidi w:val="0"/>
        <w:snapToGrid/>
        <w:spacing w:line="360" w:lineRule="auto"/>
        <w:textAlignment w:val="auto"/>
        <w:rPr>
          <w:rFonts w:cs="仿宋_GB2312"/>
          <w:szCs w:val="21"/>
        </w:rPr>
      </w:pPr>
      <w:bookmarkStart w:id="181" w:name="_7.2_定标方式"/>
      <w:bookmarkEnd w:id="181"/>
      <w:bookmarkStart w:id="182" w:name="_7.3_中标通知"/>
      <w:bookmarkEnd w:id="182"/>
      <w:bookmarkStart w:id="183" w:name="_Toc266951086"/>
      <w:r>
        <w:t>7.4</w:t>
      </w:r>
      <w:r>
        <w:rPr>
          <w:rFonts w:hint="eastAsia" w:cs="黑体"/>
        </w:rPr>
        <w:t>中标通知</w:t>
      </w:r>
      <w:bookmarkEnd w:id="183"/>
    </w:p>
    <w:p>
      <w:pPr>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cs="仿宋_GB2312"/>
          <w:kern w:val="0"/>
          <w:szCs w:val="21"/>
        </w:rPr>
      </w:pPr>
      <w:r>
        <w:rPr>
          <w:rFonts w:hint="eastAsia" w:ascii="宋体" w:hAnsi="宋体" w:cs="仿宋_GB2312"/>
          <w:kern w:val="0"/>
          <w:szCs w:val="21"/>
        </w:rPr>
        <w:t>在本章第</w:t>
      </w:r>
      <w:r>
        <w:rPr>
          <w:rFonts w:ascii="宋体" w:hAnsi="宋体" w:cs="TimesNewRomanPSMT"/>
          <w:kern w:val="0"/>
          <w:szCs w:val="21"/>
        </w:rPr>
        <w:t>3.3</w:t>
      </w:r>
      <w:r>
        <w:rPr>
          <w:rFonts w:hint="eastAsia" w:ascii="宋体" w:hAnsi="宋体" w:cs="仿宋_GB2312"/>
          <w:kern w:val="0"/>
          <w:szCs w:val="21"/>
        </w:rPr>
        <w:t>款规定的投标有效期内，</w:t>
      </w:r>
      <w:r>
        <w:rPr>
          <w:rFonts w:hint="eastAsia" w:ascii="宋体" w:hAnsi="宋体" w:cs="TimesNewRomanPSMT"/>
          <w:kern w:val="0"/>
          <w:szCs w:val="21"/>
        </w:rPr>
        <w:t>招标人</w:t>
      </w:r>
      <w:r>
        <w:rPr>
          <w:rFonts w:hint="eastAsia" w:ascii="宋体" w:hAnsi="宋体" w:cs="仿宋_GB2312"/>
          <w:kern w:val="0"/>
          <w:szCs w:val="21"/>
        </w:rPr>
        <w:t>以书面形式向中标人发出中标通知书，同时将中标结果通知未中标的投标人。</w:t>
      </w:r>
    </w:p>
    <w:p>
      <w:pPr>
        <w:pStyle w:val="6"/>
        <w:pageBreakBefore w:val="0"/>
        <w:widowControl w:val="0"/>
        <w:kinsoku/>
        <w:wordWrap/>
        <w:overflowPunct/>
        <w:topLinePunct w:val="0"/>
        <w:bidi w:val="0"/>
        <w:snapToGrid/>
        <w:spacing w:line="360" w:lineRule="auto"/>
        <w:textAlignment w:val="auto"/>
      </w:pPr>
      <w:bookmarkStart w:id="184" w:name="_7.4_履约担保"/>
      <w:bookmarkEnd w:id="184"/>
      <w:bookmarkStart w:id="185" w:name="_Toc266951087"/>
      <w:r>
        <w:rPr>
          <w:rFonts w:cs="TimesNewRomanPSMT"/>
        </w:rPr>
        <w:t xml:space="preserve">7.5 </w:t>
      </w:r>
      <w:r>
        <w:rPr>
          <w:rFonts w:hint="eastAsia"/>
        </w:rPr>
        <w:t>履约担保</w:t>
      </w:r>
      <w:bookmarkEnd w:id="185"/>
    </w:p>
    <w:p>
      <w:pPr>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cs="仿宋_GB2312"/>
          <w:kern w:val="0"/>
          <w:szCs w:val="21"/>
        </w:rPr>
      </w:pPr>
      <w:r>
        <w:rPr>
          <w:rFonts w:ascii="宋体" w:hAnsi="宋体" w:cs="TimesNewRomanPSMT"/>
          <w:kern w:val="0"/>
          <w:szCs w:val="21"/>
        </w:rPr>
        <w:t xml:space="preserve">7.5.1 </w:t>
      </w:r>
      <w:r>
        <w:rPr>
          <w:rFonts w:hint="eastAsia" w:ascii="宋体" w:hAnsi="宋体" w:cs="仿宋_GB2312"/>
          <w:kern w:val="0"/>
          <w:szCs w:val="21"/>
        </w:rPr>
        <w:t>在签订合同前，中标人应按</w:t>
      </w:r>
      <w:r>
        <w:fldChar w:fldCharType="begin"/>
      </w:r>
      <w:r>
        <w:instrText xml:space="preserve"> HYPERLINK "file:///H:\\泰州招标文件范本\\泰州市房屋建筑和市政工程施工2016.4.docx" \l "_履约担保" </w:instrText>
      </w:r>
      <w:r>
        <w:fldChar w:fldCharType="separate"/>
      </w:r>
      <w:r>
        <w:rPr>
          <w:rStyle w:val="18"/>
          <w:rFonts w:hint="eastAsia" w:ascii="宋体" w:hAnsi="宋体" w:cs="仿宋_GB2312"/>
          <w:color w:val="auto"/>
          <w:szCs w:val="21"/>
        </w:rPr>
        <w:t>投标人须知前附表</w:t>
      </w:r>
      <w:r>
        <w:rPr>
          <w:rStyle w:val="18"/>
          <w:rFonts w:hint="eastAsia" w:ascii="宋体" w:hAnsi="宋体" w:cs="仿宋_GB2312"/>
          <w:color w:val="auto"/>
          <w:szCs w:val="21"/>
        </w:rPr>
        <w:fldChar w:fldCharType="end"/>
      </w:r>
      <w:r>
        <w:rPr>
          <w:rFonts w:hint="eastAsia" w:ascii="宋体" w:hAnsi="宋体" w:cs="仿宋_GB2312"/>
          <w:kern w:val="0"/>
          <w:szCs w:val="21"/>
        </w:rPr>
        <w:t>规定的金额、担保形式向招标人提交履约担保。联合体中标的，其履约担保由牵头人递交，并应符合</w:t>
      </w:r>
      <w:r>
        <w:fldChar w:fldCharType="begin"/>
      </w:r>
      <w:r>
        <w:instrText xml:space="preserve"> HYPERLINK "file:///H:\\泰州招标文件范本\\泰州市房屋建筑和市政工程施工2016.4.docx" \l "_履约担保" </w:instrText>
      </w:r>
      <w:r>
        <w:fldChar w:fldCharType="separate"/>
      </w:r>
      <w:r>
        <w:rPr>
          <w:rStyle w:val="18"/>
          <w:rFonts w:hint="eastAsia" w:ascii="宋体" w:hAnsi="宋体" w:cs="仿宋_GB2312"/>
          <w:color w:val="auto"/>
          <w:szCs w:val="21"/>
        </w:rPr>
        <w:t>投标人须知前附表</w:t>
      </w:r>
      <w:r>
        <w:rPr>
          <w:rStyle w:val="18"/>
          <w:rFonts w:hint="eastAsia" w:ascii="宋体" w:hAnsi="宋体" w:cs="仿宋_GB2312"/>
          <w:color w:val="auto"/>
          <w:szCs w:val="21"/>
        </w:rPr>
        <w:fldChar w:fldCharType="end"/>
      </w:r>
      <w:r>
        <w:rPr>
          <w:rFonts w:hint="eastAsia" w:ascii="宋体" w:hAnsi="宋体" w:cs="仿宋_GB2312"/>
          <w:kern w:val="0"/>
          <w:szCs w:val="21"/>
        </w:rPr>
        <w:t>规定的金额、担保形式要求。</w:t>
      </w:r>
    </w:p>
    <w:p>
      <w:pPr>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cs="仿宋_GB2312"/>
          <w:kern w:val="0"/>
          <w:szCs w:val="21"/>
        </w:rPr>
      </w:pPr>
      <w:r>
        <w:rPr>
          <w:rFonts w:ascii="宋体" w:hAnsi="宋体" w:cs="TimesNewRomanPSMT"/>
          <w:kern w:val="0"/>
          <w:szCs w:val="21"/>
        </w:rPr>
        <w:t xml:space="preserve">7.5.2 </w:t>
      </w:r>
      <w:r>
        <w:rPr>
          <w:rFonts w:hint="eastAsia" w:ascii="宋体" w:hAnsi="宋体" w:cs="仿宋_GB2312"/>
          <w:kern w:val="0"/>
          <w:szCs w:val="21"/>
        </w:rPr>
        <w:t>中标人不能在规定的时间内按</w:t>
      </w:r>
      <w:r>
        <w:fldChar w:fldCharType="begin"/>
      </w:r>
      <w:r>
        <w:instrText xml:space="preserve"> HYPERLINK "file:///H:\\泰州招标文件范本\\泰州市房屋建筑和市政工程施工2016.4.docx" \l "_7.3_中标通知" </w:instrText>
      </w:r>
      <w:r>
        <w:fldChar w:fldCharType="separate"/>
      </w:r>
      <w:r>
        <w:rPr>
          <w:rStyle w:val="18"/>
          <w:rFonts w:hint="eastAsia" w:ascii="宋体" w:hAnsi="宋体" w:cs="仿宋_GB2312"/>
          <w:color w:val="auto"/>
          <w:szCs w:val="21"/>
        </w:rPr>
        <w:t>本章第</w:t>
      </w:r>
      <w:r>
        <w:rPr>
          <w:rStyle w:val="18"/>
          <w:rFonts w:ascii="宋体" w:hAnsi="宋体" w:cs="TimesNewRomanPSMT"/>
          <w:color w:val="auto"/>
          <w:szCs w:val="21"/>
        </w:rPr>
        <w:t xml:space="preserve">7.4.1 </w:t>
      </w:r>
      <w:r>
        <w:rPr>
          <w:rStyle w:val="18"/>
          <w:rFonts w:hint="eastAsia" w:ascii="宋体" w:hAnsi="宋体" w:cs="仿宋_GB2312"/>
          <w:color w:val="auto"/>
          <w:szCs w:val="21"/>
        </w:rPr>
        <w:t>项</w:t>
      </w:r>
      <w:r>
        <w:rPr>
          <w:rStyle w:val="18"/>
          <w:rFonts w:hint="eastAsia" w:ascii="宋体" w:hAnsi="宋体" w:cs="仿宋_GB2312"/>
          <w:color w:val="auto"/>
          <w:szCs w:val="21"/>
        </w:rPr>
        <w:fldChar w:fldCharType="end"/>
      </w:r>
      <w:r>
        <w:rPr>
          <w:rFonts w:hint="eastAsia" w:ascii="宋体" w:hAnsi="宋体" w:cs="仿宋_GB2312"/>
          <w:kern w:val="0"/>
          <w:szCs w:val="21"/>
        </w:rPr>
        <w:t>要求如数提交履约担保的，视为放弃中标，其投标保证金不予退还，给招标人造成的损失超过投标保证金数额的，中标人还应当对超过部分予以赔偿。</w:t>
      </w:r>
    </w:p>
    <w:p>
      <w:pPr>
        <w:pStyle w:val="6"/>
        <w:pageBreakBefore w:val="0"/>
        <w:widowControl w:val="0"/>
        <w:kinsoku/>
        <w:wordWrap/>
        <w:overflowPunct/>
        <w:topLinePunct w:val="0"/>
        <w:bidi w:val="0"/>
        <w:snapToGrid/>
        <w:spacing w:line="360" w:lineRule="auto"/>
        <w:textAlignment w:val="auto"/>
      </w:pPr>
      <w:bookmarkStart w:id="186" w:name="_7.5_签订合同"/>
      <w:bookmarkEnd w:id="186"/>
      <w:bookmarkStart w:id="187" w:name="_Toc266951088"/>
      <w:r>
        <w:rPr>
          <w:rFonts w:cs="TimesNewRomanPSMT"/>
        </w:rPr>
        <w:t xml:space="preserve">7.6 </w:t>
      </w:r>
      <w:r>
        <w:rPr>
          <w:rFonts w:hint="eastAsia"/>
        </w:rPr>
        <w:t>签订合同</w:t>
      </w:r>
      <w:bookmarkEnd w:id="187"/>
    </w:p>
    <w:p>
      <w:pPr>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cs="仿宋_GB2312"/>
          <w:kern w:val="0"/>
          <w:szCs w:val="21"/>
        </w:rPr>
      </w:pPr>
      <w:r>
        <w:rPr>
          <w:rFonts w:ascii="宋体" w:hAnsi="宋体" w:cs="TimesNewRomanPSMT"/>
          <w:kern w:val="0"/>
          <w:szCs w:val="21"/>
        </w:rPr>
        <w:t xml:space="preserve">7.6.1 </w:t>
      </w:r>
      <w:r>
        <w:rPr>
          <w:rFonts w:hint="eastAsia" w:ascii="宋体" w:hAnsi="宋体" w:cs="仿宋_GB2312"/>
          <w:kern w:val="0"/>
          <w:szCs w:val="21"/>
        </w:rPr>
        <w:t>招标人和中标人应当在投标有效期内并在自中标通知书发出之日起</w:t>
      </w:r>
      <w:r>
        <w:rPr>
          <w:rFonts w:ascii="宋体" w:hAnsi="宋体" w:cs="TimesNewRomanPSMT"/>
          <w:kern w:val="0"/>
          <w:szCs w:val="21"/>
        </w:rPr>
        <w:t>30</w:t>
      </w:r>
      <w:r>
        <w:rPr>
          <w:rFonts w:hint="eastAsia" w:ascii="宋体" w:hAnsi="宋体" w:cs="仿宋_GB2312"/>
          <w:kern w:val="0"/>
          <w:szCs w:val="21"/>
        </w:rPr>
        <w:t>日内，按照招标文件和中标人的投标文件订立书面合同。中标人无正当理由拒绝签订合同的，招标人取消其中标资格，其投标保证金不予退还；给招标人造成的损失超过投标保证金数额的，中标人还应当对超过部分予以赔偿。</w:t>
      </w:r>
    </w:p>
    <w:p>
      <w:pPr>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cs="仿宋_GB2312"/>
          <w:kern w:val="0"/>
          <w:szCs w:val="21"/>
        </w:rPr>
      </w:pPr>
      <w:r>
        <w:rPr>
          <w:rFonts w:ascii="宋体" w:hAnsi="宋体" w:cs="仿宋_GB2312"/>
          <w:kern w:val="0"/>
          <w:szCs w:val="21"/>
        </w:rPr>
        <w:t xml:space="preserve">7.6.2 </w:t>
      </w:r>
      <w:r>
        <w:rPr>
          <w:rFonts w:hint="eastAsia" w:ascii="宋体" w:hAnsi="宋体" w:cs="仿宋_GB2312"/>
          <w:kern w:val="0"/>
          <w:szCs w:val="21"/>
        </w:rPr>
        <w:t>发出中标通知后，招标人无正当理由拒签合同的，招标人向中标人退还投标保证金，给中标人造成损失的，还应当赔偿损失。</w:t>
      </w:r>
    </w:p>
    <w:p>
      <w:pPr>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cs="仿宋_GB2312"/>
          <w:kern w:val="0"/>
          <w:szCs w:val="21"/>
        </w:rPr>
      </w:pPr>
      <w:r>
        <w:rPr>
          <w:rFonts w:ascii="宋体" w:hAnsi="宋体" w:cs="仿宋_GB2312"/>
          <w:kern w:val="0"/>
          <w:szCs w:val="21"/>
        </w:rPr>
        <w:t xml:space="preserve">7.6.3 </w:t>
      </w:r>
      <w:r>
        <w:rPr>
          <w:rFonts w:hint="eastAsia" w:ascii="宋体" w:hAnsi="宋体" w:cs="仿宋_GB2312"/>
          <w:kern w:val="0"/>
          <w:szCs w:val="21"/>
        </w:rPr>
        <w:t>本工程合同价格形式见投标须知前附表。</w:t>
      </w:r>
    </w:p>
    <w:p>
      <w:pPr>
        <w:pStyle w:val="5"/>
        <w:pageBreakBefore w:val="0"/>
        <w:widowControl w:val="0"/>
        <w:kinsoku/>
        <w:wordWrap/>
        <w:overflowPunct/>
        <w:topLinePunct w:val="0"/>
        <w:bidi w:val="0"/>
        <w:snapToGrid/>
        <w:spacing w:line="360" w:lineRule="auto"/>
        <w:textAlignment w:val="auto"/>
      </w:pPr>
      <w:bookmarkStart w:id="188" w:name="_Toc275956109"/>
      <w:bookmarkStart w:id="189" w:name="_Toc266951089"/>
      <w:r>
        <w:rPr>
          <w:rFonts w:cs="TimesNewRomanPSMT"/>
        </w:rPr>
        <w:t xml:space="preserve">8. </w:t>
      </w:r>
      <w:r>
        <w:rPr>
          <w:rFonts w:hint="eastAsia"/>
        </w:rPr>
        <w:t>重新招标和不再招标</w:t>
      </w:r>
      <w:bookmarkEnd w:id="188"/>
      <w:bookmarkEnd w:id="189"/>
    </w:p>
    <w:p>
      <w:pPr>
        <w:pStyle w:val="6"/>
        <w:pageBreakBefore w:val="0"/>
        <w:widowControl w:val="0"/>
        <w:kinsoku/>
        <w:wordWrap/>
        <w:overflowPunct/>
        <w:topLinePunct w:val="0"/>
        <w:bidi w:val="0"/>
        <w:snapToGrid/>
        <w:spacing w:line="360" w:lineRule="auto"/>
        <w:textAlignment w:val="auto"/>
      </w:pPr>
      <w:bookmarkStart w:id="190" w:name="_8.1_重新招标"/>
      <w:bookmarkEnd w:id="190"/>
      <w:bookmarkStart w:id="191" w:name="_Toc266951090"/>
      <w:r>
        <w:rPr>
          <w:rFonts w:cs="TimesNewRomanPSMT"/>
        </w:rPr>
        <w:t xml:space="preserve">8.1 </w:t>
      </w:r>
      <w:r>
        <w:rPr>
          <w:rFonts w:hint="eastAsia"/>
        </w:rPr>
        <w:t>重新招标</w:t>
      </w:r>
      <w:bookmarkEnd w:id="191"/>
    </w:p>
    <w:p>
      <w:pPr>
        <w:pageBreakBefore w:val="0"/>
        <w:widowControl w:val="0"/>
        <w:kinsoku/>
        <w:wordWrap/>
        <w:overflowPunct/>
        <w:topLinePunct w:val="0"/>
        <w:autoSpaceDE w:val="0"/>
        <w:autoSpaceDN w:val="0"/>
        <w:bidi w:val="0"/>
        <w:adjustRightInd w:val="0"/>
        <w:snapToGrid/>
        <w:spacing w:line="360" w:lineRule="auto"/>
        <w:ind w:firstLine="315" w:firstLineChars="150"/>
        <w:jc w:val="left"/>
        <w:textAlignment w:val="auto"/>
        <w:rPr>
          <w:rFonts w:ascii="宋体" w:cs="仿宋_GB2312"/>
          <w:kern w:val="0"/>
          <w:szCs w:val="21"/>
        </w:rPr>
      </w:pPr>
      <w:r>
        <w:rPr>
          <w:rFonts w:hint="eastAsia" w:ascii="宋体" w:hAnsi="宋体" w:cs="仿宋_GB2312"/>
          <w:kern w:val="0"/>
          <w:szCs w:val="21"/>
        </w:rPr>
        <w:t>有下列情形之一的，招标人将重新招标：</w:t>
      </w:r>
    </w:p>
    <w:p>
      <w:pPr>
        <w:pageBreakBefore w:val="0"/>
        <w:widowControl w:val="0"/>
        <w:kinsoku/>
        <w:wordWrap/>
        <w:overflowPunct/>
        <w:topLinePunct w:val="0"/>
        <w:autoSpaceDE w:val="0"/>
        <w:autoSpaceDN w:val="0"/>
        <w:bidi w:val="0"/>
        <w:adjustRightInd w:val="0"/>
        <w:snapToGrid/>
        <w:spacing w:line="360" w:lineRule="auto"/>
        <w:ind w:firstLine="315" w:firstLineChars="150"/>
        <w:jc w:val="left"/>
        <w:textAlignment w:val="auto"/>
        <w:rPr>
          <w:rFonts w:ascii="宋体" w:cs="仿宋_GB2312"/>
          <w:kern w:val="0"/>
          <w:szCs w:val="21"/>
        </w:rPr>
      </w:pPr>
      <w:r>
        <w:rPr>
          <w:rFonts w:hint="eastAsia" w:ascii="宋体" w:hAnsi="宋体" w:cs="仿宋_GB2312"/>
          <w:kern w:val="0"/>
          <w:szCs w:val="21"/>
        </w:rPr>
        <w:t>（</w:t>
      </w:r>
      <w:r>
        <w:rPr>
          <w:rFonts w:ascii="宋体" w:hAnsi="宋体" w:cs="TimesNewRomanPSMT"/>
          <w:kern w:val="0"/>
          <w:szCs w:val="21"/>
        </w:rPr>
        <w:t>1</w:t>
      </w:r>
      <w:r>
        <w:rPr>
          <w:rFonts w:hint="eastAsia" w:ascii="宋体" w:hAnsi="宋体" w:cs="仿宋_GB2312"/>
          <w:kern w:val="0"/>
          <w:szCs w:val="21"/>
        </w:rPr>
        <w:t>）投标截止时间止，投标人数量少于</w:t>
      </w:r>
      <w:r>
        <w:rPr>
          <w:rFonts w:ascii="宋体" w:hAnsi="宋体" w:cs="TimesNewRomanPSMT"/>
          <w:kern w:val="0"/>
          <w:szCs w:val="21"/>
        </w:rPr>
        <w:t>3</w:t>
      </w:r>
      <w:r>
        <w:rPr>
          <w:rFonts w:hint="eastAsia" w:ascii="宋体" w:hAnsi="宋体" w:cs="TimesNewRomanPSMT"/>
          <w:kern w:val="0"/>
          <w:szCs w:val="21"/>
        </w:rPr>
        <w:t>个</w:t>
      </w:r>
      <w:r>
        <w:rPr>
          <w:rFonts w:hint="eastAsia" w:ascii="宋体" w:hAnsi="宋体" w:cs="仿宋_GB2312"/>
          <w:kern w:val="0"/>
          <w:szCs w:val="21"/>
        </w:rPr>
        <w:t>的；</w:t>
      </w:r>
    </w:p>
    <w:p>
      <w:pPr>
        <w:pageBreakBefore w:val="0"/>
        <w:widowControl w:val="0"/>
        <w:kinsoku/>
        <w:wordWrap/>
        <w:overflowPunct/>
        <w:topLinePunct w:val="0"/>
        <w:autoSpaceDE w:val="0"/>
        <w:autoSpaceDN w:val="0"/>
        <w:bidi w:val="0"/>
        <w:adjustRightInd w:val="0"/>
        <w:snapToGrid/>
        <w:spacing w:line="360" w:lineRule="auto"/>
        <w:ind w:firstLine="315" w:firstLineChars="150"/>
        <w:jc w:val="left"/>
        <w:textAlignment w:val="auto"/>
        <w:rPr>
          <w:rFonts w:ascii="宋体" w:cs="仿宋_GB2312"/>
          <w:kern w:val="0"/>
          <w:szCs w:val="21"/>
        </w:rPr>
      </w:pPr>
      <w:r>
        <w:rPr>
          <w:rFonts w:hint="eastAsia" w:ascii="宋体" w:hAnsi="宋体" w:cs="仿宋_GB2312"/>
          <w:kern w:val="0"/>
          <w:szCs w:val="21"/>
        </w:rPr>
        <w:t>（</w:t>
      </w:r>
      <w:r>
        <w:rPr>
          <w:rFonts w:ascii="宋体" w:hAnsi="宋体" w:cs="TimesNewRomanPSMT"/>
          <w:kern w:val="0"/>
          <w:szCs w:val="21"/>
        </w:rPr>
        <w:t>2</w:t>
      </w:r>
      <w:r>
        <w:rPr>
          <w:rFonts w:hint="eastAsia" w:ascii="宋体" w:hAnsi="宋体" w:cs="仿宋_GB2312"/>
          <w:kern w:val="0"/>
          <w:szCs w:val="21"/>
        </w:rPr>
        <w:t>）经评标委员会评审后否决所有投标的；</w:t>
      </w:r>
    </w:p>
    <w:p>
      <w:pPr>
        <w:pageBreakBefore w:val="0"/>
        <w:widowControl w:val="0"/>
        <w:kinsoku/>
        <w:wordWrap/>
        <w:overflowPunct/>
        <w:topLinePunct w:val="0"/>
        <w:autoSpaceDE w:val="0"/>
        <w:autoSpaceDN w:val="0"/>
        <w:bidi w:val="0"/>
        <w:adjustRightInd w:val="0"/>
        <w:snapToGrid/>
        <w:spacing w:line="360" w:lineRule="auto"/>
        <w:ind w:firstLine="315" w:firstLineChars="150"/>
        <w:jc w:val="left"/>
        <w:textAlignment w:val="auto"/>
        <w:rPr>
          <w:rFonts w:ascii="宋体" w:cs="仿宋_GB2312"/>
          <w:kern w:val="0"/>
          <w:szCs w:val="21"/>
        </w:rPr>
      </w:pPr>
      <w:bookmarkStart w:id="192" w:name="_8.2_不再招标"/>
      <w:bookmarkEnd w:id="192"/>
      <w:bookmarkStart w:id="193" w:name="_Toc266951091"/>
      <w:r>
        <w:rPr>
          <w:rFonts w:hint="eastAsia" w:ascii="宋体" w:hAnsi="宋体" w:cs="仿宋_GB2312"/>
          <w:kern w:val="0"/>
          <w:szCs w:val="21"/>
        </w:rPr>
        <w:t>（</w:t>
      </w:r>
      <w:r>
        <w:rPr>
          <w:rFonts w:ascii="宋体" w:hAnsi="宋体" w:cs="仿宋_GB2312"/>
          <w:kern w:val="0"/>
          <w:szCs w:val="21"/>
        </w:rPr>
        <w:t>3</w:t>
      </w:r>
      <w:r>
        <w:rPr>
          <w:rFonts w:hint="eastAsia" w:ascii="宋体" w:hAnsi="宋体" w:cs="仿宋_GB2312"/>
          <w:kern w:val="0"/>
          <w:szCs w:val="21"/>
        </w:rPr>
        <w:t>）在投标有效期内同意延长有效期的投标人少于</w:t>
      </w:r>
      <w:r>
        <w:rPr>
          <w:rFonts w:ascii="宋体" w:hAnsi="宋体" w:cs="仿宋_GB2312"/>
          <w:kern w:val="0"/>
          <w:szCs w:val="21"/>
        </w:rPr>
        <w:t>3</w:t>
      </w:r>
      <w:r>
        <w:rPr>
          <w:rFonts w:hint="eastAsia" w:ascii="宋体" w:hAnsi="宋体" w:cs="仿宋_GB2312"/>
          <w:kern w:val="0"/>
          <w:szCs w:val="21"/>
        </w:rPr>
        <w:t>个的；</w:t>
      </w:r>
    </w:p>
    <w:p>
      <w:pPr>
        <w:pageBreakBefore w:val="0"/>
        <w:widowControl w:val="0"/>
        <w:kinsoku/>
        <w:wordWrap/>
        <w:overflowPunct/>
        <w:topLinePunct w:val="0"/>
        <w:autoSpaceDE w:val="0"/>
        <w:autoSpaceDN w:val="0"/>
        <w:bidi w:val="0"/>
        <w:adjustRightInd w:val="0"/>
        <w:snapToGrid/>
        <w:spacing w:line="360" w:lineRule="auto"/>
        <w:ind w:firstLine="315" w:firstLineChars="150"/>
        <w:jc w:val="left"/>
        <w:textAlignment w:val="auto"/>
        <w:rPr>
          <w:rFonts w:ascii="宋体" w:cs="仿宋_GB2312"/>
          <w:kern w:val="0"/>
          <w:szCs w:val="21"/>
        </w:rPr>
      </w:pPr>
      <w:r>
        <w:rPr>
          <w:rFonts w:hint="eastAsia" w:ascii="宋体" w:hAnsi="宋体" w:cs="仿宋_GB2312"/>
          <w:kern w:val="0"/>
          <w:szCs w:val="21"/>
        </w:rPr>
        <w:t>（</w:t>
      </w:r>
      <w:r>
        <w:rPr>
          <w:rFonts w:ascii="宋体" w:hAnsi="宋体" w:cs="仿宋_GB2312"/>
          <w:kern w:val="0"/>
          <w:szCs w:val="21"/>
        </w:rPr>
        <w:t>4</w:t>
      </w:r>
      <w:r>
        <w:rPr>
          <w:rFonts w:hint="eastAsia" w:ascii="宋体" w:hAnsi="宋体" w:cs="仿宋_GB2312"/>
          <w:kern w:val="0"/>
          <w:szCs w:val="21"/>
        </w:rPr>
        <w:t>）法律规定的其他情况。</w:t>
      </w:r>
    </w:p>
    <w:p>
      <w:pPr>
        <w:pageBreakBefore w:val="0"/>
        <w:widowControl w:val="0"/>
        <w:kinsoku/>
        <w:wordWrap/>
        <w:overflowPunct/>
        <w:topLinePunct w:val="0"/>
        <w:autoSpaceDE w:val="0"/>
        <w:autoSpaceDN w:val="0"/>
        <w:bidi w:val="0"/>
        <w:adjustRightInd w:val="0"/>
        <w:snapToGrid/>
        <w:spacing w:line="360" w:lineRule="auto"/>
        <w:ind w:firstLine="315" w:firstLineChars="150"/>
        <w:jc w:val="left"/>
        <w:textAlignment w:val="auto"/>
        <w:rPr>
          <w:rFonts w:ascii="宋体" w:cs="仿宋_GB2312"/>
          <w:kern w:val="0"/>
          <w:szCs w:val="21"/>
        </w:rPr>
      </w:pPr>
      <w:r>
        <w:rPr>
          <w:rFonts w:hint="eastAsia" w:ascii="宋体" w:hAnsi="宋体" w:cs="仿宋_GB2312"/>
          <w:kern w:val="0"/>
          <w:szCs w:val="21"/>
        </w:rPr>
        <w:t>投标人存在串通投标、弄虚作假等违法违规行为，或者撤销投标、或资格预审合格的投标人放弃投标、放弃中标资格的，不得参加本项目重新招标的投标，并依法予以处理。</w:t>
      </w:r>
    </w:p>
    <w:p>
      <w:pPr>
        <w:pStyle w:val="6"/>
        <w:pageBreakBefore w:val="0"/>
        <w:widowControl w:val="0"/>
        <w:kinsoku/>
        <w:wordWrap/>
        <w:overflowPunct/>
        <w:topLinePunct w:val="0"/>
        <w:bidi w:val="0"/>
        <w:snapToGrid/>
        <w:spacing w:line="360" w:lineRule="auto"/>
        <w:textAlignment w:val="auto"/>
      </w:pPr>
      <w:r>
        <w:rPr>
          <w:rFonts w:cs="TimesNewRomanPSMT"/>
        </w:rPr>
        <w:t xml:space="preserve">8.2 </w:t>
      </w:r>
      <w:r>
        <w:rPr>
          <w:rFonts w:hint="eastAsia"/>
        </w:rPr>
        <w:t>不再招标</w:t>
      </w:r>
      <w:bookmarkEnd w:id="193"/>
    </w:p>
    <w:p>
      <w:pPr>
        <w:pageBreakBefore w:val="0"/>
        <w:widowControl w:val="0"/>
        <w:kinsoku/>
        <w:wordWrap/>
        <w:overflowPunct/>
        <w:topLinePunct w:val="0"/>
        <w:bidi w:val="0"/>
        <w:snapToGrid/>
        <w:spacing w:line="360" w:lineRule="auto"/>
        <w:ind w:firstLine="420" w:firstLineChars="200"/>
        <w:textAlignment w:val="auto"/>
        <w:rPr>
          <w:szCs w:val="21"/>
        </w:rPr>
      </w:pPr>
      <w:r>
        <w:rPr>
          <w:rFonts w:hint="eastAsia" w:hAnsi="宋体"/>
          <w:szCs w:val="21"/>
        </w:rPr>
        <w:t>重新招标后投标人仍少于</w:t>
      </w:r>
      <w:r>
        <w:rPr>
          <w:szCs w:val="21"/>
        </w:rPr>
        <w:t xml:space="preserve">3 </w:t>
      </w:r>
      <w:r>
        <w:rPr>
          <w:rFonts w:hint="eastAsia" w:hAnsi="宋体"/>
          <w:szCs w:val="21"/>
        </w:rPr>
        <w:t>个或者所有投标被否决的，属于必须审批或核准的工程建设项目，经原审批或核准部门批准后可不再进行招标。</w:t>
      </w:r>
    </w:p>
    <w:p>
      <w:pPr>
        <w:pStyle w:val="5"/>
        <w:pageBreakBefore w:val="0"/>
        <w:widowControl w:val="0"/>
        <w:kinsoku/>
        <w:wordWrap/>
        <w:overflowPunct/>
        <w:topLinePunct w:val="0"/>
        <w:bidi w:val="0"/>
        <w:snapToGrid/>
        <w:spacing w:line="360" w:lineRule="auto"/>
        <w:textAlignment w:val="auto"/>
      </w:pPr>
      <w:bookmarkStart w:id="194" w:name="_Toc266951092"/>
      <w:bookmarkStart w:id="195" w:name="_Toc275956110"/>
      <w:r>
        <w:rPr>
          <w:rFonts w:cs="TimesNewRomanPSMT"/>
        </w:rPr>
        <w:t xml:space="preserve">9. </w:t>
      </w:r>
      <w:r>
        <w:rPr>
          <w:rFonts w:hint="eastAsia"/>
        </w:rPr>
        <w:t>纪律和监督</w:t>
      </w:r>
      <w:bookmarkEnd w:id="194"/>
      <w:bookmarkEnd w:id="195"/>
    </w:p>
    <w:p>
      <w:pPr>
        <w:pStyle w:val="6"/>
        <w:pageBreakBefore w:val="0"/>
        <w:widowControl w:val="0"/>
        <w:kinsoku/>
        <w:wordWrap/>
        <w:overflowPunct/>
        <w:topLinePunct w:val="0"/>
        <w:bidi w:val="0"/>
        <w:snapToGrid/>
        <w:spacing w:line="360" w:lineRule="auto"/>
        <w:textAlignment w:val="auto"/>
      </w:pPr>
      <w:bookmarkStart w:id="196" w:name="_9.1_对招标人的纪律要求"/>
      <w:bookmarkEnd w:id="196"/>
      <w:bookmarkStart w:id="197" w:name="_Toc266951093"/>
      <w:r>
        <w:rPr>
          <w:rFonts w:cs="TimesNewRomanPSMT"/>
        </w:rPr>
        <w:t xml:space="preserve">9.1 </w:t>
      </w:r>
      <w:r>
        <w:rPr>
          <w:rFonts w:hint="eastAsia"/>
        </w:rPr>
        <w:t>对招标人的纪律要求</w:t>
      </w:r>
      <w:bookmarkEnd w:id="197"/>
    </w:p>
    <w:p>
      <w:pPr>
        <w:pageBreakBefore w:val="0"/>
        <w:widowControl w:val="0"/>
        <w:kinsoku/>
        <w:wordWrap/>
        <w:overflowPunct/>
        <w:topLinePunct w:val="0"/>
        <w:autoSpaceDE w:val="0"/>
        <w:autoSpaceDN w:val="0"/>
        <w:bidi w:val="0"/>
        <w:adjustRightInd w:val="0"/>
        <w:snapToGrid/>
        <w:spacing w:line="360" w:lineRule="auto"/>
        <w:ind w:firstLine="315" w:firstLineChars="150"/>
        <w:jc w:val="left"/>
        <w:textAlignment w:val="auto"/>
        <w:rPr>
          <w:rFonts w:ascii="宋体" w:cs="仿宋_GB2312"/>
          <w:kern w:val="0"/>
          <w:szCs w:val="21"/>
        </w:rPr>
      </w:pPr>
      <w:r>
        <w:rPr>
          <w:rFonts w:hint="eastAsia" w:ascii="宋体" w:hAnsi="宋体" w:cs="仿宋_GB2312"/>
          <w:kern w:val="0"/>
          <w:szCs w:val="21"/>
        </w:rPr>
        <w:t>招标人不得泄漏招标投标活动中应当保密的情况和资料，不得与投标人串通损害国家利益、社会公共利益或者他人合法权益。</w:t>
      </w:r>
    </w:p>
    <w:p>
      <w:pPr>
        <w:pStyle w:val="6"/>
        <w:pageBreakBefore w:val="0"/>
        <w:widowControl w:val="0"/>
        <w:kinsoku/>
        <w:wordWrap/>
        <w:overflowPunct/>
        <w:topLinePunct w:val="0"/>
        <w:bidi w:val="0"/>
        <w:snapToGrid/>
        <w:spacing w:line="360" w:lineRule="auto"/>
        <w:textAlignment w:val="auto"/>
      </w:pPr>
      <w:bookmarkStart w:id="198" w:name="_9.2_对投标人的纪律要求"/>
      <w:bookmarkEnd w:id="198"/>
      <w:bookmarkStart w:id="199" w:name="_Toc266951094"/>
      <w:r>
        <w:rPr>
          <w:rFonts w:cs="TimesNewRomanPSMT"/>
        </w:rPr>
        <w:t xml:space="preserve">9.2 </w:t>
      </w:r>
      <w:r>
        <w:rPr>
          <w:rFonts w:hint="eastAsia"/>
        </w:rPr>
        <w:t>对投标人的纪律要求</w:t>
      </w:r>
      <w:bookmarkEnd w:id="199"/>
    </w:p>
    <w:p>
      <w:pPr>
        <w:pageBreakBefore w:val="0"/>
        <w:widowControl w:val="0"/>
        <w:kinsoku/>
        <w:wordWrap/>
        <w:overflowPunct/>
        <w:topLinePunct w:val="0"/>
        <w:autoSpaceDE w:val="0"/>
        <w:autoSpaceDN w:val="0"/>
        <w:bidi w:val="0"/>
        <w:adjustRightInd w:val="0"/>
        <w:snapToGrid/>
        <w:spacing w:line="360" w:lineRule="auto"/>
        <w:ind w:firstLine="315" w:firstLineChars="150"/>
        <w:jc w:val="left"/>
        <w:textAlignment w:val="auto"/>
        <w:rPr>
          <w:rFonts w:ascii="宋体" w:cs="仿宋_GB2312"/>
          <w:kern w:val="0"/>
          <w:szCs w:val="21"/>
        </w:rPr>
      </w:pPr>
      <w:r>
        <w:rPr>
          <w:rFonts w:hint="eastAsia" w:ascii="宋体" w:hAnsi="宋体" w:cs="仿宋_GB2312"/>
          <w:kern w:val="0"/>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6"/>
        <w:pageBreakBefore w:val="0"/>
        <w:widowControl w:val="0"/>
        <w:kinsoku/>
        <w:wordWrap/>
        <w:overflowPunct/>
        <w:topLinePunct w:val="0"/>
        <w:bidi w:val="0"/>
        <w:snapToGrid/>
        <w:spacing w:line="360" w:lineRule="auto"/>
        <w:textAlignment w:val="auto"/>
      </w:pPr>
      <w:bookmarkStart w:id="200" w:name="_9.3_对评标委员会成员的纪律要求"/>
      <w:bookmarkEnd w:id="200"/>
      <w:bookmarkStart w:id="201" w:name="_Toc266951095"/>
      <w:r>
        <w:rPr>
          <w:rFonts w:cs="TimesNewRomanPSMT"/>
        </w:rPr>
        <w:t xml:space="preserve">9.3 </w:t>
      </w:r>
      <w:r>
        <w:rPr>
          <w:rFonts w:hint="eastAsia"/>
        </w:rPr>
        <w:t>对评标委员会成员的纪律要求</w:t>
      </w:r>
      <w:bookmarkEnd w:id="201"/>
    </w:p>
    <w:p>
      <w:pPr>
        <w:pageBreakBefore w:val="0"/>
        <w:widowControl w:val="0"/>
        <w:kinsoku/>
        <w:wordWrap/>
        <w:overflowPunct/>
        <w:topLinePunct w:val="0"/>
        <w:autoSpaceDE w:val="0"/>
        <w:autoSpaceDN w:val="0"/>
        <w:bidi w:val="0"/>
        <w:adjustRightInd w:val="0"/>
        <w:snapToGrid/>
        <w:spacing w:line="360" w:lineRule="auto"/>
        <w:ind w:firstLine="315" w:firstLineChars="150"/>
        <w:jc w:val="left"/>
        <w:textAlignment w:val="auto"/>
        <w:rPr>
          <w:rFonts w:ascii="宋体" w:cs="仿宋_GB2312"/>
          <w:kern w:val="0"/>
          <w:szCs w:val="21"/>
        </w:rPr>
      </w:pPr>
      <w:r>
        <w:rPr>
          <w:rFonts w:hint="eastAsia" w:ascii="宋体" w:hAnsi="宋体" w:cs="仿宋_GB2312"/>
          <w:kern w:val="0"/>
          <w:szCs w:val="21"/>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三章“</w:t>
      </w:r>
      <w:r>
        <w:fldChar w:fldCharType="begin"/>
      </w:r>
      <w:r>
        <w:instrText xml:space="preserve"> HYPERLINK "file:///H:\\泰州招标文件范本\\泰州市房屋建筑和市政工程施工2016.4.docx" \l "_第三章_评标办法（经评审的合理低价法）" </w:instrText>
      </w:r>
      <w:r>
        <w:fldChar w:fldCharType="separate"/>
      </w:r>
      <w:r>
        <w:rPr>
          <w:rStyle w:val="18"/>
          <w:rFonts w:hint="eastAsia" w:ascii="宋体" w:hAnsi="宋体" w:cs="仿宋_GB2312"/>
          <w:color w:val="auto"/>
          <w:szCs w:val="21"/>
        </w:rPr>
        <w:t>评标办法</w:t>
      </w:r>
      <w:r>
        <w:rPr>
          <w:rStyle w:val="18"/>
          <w:rFonts w:hint="eastAsia" w:ascii="宋体" w:hAnsi="宋体" w:cs="仿宋_GB2312"/>
          <w:color w:val="auto"/>
          <w:szCs w:val="21"/>
        </w:rPr>
        <w:fldChar w:fldCharType="end"/>
      </w:r>
      <w:r>
        <w:rPr>
          <w:rFonts w:hint="eastAsia" w:ascii="宋体" w:hAnsi="宋体" w:cs="仿宋_GB2312"/>
          <w:kern w:val="0"/>
          <w:szCs w:val="21"/>
        </w:rPr>
        <w:t>”没有规定的评审因素和标准进行评标。</w:t>
      </w:r>
    </w:p>
    <w:p>
      <w:pPr>
        <w:pStyle w:val="6"/>
        <w:pageBreakBefore w:val="0"/>
        <w:widowControl w:val="0"/>
        <w:kinsoku/>
        <w:wordWrap/>
        <w:overflowPunct/>
        <w:topLinePunct w:val="0"/>
        <w:bidi w:val="0"/>
        <w:snapToGrid/>
        <w:spacing w:line="360" w:lineRule="auto"/>
        <w:textAlignment w:val="auto"/>
      </w:pPr>
      <w:bookmarkStart w:id="202" w:name="_9.4_对与评标活动有关的工作人员的纪律要求"/>
      <w:bookmarkEnd w:id="202"/>
      <w:bookmarkStart w:id="203" w:name="_Toc266951096"/>
      <w:r>
        <w:rPr>
          <w:rFonts w:cs="TimesNewRomanPSMT"/>
        </w:rPr>
        <w:t xml:space="preserve">9.4 </w:t>
      </w:r>
      <w:r>
        <w:rPr>
          <w:rFonts w:hint="eastAsia"/>
        </w:rPr>
        <w:t>对与评标活动有关的工作人员纪律要求</w:t>
      </w:r>
      <w:bookmarkEnd w:id="203"/>
    </w:p>
    <w:p>
      <w:pPr>
        <w:pageBreakBefore w:val="0"/>
        <w:widowControl w:val="0"/>
        <w:kinsoku/>
        <w:wordWrap/>
        <w:overflowPunct/>
        <w:topLinePunct w:val="0"/>
        <w:autoSpaceDE w:val="0"/>
        <w:autoSpaceDN w:val="0"/>
        <w:bidi w:val="0"/>
        <w:adjustRightInd w:val="0"/>
        <w:snapToGrid/>
        <w:spacing w:line="360" w:lineRule="auto"/>
        <w:ind w:firstLine="315" w:firstLineChars="150"/>
        <w:jc w:val="left"/>
        <w:textAlignment w:val="auto"/>
        <w:rPr>
          <w:rFonts w:ascii="宋体" w:cs="仿宋_GB2312"/>
          <w:kern w:val="0"/>
          <w:szCs w:val="21"/>
        </w:rPr>
      </w:pPr>
      <w:r>
        <w:rPr>
          <w:rFonts w:hint="eastAsia" w:ascii="宋体" w:hAnsi="宋体" w:cs="仿宋_GB2312"/>
          <w:kern w:val="0"/>
          <w:szCs w:val="21"/>
        </w:rPr>
        <w:t>与评标活动有关的工作人员不得收受他人的财物或者其他好处，不得向他人透露对投标文件的评审和比较、中标候选人的推荐情况以及评标有关的其他情况。在评标活动中，与评标活动有关的工作人员不得擅离职守，不得利用职务之便，干扰评标活动，影响评标程序正常进行。</w:t>
      </w:r>
    </w:p>
    <w:p>
      <w:pPr>
        <w:pStyle w:val="6"/>
        <w:pageBreakBefore w:val="0"/>
        <w:widowControl w:val="0"/>
        <w:kinsoku/>
        <w:wordWrap/>
        <w:overflowPunct/>
        <w:topLinePunct w:val="0"/>
        <w:bidi w:val="0"/>
        <w:snapToGrid/>
        <w:spacing w:line="360" w:lineRule="auto"/>
        <w:textAlignment w:val="auto"/>
        <w:rPr>
          <w:rFonts w:cs="黑体"/>
        </w:rPr>
      </w:pPr>
      <w:bookmarkStart w:id="204" w:name="_9.5_投诉"/>
      <w:bookmarkEnd w:id="204"/>
      <w:bookmarkStart w:id="205" w:name="_Toc266951097"/>
      <w:r>
        <w:t xml:space="preserve">9.5 </w:t>
      </w:r>
      <w:r>
        <w:rPr>
          <w:rFonts w:hint="eastAsia" w:cs="黑体"/>
        </w:rPr>
        <w:t>投诉</w:t>
      </w:r>
      <w:bookmarkEnd w:id="205"/>
    </w:p>
    <w:p>
      <w:pPr>
        <w:pageBreakBefore w:val="0"/>
        <w:widowControl w:val="0"/>
        <w:kinsoku/>
        <w:wordWrap/>
        <w:overflowPunct/>
        <w:topLinePunct w:val="0"/>
        <w:autoSpaceDE w:val="0"/>
        <w:autoSpaceDN w:val="0"/>
        <w:bidi w:val="0"/>
        <w:adjustRightInd w:val="0"/>
        <w:snapToGrid/>
        <w:spacing w:line="360" w:lineRule="auto"/>
        <w:ind w:firstLine="315" w:firstLineChars="150"/>
        <w:jc w:val="left"/>
        <w:textAlignment w:val="auto"/>
        <w:rPr>
          <w:rFonts w:ascii="宋体" w:cs="仿宋_GB2312"/>
          <w:kern w:val="0"/>
          <w:szCs w:val="21"/>
        </w:rPr>
      </w:pPr>
      <w:r>
        <w:rPr>
          <w:rFonts w:hint="eastAsia" w:ascii="宋体" w:hAnsi="宋体" w:cs="仿宋_GB2312"/>
          <w:kern w:val="0"/>
          <w:szCs w:val="21"/>
        </w:rPr>
        <w:t>投标人和其他利害关系人认为本次招标活动违反法律、法规和规章规定的，有权向有关行政监督部门投诉。</w:t>
      </w:r>
    </w:p>
    <w:p>
      <w:pPr>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cs="仿宋_GB2312"/>
          <w:kern w:val="0"/>
          <w:szCs w:val="21"/>
        </w:rPr>
      </w:pPr>
      <w:r>
        <w:rPr>
          <w:rFonts w:ascii="宋体" w:hAnsi="宋体" w:cs="仿宋_GB2312"/>
          <w:kern w:val="0"/>
          <w:szCs w:val="21"/>
        </w:rPr>
        <w:t>9.5.1</w:t>
      </w:r>
      <w:r>
        <w:rPr>
          <w:rFonts w:hint="eastAsia" w:ascii="宋体" w:hAnsi="宋体" w:cs="仿宋_GB2312"/>
          <w:kern w:val="0"/>
          <w:szCs w:val="21"/>
        </w:rPr>
        <w:t>投标人或者其他利害关系人认为招标投标活动不符合法律、行政法规规定的，可以自知道或者应当知道之日起</w:t>
      </w:r>
      <w:r>
        <w:rPr>
          <w:rFonts w:ascii="宋体" w:hAnsi="宋体" w:cs="仿宋_GB2312"/>
          <w:kern w:val="0"/>
          <w:szCs w:val="21"/>
        </w:rPr>
        <w:t>10</w:t>
      </w:r>
      <w:r>
        <w:rPr>
          <w:rFonts w:hint="eastAsia" w:ascii="宋体" w:hAnsi="宋体" w:cs="仿宋_GB2312"/>
          <w:kern w:val="0"/>
          <w:szCs w:val="21"/>
        </w:rPr>
        <w:t>日内向有关行政监督部门投诉。投诉应当有明确的请求和必要的证明材料。</w:t>
      </w:r>
    </w:p>
    <w:p>
      <w:pPr>
        <w:pageBreakBefore w:val="0"/>
        <w:widowControl w:val="0"/>
        <w:kinsoku/>
        <w:wordWrap/>
        <w:overflowPunct/>
        <w:topLinePunct w:val="0"/>
        <w:autoSpaceDE w:val="0"/>
        <w:autoSpaceDN w:val="0"/>
        <w:bidi w:val="0"/>
        <w:adjustRightInd w:val="0"/>
        <w:snapToGrid/>
        <w:spacing w:line="360" w:lineRule="auto"/>
        <w:jc w:val="left"/>
        <w:textAlignment w:val="auto"/>
        <w:rPr>
          <w:rFonts w:ascii="宋体" w:cs="仿宋_GB2312"/>
          <w:kern w:val="0"/>
          <w:szCs w:val="21"/>
        </w:rPr>
      </w:pPr>
      <w:r>
        <w:rPr>
          <w:rFonts w:ascii="宋体" w:hAnsi="宋体" w:cs="仿宋_GB2312"/>
          <w:kern w:val="0"/>
          <w:szCs w:val="21"/>
        </w:rPr>
        <w:t xml:space="preserve">    9.5.2</w:t>
      </w:r>
      <w:r>
        <w:rPr>
          <w:rFonts w:hint="eastAsia" w:ascii="宋体" w:hAnsi="宋体" w:cs="仿宋_GB2312"/>
          <w:kern w:val="0"/>
          <w:szCs w:val="21"/>
        </w:rPr>
        <w:t>就《中华人民共和国招标投标法实施条例》第二十二条、第四十四条、第五十四条规定事项投诉的，应当先向招标人提出异议，异议答复期间不计算在前款规定的期限内。未按上述规定向招标人提出异议的，行政监督部门将不予受理其投诉。</w:t>
      </w:r>
    </w:p>
    <w:p>
      <w:pPr>
        <w:pageBreakBefore w:val="0"/>
        <w:widowControl w:val="0"/>
        <w:kinsoku/>
        <w:wordWrap/>
        <w:overflowPunct/>
        <w:topLinePunct w:val="0"/>
        <w:autoSpaceDE w:val="0"/>
        <w:autoSpaceDN w:val="0"/>
        <w:bidi w:val="0"/>
        <w:adjustRightInd w:val="0"/>
        <w:snapToGrid/>
        <w:spacing w:line="360" w:lineRule="auto"/>
        <w:jc w:val="left"/>
        <w:textAlignment w:val="auto"/>
        <w:rPr>
          <w:rFonts w:ascii="宋体" w:cs="仿宋_GB2312"/>
          <w:kern w:val="0"/>
          <w:szCs w:val="21"/>
        </w:rPr>
      </w:pPr>
      <w:r>
        <w:rPr>
          <w:rFonts w:ascii="宋体" w:hAnsi="宋体" w:cs="仿宋_GB2312"/>
          <w:kern w:val="0"/>
          <w:szCs w:val="21"/>
        </w:rPr>
        <w:t xml:space="preserve">    9.5.3</w:t>
      </w:r>
      <w:r>
        <w:rPr>
          <w:rFonts w:hint="eastAsia" w:ascii="宋体" w:hAnsi="宋体" w:cs="仿宋_GB2312"/>
          <w:kern w:val="0"/>
          <w:szCs w:val="21"/>
        </w:rPr>
        <w:t>投诉人捏造事实、伪造材料或者以非法手段取得证明材料进行投诉的，行政监督部门应当予以驳回，并作为不良行为予以公示。</w:t>
      </w:r>
    </w:p>
    <w:p>
      <w:pPr>
        <w:pStyle w:val="5"/>
        <w:pageBreakBefore w:val="0"/>
        <w:widowControl w:val="0"/>
        <w:kinsoku/>
        <w:wordWrap/>
        <w:overflowPunct/>
        <w:topLinePunct w:val="0"/>
        <w:bidi w:val="0"/>
        <w:snapToGrid/>
        <w:spacing w:line="360" w:lineRule="auto"/>
        <w:textAlignment w:val="auto"/>
        <w:rPr>
          <w:rFonts w:ascii="宋体" w:eastAsia="宋体" w:cs="Arial"/>
          <w:b/>
          <w:sz w:val="24"/>
        </w:rPr>
      </w:pPr>
      <w:bookmarkStart w:id="206" w:name="_Toc275956111"/>
      <w:bookmarkStart w:id="207" w:name="_Toc266951098"/>
      <w:r>
        <w:t xml:space="preserve">10. </w:t>
      </w:r>
      <w:r>
        <w:rPr>
          <w:rFonts w:hint="eastAsia" w:ascii="宋体" w:hAnsi="宋体" w:cs="Arial"/>
          <w:b/>
          <w:sz w:val="24"/>
        </w:rPr>
        <w:t>需要补充的其他内容</w:t>
      </w:r>
      <w:bookmarkEnd w:id="206"/>
      <w:bookmarkEnd w:id="207"/>
    </w:p>
    <w:p>
      <w:pPr>
        <w:pageBreakBefore w:val="0"/>
        <w:widowControl w:val="0"/>
        <w:kinsoku/>
        <w:wordWrap/>
        <w:overflowPunct/>
        <w:topLinePunct w:val="0"/>
        <w:bidi w:val="0"/>
        <w:snapToGrid/>
        <w:spacing w:line="360" w:lineRule="auto"/>
        <w:textAlignment w:val="auto"/>
      </w:pPr>
      <w:r>
        <w:rPr>
          <w:rFonts w:hint="eastAsia"/>
        </w:rPr>
        <w:t>需要补充的其他内容：见投标人须知前附表。</w:t>
      </w:r>
    </w:p>
    <w:p>
      <w:bookmarkStart w:id="208" w:name="_Toc275956121"/>
      <w:bookmarkStart w:id="209" w:name="_Toc275956132"/>
    </w:p>
    <w:p>
      <w:pPr>
        <w:pStyle w:val="4"/>
      </w:pPr>
      <w:r>
        <w:rPr>
          <w:rFonts w:hint="eastAsia"/>
        </w:rPr>
        <w:t>第三章评标办法（经评审的最低投标价法）</w:t>
      </w:r>
      <w:bookmarkEnd w:id="208"/>
    </w:p>
    <w:p>
      <w:pPr>
        <w:pStyle w:val="5"/>
        <w:spacing w:line="320" w:lineRule="exact"/>
      </w:pPr>
      <w:bookmarkStart w:id="210" w:name="_评标办法前附表"/>
      <w:bookmarkEnd w:id="210"/>
      <w:bookmarkStart w:id="211" w:name="_Toc144974555"/>
      <w:bookmarkStart w:id="212" w:name="_Toc179632606"/>
      <w:bookmarkStart w:id="213" w:name="_Toc275956122"/>
      <w:bookmarkStart w:id="214" w:name="_Toc241484536"/>
      <w:bookmarkStart w:id="215" w:name="_Toc152042365"/>
      <w:bookmarkStart w:id="216" w:name="_Toc152045588"/>
      <w:bookmarkStart w:id="217" w:name="_Toc241459640"/>
      <w:r>
        <w:rPr>
          <w:rFonts w:hint="eastAsia"/>
        </w:rPr>
        <w:t>评标办法前附表</w:t>
      </w:r>
      <w:bookmarkEnd w:id="211"/>
      <w:bookmarkEnd w:id="212"/>
      <w:bookmarkEnd w:id="213"/>
      <w:bookmarkEnd w:id="214"/>
      <w:bookmarkEnd w:id="215"/>
      <w:bookmarkEnd w:id="216"/>
      <w:bookmarkEnd w:id="217"/>
    </w:p>
    <w:p/>
    <w:tbl>
      <w:tblPr>
        <w:tblStyle w:val="15"/>
        <w:tblW w:w="87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84"/>
        <w:gridCol w:w="982"/>
        <w:gridCol w:w="816"/>
        <w:gridCol w:w="1260"/>
        <w:gridCol w:w="4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1813" w:type="dxa"/>
            <w:gridSpan w:val="3"/>
            <w:vAlign w:val="center"/>
          </w:tcPr>
          <w:p>
            <w:pPr>
              <w:jc w:val="center"/>
              <w:rPr>
                <w:b/>
              </w:rPr>
            </w:pPr>
            <w:r>
              <w:rPr>
                <w:rFonts w:hint="eastAsia"/>
                <w:b/>
              </w:rPr>
              <w:t>条款号</w:t>
            </w:r>
          </w:p>
        </w:tc>
        <w:tc>
          <w:tcPr>
            <w:tcW w:w="2076" w:type="dxa"/>
            <w:gridSpan w:val="2"/>
            <w:vAlign w:val="center"/>
          </w:tcPr>
          <w:p>
            <w:pPr>
              <w:jc w:val="center"/>
              <w:rPr>
                <w:b/>
              </w:rPr>
            </w:pPr>
            <w:r>
              <w:rPr>
                <w:rFonts w:hint="eastAsia"/>
                <w:b/>
              </w:rPr>
              <w:t>评审因素</w:t>
            </w:r>
          </w:p>
        </w:tc>
        <w:tc>
          <w:tcPr>
            <w:tcW w:w="4815" w:type="dxa"/>
            <w:vAlign w:val="center"/>
          </w:tcPr>
          <w:p>
            <w:pPr>
              <w:jc w:val="center"/>
              <w:rPr>
                <w:b/>
              </w:rPr>
            </w:pPr>
            <w:r>
              <w:rPr>
                <w:rFonts w:hint="eastAsia"/>
                <w:b/>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 w:hRule="atLeast"/>
        </w:trPr>
        <w:tc>
          <w:tcPr>
            <w:tcW w:w="747" w:type="dxa"/>
            <w:vMerge w:val="restart"/>
            <w:vAlign w:val="center"/>
          </w:tcPr>
          <w:p>
            <w:bookmarkStart w:id="218" w:name="_2.1.1_1"/>
            <w:bookmarkEnd w:id="218"/>
            <w:r>
              <w:t>2.1.1</w:t>
            </w:r>
          </w:p>
        </w:tc>
        <w:tc>
          <w:tcPr>
            <w:tcW w:w="1066" w:type="dxa"/>
            <w:gridSpan w:val="2"/>
            <w:vMerge w:val="restart"/>
            <w:vAlign w:val="center"/>
          </w:tcPr>
          <w:p>
            <w:pPr>
              <w:rPr>
                <w:b/>
              </w:rPr>
            </w:pPr>
            <w:r>
              <w:rPr>
                <w:rFonts w:hint="eastAsia"/>
                <w:b/>
              </w:rPr>
              <w:t>形式评审标准</w:t>
            </w:r>
          </w:p>
        </w:tc>
        <w:tc>
          <w:tcPr>
            <w:tcW w:w="2076" w:type="dxa"/>
            <w:gridSpan w:val="2"/>
            <w:vAlign w:val="center"/>
          </w:tcPr>
          <w:p>
            <w:r>
              <w:rPr>
                <w:rFonts w:hint="eastAsia"/>
              </w:rPr>
              <w:t>投标人名称</w:t>
            </w:r>
          </w:p>
        </w:tc>
        <w:tc>
          <w:tcPr>
            <w:tcW w:w="4815" w:type="dxa"/>
            <w:vAlign w:val="center"/>
          </w:tcPr>
          <w:p>
            <w:r>
              <w:rPr>
                <w:rFonts w:hint="eastAsia"/>
              </w:rPr>
              <w:t>与营业执照、资质证书、安全生产许可证一致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 w:hRule="atLeast"/>
        </w:trPr>
        <w:tc>
          <w:tcPr>
            <w:tcW w:w="747" w:type="dxa"/>
            <w:vMerge w:val="continue"/>
            <w:vAlign w:val="center"/>
          </w:tcPr>
          <w:p>
            <w:pPr>
              <w:widowControl/>
              <w:jc w:val="left"/>
            </w:pPr>
          </w:p>
        </w:tc>
        <w:tc>
          <w:tcPr>
            <w:tcW w:w="1066" w:type="dxa"/>
            <w:gridSpan w:val="2"/>
            <w:vMerge w:val="continue"/>
            <w:vAlign w:val="center"/>
          </w:tcPr>
          <w:p>
            <w:pPr>
              <w:widowControl/>
              <w:jc w:val="left"/>
              <w:rPr>
                <w:b/>
              </w:rPr>
            </w:pPr>
          </w:p>
        </w:tc>
        <w:tc>
          <w:tcPr>
            <w:tcW w:w="2076" w:type="dxa"/>
            <w:gridSpan w:val="2"/>
            <w:vAlign w:val="center"/>
          </w:tcPr>
          <w:p>
            <w:r>
              <w:rPr>
                <w:rFonts w:hint="eastAsia"/>
              </w:rPr>
              <w:t>投标文件签字盖章</w:t>
            </w:r>
          </w:p>
        </w:tc>
        <w:tc>
          <w:tcPr>
            <w:tcW w:w="4815" w:type="dxa"/>
            <w:vAlign w:val="center"/>
          </w:tcPr>
          <w:p>
            <w:r>
              <w:rPr>
                <w:rFonts w:hint="eastAsia" w:ascii="宋体" w:hAnsi="宋体" w:cs="Arial"/>
                <w:szCs w:val="21"/>
              </w:rPr>
              <w:t>符合</w:t>
            </w:r>
            <w:r>
              <w:rPr>
                <w:rFonts w:hint="eastAsia"/>
              </w:rPr>
              <w:t>第二章</w:t>
            </w:r>
            <w:r>
              <w:rPr>
                <w:rFonts w:hint="eastAsia" w:ascii="宋体" w:hAnsi="宋体" w:cs="Arial"/>
                <w:szCs w:val="21"/>
                <w:u w:val="single"/>
              </w:rPr>
              <w:t>投标人须知前附表</w:t>
            </w:r>
            <w:r>
              <w:rPr>
                <w:rFonts w:ascii="宋体" w:hAnsi="宋体" w:cs="Arial"/>
                <w:szCs w:val="21"/>
                <w:u w:val="single"/>
              </w:rPr>
              <w:t>3.7.3</w:t>
            </w:r>
            <w:r>
              <w:rPr>
                <w:rFonts w:hint="eastAsia" w:ascii="宋体" w:hAnsi="宋体" w:cs="Arial"/>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 w:hRule="atLeast"/>
        </w:trPr>
        <w:tc>
          <w:tcPr>
            <w:tcW w:w="747" w:type="dxa"/>
            <w:vMerge w:val="continue"/>
            <w:vAlign w:val="center"/>
          </w:tcPr>
          <w:p>
            <w:pPr>
              <w:widowControl/>
              <w:jc w:val="left"/>
            </w:pPr>
          </w:p>
        </w:tc>
        <w:tc>
          <w:tcPr>
            <w:tcW w:w="1066" w:type="dxa"/>
            <w:gridSpan w:val="2"/>
            <w:vMerge w:val="continue"/>
            <w:vAlign w:val="center"/>
          </w:tcPr>
          <w:p>
            <w:pPr>
              <w:widowControl/>
              <w:jc w:val="left"/>
              <w:rPr>
                <w:b/>
              </w:rPr>
            </w:pPr>
          </w:p>
        </w:tc>
        <w:tc>
          <w:tcPr>
            <w:tcW w:w="2076" w:type="dxa"/>
            <w:gridSpan w:val="2"/>
            <w:vAlign w:val="center"/>
          </w:tcPr>
          <w:p>
            <w:r>
              <w:rPr>
                <w:rFonts w:hint="eastAsia"/>
              </w:rPr>
              <w:t>投标文件格式</w:t>
            </w:r>
          </w:p>
        </w:tc>
        <w:tc>
          <w:tcPr>
            <w:tcW w:w="4815" w:type="dxa"/>
            <w:vAlign w:val="center"/>
          </w:tcPr>
          <w:p>
            <w:r>
              <w:rPr>
                <w:rFonts w:hint="eastAsia"/>
              </w:rPr>
              <w:t>符合第八章</w:t>
            </w:r>
            <w:r>
              <w:t>“</w:t>
            </w:r>
            <w:r>
              <w:fldChar w:fldCharType="begin"/>
            </w:r>
            <w:r>
              <w:instrText xml:space="preserve"> HYPERLINK "file:///H:\\泰州招标文件范本\\泰州市房屋建筑和市政工程施工2016.4.docx" \l "_第八章__投标文件格式" </w:instrText>
            </w:r>
            <w:r>
              <w:fldChar w:fldCharType="separate"/>
            </w:r>
            <w:r>
              <w:rPr>
                <w:rStyle w:val="18"/>
                <w:rFonts w:hint="eastAsia"/>
                <w:color w:val="auto"/>
              </w:rPr>
              <w:t>投标文件格式</w:t>
            </w:r>
            <w:r>
              <w:rPr>
                <w:rStyle w:val="18"/>
                <w:rFonts w:hint="eastAsia"/>
                <w:color w:val="auto"/>
              </w:rPr>
              <w:fldChar w:fldCharType="end"/>
            </w:r>
            <w:r>
              <w:t>”</w:t>
            </w:r>
            <w:r>
              <w:rPr>
                <w:rFonts w:hint="eastAsia"/>
              </w:rPr>
              <w:t>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 w:hRule="atLeast"/>
        </w:trPr>
        <w:tc>
          <w:tcPr>
            <w:tcW w:w="747" w:type="dxa"/>
            <w:vMerge w:val="continue"/>
            <w:vAlign w:val="center"/>
          </w:tcPr>
          <w:p>
            <w:pPr>
              <w:widowControl/>
              <w:jc w:val="left"/>
            </w:pPr>
          </w:p>
        </w:tc>
        <w:tc>
          <w:tcPr>
            <w:tcW w:w="1066" w:type="dxa"/>
            <w:gridSpan w:val="2"/>
            <w:vMerge w:val="continue"/>
            <w:vAlign w:val="center"/>
          </w:tcPr>
          <w:p>
            <w:pPr>
              <w:widowControl/>
              <w:jc w:val="left"/>
              <w:rPr>
                <w:b/>
              </w:rPr>
            </w:pPr>
          </w:p>
        </w:tc>
        <w:tc>
          <w:tcPr>
            <w:tcW w:w="2076" w:type="dxa"/>
            <w:gridSpan w:val="2"/>
            <w:vAlign w:val="center"/>
          </w:tcPr>
          <w:p>
            <w:r>
              <w:rPr>
                <w:rFonts w:hint="eastAsia"/>
              </w:rPr>
              <w:t>联合体投标人</w:t>
            </w:r>
          </w:p>
        </w:tc>
        <w:tc>
          <w:tcPr>
            <w:tcW w:w="4815" w:type="dxa"/>
            <w:vAlign w:val="center"/>
          </w:tcPr>
          <w:p>
            <w:r>
              <w:rPr>
                <w:rFonts w:hint="eastAsia"/>
              </w:rPr>
              <w:t>提交联合体协议书，并明确联合体牵头人（如有）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 w:hRule="atLeast"/>
        </w:trPr>
        <w:tc>
          <w:tcPr>
            <w:tcW w:w="747" w:type="dxa"/>
            <w:vMerge w:val="continue"/>
            <w:vAlign w:val="center"/>
          </w:tcPr>
          <w:p>
            <w:pPr>
              <w:widowControl/>
              <w:jc w:val="left"/>
            </w:pPr>
          </w:p>
        </w:tc>
        <w:tc>
          <w:tcPr>
            <w:tcW w:w="1066" w:type="dxa"/>
            <w:gridSpan w:val="2"/>
            <w:vMerge w:val="continue"/>
            <w:vAlign w:val="center"/>
          </w:tcPr>
          <w:p>
            <w:pPr>
              <w:widowControl/>
              <w:jc w:val="left"/>
              <w:rPr>
                <w:b/>
              </w:rPr>
            </w:pPr>
          </w:p>
        </w:tc>
        <w:tc>
          <w:tcPr>
            <w:tcW w:w="2076" w:type="dxa"/>
            <w:gridSpan w:val="2"/>
            <w:vAlign w:val="center"/>
          </w:tcPr>
          <w:p>
            <w:r>
              <w:rPr>
                <w:rFonts w:hint="eastAsia"/>
              </w:rPr>
              <w:t>报价唯一</w:t>
            </w:r>
          </w:p>
        </w:tc>
        <w:tc>
          <w:tcPr>
            <w:tcW w:w="4815" w:type="dxa"/>
            <w:vAlign w:val="center"/>
          </w:tcPr>
          <w:p>
            <w:r>
              <w:rPr>
                <w:rFonts w:hint="eastAsia"/>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 w:hRule="atLeast"/>
        </w:trPr>
        <w:tc>
          <w:tcPr>
            <w:tcW w:w="747" w:type="dxa"/>
            <w:vMerge w:val="continue"/>
            <w:vAlign w:val="center"/>
          </w:tcPr>
          <w:p>
            <w:pPr>
              <w:widowControl/>
              <w:jc w:val="left"/>
            </w:pPr>
          </w:p>
        </w:tc>
        <w:tc>
          <w:tcPr>
            <w:tcW w:w="1066" w:type="dxa"/>
            <w:gridSpan w:val="2"/>
            <w:vMerge w:val="continue"/>
            <w:vAlign w:val="center"/>
          </w:tcPr>
          <w:p>
            <w:pPr>
              <w:widowControl/>
              <w:jc w:val="left"/>
              <w:rPr>
                <w:b/>
              </w:rPr>
            </w:pPr>
          </w:p>
        </w:tc>
        <w:tc>
          <w:tcPr>
            <w:tcW w:w="2076" w:type="dxa"/>
            <w:gridSpan w:val="2"/>
            <w:vAlign w:val="center"/>
          </w:tcPr>
          <w:p>
            <w:r>
              <w:t>……</w:t>
            </w:r>
          </w:p>
        </w:tc>
        <w:tc>
          <w:tcPr>
            <w:tcW w:w="4815" w:type="dxa"/>
            <w:vAlign w:val="center"/>
          </w:tcPr>
          <w:p>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 w:hRule="atLeast"/>
        </w:trPr>
        <w:tc>
          <w:tcPr>
            <w:tcW w:w="747" w:type="dxa"/>
            <w:vMerge w:val="restart"/>
            <w:vAlign w:val="center"/>
          </w:tcPr>
          <w:p>
            <w:bookmarkStart w:id="219" w:name="_2.1.2_1"/>
            <w:bookmarkEnd w:id="219"/>
            <w:r>
              <w:t>2.1.2</w:t>
            </w:r>
          </w:p>
        </w:tc>
        <w:tc>
          <w:tcPr>
            <w:tcW w:w="1066" w:type="dxa"/>
            <w:gridSpan w:val="2"/>
            <w:vMerge w:val="restart"/>
            <w:vAlign w:val="center"/>
          </w:tcPr>
          <w:p>
            <w:pPr>
              <w:rPr>
                <w:b/>
              </w:rPr>
            </w:pPr>
            <w:r>
              <w:rPr>
                <w:rFonts w:hint="eastAsia"/>
                <w:b/>
              </w:rPr>
              <w:t>资格评审标准及资格后审</w:t>
            </w:r>
          </w:p>
        </w:tc>
        <w:tc>
          <w:tcPr>
            <w:tcW w:w="2076" w:type="dxa"/>
            <w:gridSpan w:val="2"/>
            <w:vAlign w:val="center"/>
          </w:tcPr>
          <w:p>
            <w:r>
              <w:rPr>
                <w:rFonts w:hint="eastAsia"/>
              </w:rPr>
              <w:t>营业执照</w:t>
            </w:r>
          </w:p>
        </w:tc>
        <w:tc>
          <w:tcPr>
            <w:tcW w:w="4815" w:type="dxa"/>
            <w:vAlign w:val="center"/>
          </w:tcPr>
          <w:p>
            <w:r>
              <w:rPr>
                <w:rFonts w:hint="eastAsia"/>
              </w:rPr>
              <w:t>具备有效的营业执照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 w:hRule="atLeast"/>
        </w:trPr>
        <w:tc>
          <w:tcPr>
            <w:tcW w:w="747" w:type="dxa"/>
            <w:vMerge w:val="continue"/>
            <w:vAlign w:val="center"/>
          </w:tcPr>
          <w:p>
            <w:pPr>
              <w:widowControl/>
              <w:jc w:val="left"/>
            </w:pPr>
          </w:p>
        </w:tc>
        <w:tc>
          <w:tcPr>
            <w:tcW w:w="1066" w:type="dxa"/>
            <w:gridSpan w:val="2"/>
            <w:vMerge w:val="continue"/>
            <w:vAlign w:val="center"/>
          </w:tcPr>
          <w:p>
            <w:pPr>
              <w:widowControl/>
              <w:jc w:val="left"/>
              <w:rPr>
                <w:b/>
              </w:rPr>
            </w:pPr>
          </w:p>
        </w:tc>
        <w:tc>
          <w:tcPr>
            <w:tcW w:w="2076" w:type="dxa"/>
            <w:gridSpan w:val="2"/>
          </w:tcPr>
          <w:p>
            <w:r>
              <w:rPr>
                <w:rFonts w:hint="eastAsia"/>
              </w:rPr>
              <w:t>安全生产许可证</w:t>
            </w:r>
          </w:p>
        </w:tc>
        <w:tc>
          <w:tcPr>
            <w:tcW w:w="4815" w:type="dxa"/>
          </w:tcPr>
          <w:p>
            <w:r>
              <w:rPr>
                <w:rFonts w:hint="eastAsia"/>
              </w:rPr>
              <w:t>具备有效的安全生产许可证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 w:hRule="atLeast"/>
        </w:trPr>
        <w:tc>
          <w:tcPr>
            <w:tcW w:w="747" w:type="dxa"/>
            <w:vMerge w:val="continue"/>
            <w:vAlign w:val="center"/>
          </w:tcPr>
          <w:p>
            <w:pPr>
              <w:widowControl/>
              <w:jc w:val="left"/>
            </w:pPr>
          </w:p>
        </w:tc>
        <w:tc>
          <w:tcPr>
            <w:tcW w:w="1066" w:type="dxa"/>
            <w:gridSpan w:val="2"/>
            <w:vMerge w:val="continue"/>
            <w:vAlign w:val="center"/>
          </w:tcPr>
          <w:p>
            <w:pPr>
              <w:widowControl/>
              <w:jc w:val="left"/>
              <w:rPr>
                <w:b/>
              </w:rPr>
            </w:pPr>
          </w:p>
        </w:tc>
        <w:tc>
          <w:tcPr>
            <w:tcW w:w="2076" w:type="dxa"/>
            <w:gridSpan w:val="2"/>
            <w:vAlign w:val="center"/>
          </w:tcPr>
          <w:p>
            <w:r>
              <w:rPr>
                <w:rFonts w:hint="eastAsia"/>
              </w:rPr>
              <w:t>资质等级</w:t>
            </w:r>
          </w:p>
        </w:tc>
        <w:tc>
          <w:tcPr>
            <w:tcW w:w="4815" w:type="dxa"/>
            <w:vAlign w:val="center"/>
          </w:tcPr>
          <w:p>
            <w:r>
              <w:rPr>
                <w:rFonts w:hint="eastAsia"/>
              </w:rPr>
              <w:t>符合第二章“</w:t>
            </w:r>
            <w:r>
              <w:fldChar w:fldCharType="begin"/>
            </w:r>
            <w:r>
              <w:instrText xml:space="preserve"> HYPERLINK "file:///H:\\泰州招标文件范本\\泰州市房屋建筑和市政工程施工2016.4.docx" \l "_投标人资格要求" </w:instrText>
            </w:r>
            <w:r>
              <w:fldChar w:fldCharType="separate"/>
            </w:r>
            <w:r>
              <w:rPr>
                <w:rStyle w:val="18"/>
                <w:rFonts w:hint="eastAsia"/>
                <w:color w:val="auto"/>
              </w:rPr>
              <w:t>投标人须知”第</w:t>
            </w:r>
            <w:r>
              <w:rPr>
                <w:rStyle w:val="18"/>
                <w:color w:val="auto"/>
              </w:rPr>
              <w:t xml:space="preserve"> 1.4.1</w:t>
            </w:r>
            <w:r>
              <w:rPr>
                <w:rStyle w:val="18"/>
                <w:color w:val="auto"/>
              </w:rPr>
              <w:fldChar w:fldCharType="end"/>
            </w:r>
            <w:r>
              <w:rPr>
                <w:rFonts w:hint="eastAsia"/>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 w:hRule="atLeast"/>
        </w:trPr>
        <w:tc>
          <w:tcPr>
            <w:tcW w:w="747" w:type="dxa"/>
            <w:vMerge w:val="continue"/>
            <w:vAlign w:val="center"/>
          </w:tcPr>
          <w:p>
            <w:pPr>
              <w:widowControl/>
              <w:jc w:val="left"/>
            </w:pPr>
          </w:p>
        </w:tc>
        <w:tc>
          <w:tcPr>
            <w:tcW w:w="1066" w:type="dxa"/>
            <w:gridSpan w:val="2"/>
            <w:vMerge w:val="continue"/>
            <w:vAlign w:val="center"/>
          </w:tcPr>
          <w:p>
            <w:pPr>
              <w:widowControl/>
              <w:jc w:val="left"/>
              <w:rPr>
                <w:b/>
              </w:rPr>
            </w:pPr>
          </w:p>
        </w:tc>
        <w:tc>
          <w:tcPr>
            <w:tcW w:w="2076" w:type="dxa"/>
            <w:gridSpan w:val="2"/>
            <w:vAlign w:val="center"/>
          </w:tcPr>
          <w:p>
            <w:r>
              <w:rPr>
                <w:rFonts w:hint="eastAsia"/>
              </w:rPr>
              <w:t>企业基本存款账户</w:t>
            </w:r>
          </w:p>
          <w:p>
            <w:r>
              <w:rPr>
                <w:rFonts w:hint="eastAsia"/>
              </w:rPr>
              <w:t>开户许可证</w:t>
            </w:r>
          </w:p>
        </w:tc>
        <w:tc>
          <w:tcPr>
            <w:tcW w:w="4815" w:type="dxa"/>
          </w:tcPr>
          <w:p>
            <w:r>
              <w:rPr>
                <w:rFonts w:hint="eastAsia"/>
              </w:rPr>
              <w:t>具备有效的企业基本存款账户开户许可证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 w:hRule="atLeast"/>
        </w:trPr>
        <w:tc>
          <w:tcPr>
            <w:tcW w:w="747" w:type="dxa"/>
            <w:vMerge w:val="continue"/>
            <w:vAlign w:val="center"/>
          </w:tcPr>
          <w:p>
            <w:pPr>
              <w:widowControl/>
              <w:jc w:val="left"/>
            </w:pPr>
          </w:p>
        </w:tc>
        <w:tc>
          <w:tcPr>
            <w:tcW w:w="1066" w:type="dxa"/>
            <w:gridSpan w:val="2"/>
            <w:vMerge w:val="continue"/>
            <w:vAlign w:val="center"/>
          </w:tcPr>
          <w:p>
            <w:pPr>
              <w:widowControl/>
              <w:jc w:val="left"/>
              <w:rPr>
                <w:b/>
              </w:rPr>
            </w:pPr>
          </w:p>
        </w:tc>
        <w:tc>
          <w:tcPr>
            <w:tcW w:w="2076" w:type="dxa"/>
            <w:gridSpan w:val="2"/>
            <w:vAlign w:val="center"/>
          </w:tcPr>
          <w:p>
            <w:r>
              <w:rPr>
                <w:rFonts w:hint="eastAsia"/>
              </w:rPr>
              <w:t>类似项目业绩</w:t>
            </w:r>
          </w:p>
        </w:tc>
        <w:tc>
          <w:tcPr>
            <w:tcW w:w="4815" w:type="dxa"/>
          </w:tcPr>
          <w:p>
            <w:r>
              <w:rPr>
                <w:rFonts w:hint="eastAsia"/>
              </w:rPr>
              <w:t>符合第二章“</w:t>
            </w:r>
            <w:r>
              <w:rPr>
                <w:rFonts w:hint="eastAsia"/>
                <w:u w:val="single"/>
              </w:rPr>
              <w:t>投标人须知”第</w:t>
            </w:r>
            <w:r>
              <w:fldChar w:fldCharType="begin"/>
            </w:r>
            <w:r>
              <w:instrText xml:space="preserve"> HYPERLINK "file:///H:\\泰州招标文件范本\\泰州市房屋建筑和市政工程施工2016.4.docx" \l "_投标人资格要求" </w:instrText>
            </w:r>
            <w:r>
              <w:fldChar w:fldCharType="separate"/>
            </w:r>
            <w:r>
              <w:rPr>
                <w:rStyle w:val="18"/>
                <w:color w:val="auto"/>
              </w:rPr>
              <w:t>1.4.1</w:t>
            </w:r>
            <w:r>
              <w:rPr>
                <w:rStyle w:val="18"/>
                <w:color w:val="auto"/>
              </w:rPr>
              <w:fldChar w:fldCharType="end"/>
            </w:r>
            <w:r>
              <w:rPr>
                <w:rFonts w:hint="eastAsia"/>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 w:hRule="atLeast"/>
        </w:trPr>
        <w:tc>
          <w:tcPr>
            <w:tcW w:w="747" w:type="dxa"/>
            <w:vMerge w:val="continue"/>
            <w:vAlign w:val="center"/>
          </w:tcPr>
          <w:p>
            <w:pPr>
              <w:widowControl/>
              <w:jc w:val="left"/>
            </w:pPr>
          </w:p>
        </w:tc>
        <w:tc>
          <w:tcPr>
            <w:tcW w:w="1066" w:type="dxa"/>
            <w:gridSpan w:val="2"/>
            <w:vMerge w:val="continue"/>
            <w:vAlign w:val="center"/>
          </w:tcPr>
          <w:p>
            <w:pPr>
              <w:widowControl/>
              <w:jc w:val="left"/>
              <w:rPr>
                <w:b/>
              </w:rPr>
            </w:pPr>
          </w:p>
        </w:tc>
        <w:tc>
          <w:tcPr>
            <w:tcW w:w="2076" w:type="dxa"/>
            <w:gridSpan w:val="2"/>
            <w:vAlign w:val="center"/>
          </w:tcPr>
          <w:p>
            <w:r>
              <w:rPr>
                <w:rFonts w:hint="eastAsia"/>
              </w:rPr>
              <w:t>信誉</w:t>
            </w:r>
          </w:p>
        </w:tc>
        <w:tc>
          <w:tcPr>
            <w:tcW w:w="4815" w:type="dxa"/>
          </w:tcPr>
          <w:p>
            <w:r>
              <w:rPr>
                <w:rFonts w:hint="eastAsia"/>
              </w:rPr>
              <w:t>符合第二章“</w:t>
            </w:r>
            <w:r>
              <w:fldChar w:fldCharType="begin"/>
            </w:r>
            <w:r>
              <w:instrText xml:space="preserve"> HYPERLINK "file:///H:\\泰州招标文件范本\\泰州市房屋建筑和市政工程施工2016.4.docx" \l "_投标人资格要求" </w:instrText>
            </w:r>
            <w:r>
              <w:fldChar w:fldCharType="separate"/>
            </w:r>
            <w:r>
              <w:rPr>
                <w:rStyle w:val="18"/>
                <w:rFonts w:hint="eastAsia"/>
                <w:color w:val="auto"/>
              </w:rPr>
              <w:t>投标人须知”第</w:t>
            </w:r>
            <w:r>
              <w:rPr>
                <w:rStyle w:val="18"/>
                <w:color w:val="auto"/>
              </w:rPr>
              <w:t xml:space="preserve"> 1.4.1</w:t>
            </w:r>
            <w:r>
              <w:rPr>
                <w:rStyle w:val="18"/>
                <w:color w:val="auto"/>
              </w:rPr>
              <w:fldChar w:fldCharType="end"/>
            </w:r>
            <w:r>
              <w:rPr>
                <w:rFonts w:hint="eastAsia"/>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 w:hRule="atLeast"/>
        </w:trPr>
        <w:tc>
          <w:tcPr>
            <w:tcW w:w="747" w:type="dxa"/>
            <w:vMerge w:val="continue"/>
            <w:vAlign w:val="center"/>
          </w:tcPr>
          <w:p>
            <w:pPr>
              <w:widowControl/>
              <w:jc w:val="left"/>
            </w:pPr>
          </w:p>
        </w:tc>
        <w:tc>
          <w:tcPr>
            <w:tcW w:w="1066" w:type="dxa"/>
            <w:gridSpan w:val="2"/>
            <w:vMerge w:val="continue"/>
            <w:vAlign w:val="center"/>
          </w:tcPr>
          <w:p>
            <w:pPr>
              <w:widowControl/>
              <w:jc w:val="left"/>
              <w:rPr>
                <w:b/>
              </w:rPr>
            </w:pPr>
          </w:p>
        </w:tc>
        <w:tc>
          <w:tcPr>
            <w:tcW w:w="2076" w:type="dxa"/>
            <w:gridSpan w:val="2"/>
            <w:vAlign w:val="center"/>
          </w:tcPr>
          <w:p>
            <w:r>
              <w:rPr>
                <w:rFonts w:hint="eastAsia"/>
              </w:rPr>
              <w:t>项目经理</w:t>
            </w:r>
          </w:p>
        </w:tc>
        <w:tc>
          <w:tcPr>
            <w:tcW w:w="4815" w:type="dxa"/>
            <w:vAlign w:val="center"/>
          </w:tcPr>
          <w:p>
            <w:r>
              <w:rPr>
                <w:rFonts w:hint="eastAsia"/>
              </w:rPr>
              <w:t>符合第二章“</w:t>
            </w:r>
            <w:r>
              <w:fldChar w:fldCharType="begin"/>
            </w:r>
            <w:r>
              <w:instrText xml:space="preserve"> HYPERLINK "file:///H:\\泰州招标文件范本\\泰州市房屋建筑和市政工程施工2016.4.docx" \l "_投标人资格要求" </w:instrText>
            </w:r>
            <w:r>
              <w:fldChar w:fldCharType="separate"/>
            </w:r>
            <w:r>
              <w:rPr>
                <w:rStyle w:val="18"/>
                <w:rFonts w:hint="eastAsia"/>
                <w:color w:val="auto"/>
              </w:rPr>
              <w:t>投标人须知”第</w:t>
            </w:r>
            <w:r>
              <w:rPr>
                <w:rStyle w:val="18"/>
                <w:color w:val="auto"/>
              </w:rPr>
              <w:t xml:space="preserve"> 1.4.1</w:t>
            </w:r>
            <w:r>
              <w:rPr>
                <w:rStyle w:val="18"/>
                <w:color w:val="auto"/>
              </w:rPr>
              <w:fldChar w:fldCharType="end"/>
            </w:r>
            <w:r>
              <w:rPr>
                <w:rFonts w:hint="eastAsia"/>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 w:hRule="atLeast"/>
        </w:trPr>
        <w:tc>
          <w:tcPr>
            <w:tcW w:w="747" w:type="dxa"/>
            <w:vMerge w:val="continue"/>
            <w:vAlign w:val="center"/>
          </w:tcPr>
          <w:p>
            <w:pPr>
              <w:widowControl/>
              <w:jc w:val="left"/>
            </w:pPr>
          </w:p>
        </w:tc>
        <w:tc>
          <w:tcPr>
            <w:tcW w:w="1066" w:type="dxa"/>
            <w:gridSpan w:val="2"/>
            <w:vMerge w:val="continue"/>
            <w:vAlign w:val="center"/>
          </w:tcPr>
          <w:p>
            <w:pPr>
              <w:widowControl/>
              <w:jc w:val="left"/>
              <w:rPr>
                <w:b/>
              </w:rPr>
            </w:pPr>
          </w:p>
        </w:tc>
        <w:tc>
          <w:tcPr>
            <w:tcW w:w="2076" w:type="dxa"/>
            <w:gridSpan w:val="2"/>
            <w:vAlign w:val="center"/>
          </w:tcPr>
          <w:p>
            <w:r>
              <w:rPr>
                <w:rFonts w:hint="eastAsia"/>
              </w:rPr>
              <w:t>其他要求</w:t>
            </w:r>
          </w:p>
        </w:tc>
        <w:tc>
          <w:tcPr>
            <w:tcW w:w="4815" w:type="dxa"/>
            <w:vAlign w:val="center"/>
          </w:tcPr>
          <w:p>
            <w:r>
              <w:rPr>
                <w:rFonts w:hint="eastAsia"/>
              </w:rPr>
              <w:t>符合第二章“</w:t>
            </w:r>
            <w:r>
              <w:fldChar w:fldCharType="begin"/>
            </w:r>
            <w:r>
              <w:instrText xml:space="preserve"> HYPERLINK "file:///H:\\泰州招标文件范本\\泰州市房屋建筑和市政工程施工2016.4.docx" \l "_投标人资格要求" </w:instrText>
            </w:r>
            <w:r>
              <w:fldChar w:fldCharType="separate"/>
            </w:r>
            <w:r>
              <w:rPr>
                <w:rStyle w:val="18"/>
                <w:rFonts w:hint="eastAsia"/>
                <w:color w:val="auto"/>
              </w:rPr>
              <w:t>投标人须知”第</w:t>
            </w:r>
            <w:r>
              <w:rPr>
                <w:rStyle w:val="18"/>
                <w:color w:val="auto"/>
              </w:rPr>
              <w:t xml:space="preserve"> 1.4.1</w:t>
            </w:r>
            <w:r>
              <w:rPr>
                <w:rStyle w:val="18"/>
                <w:color w:val="auto"/>
              </w:rPr>
              <w:fldChar w:fldCharType="end"/>
            </w:r>
            <w:r>
              <w:rPr>
                <w:rFonts w:hint="eastAsia"/>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 w:hRule="atLeast"/>
        </w:trPr>
        <w:tc>
          <w:tcPr>
            <w:tcW w:w="747" w:type="dxa"/>
            <w:vMerge w:val="continue"/>
            <w:vAlign w:val="center"/>
          </w:tcPr>
          <w:p>
            <w:pPr>
              <w:widowControl/>
              <w:jc w:val="left"/>
            </w:pPr>
          </w:p>
        </w:tc>
        <w:tc>
          <w:tcPr>
            <w:tcW w:w="1066" w:type="dxa"/>
            <w:gridSpan w:val="2"/>
            <w:vMerge w:val="continue"/>
            <w:vAlign w:val="center"/>
          </w:tcPr>
          <w:p>
            <w:pPr>
              <w:widowControl/>
              <w:jc w:val="left"/>
              <w:rPr>
                <w:b/>
              </w:rPr>
            </w:pPr>
          </w:p>
        </w:tc>
        <w:tc>
          <w:tcPr>
            <w:tcW w:w="2076" w:type="dxa"/>
            <w:gridSpan w:val="2"/>
            <w:vAlign w:val="center"/>
          </w:tcPr>
          <w:p>
            <w:r>
              <w:rPr>
                <w:rFonts w:hint="eastAsia"/>
              </w:rPr>
              <w:t>联合体投标人</w:t>
            </w:r>
          </w:p>
        </w:tc>
        <w:tc>
          <w:tcPr>
            <w:tcW w:w="4815" w:type="dxa"/>
            <w:vAlign w:val="center"/>
          </w:tcPr>
          <w:p>
            <w:r>
              <w:rPr>
                <w:rFonts w:hint="eastAsia"/>
              </w:rPr>
              <w:t>符合第二章“</w:t>
            </w:r>
            <w:r>
              <w:rPr>
                <w:rFonts w:hint="eastAsia"/>
                <w:u w:val="single"/>
              </w:rPr>
              <w:t>投标人须知”第</w:t>
            </w:r>
            <w:r>
              <w:rPr>
                <w:u w:val="single"/>
              </w:rPr>
              <w:t xml:space="preserve"> 1.4.2</w:t>
            </w:r>
            <w:r>
              <w:rPr>
                <w:rFonts w:hint="eastAsia"/>
              </w:rPr>
              <w:t>项规定（如有）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 w:hRule="atLeast"/>
        </w:trPr>
        <w:tc>
          <w:tcPr>
            <w:tcW w:w="747" w:type="dxa"/>
            <w:vMerge w:val="continue"/>
            <w:vAlign w:val="center"/>
          </w:tcPr>
          <w:p>
            <w:pPr>
              <w:widowControl/>
              <w:jc w:val="left"/>
            </w:pPr>
          </w:p>
        </w:tc>
        <w:tc>
          <w:tcPr>
            <w:tcW w:w="1066" w:type="dxa"/>
            <w:gridSpan w:val="2"/>
            <w:vMerge w:val="continue"/>
            <w:vAlign w:val="center"/>
          </w:tcPr>
          <w:p>
            <w:pPr>
              <w:widowControl/>
              <w:jc w:val="left"/>
              <w:rPr>
                <w:b/>
              </w:rPr>
            </w:pPr>
          </w:p>
        </w:tc>
        <w:tc>
          <w:tcPr>
            <w:tcW w:w="2076" w:type="dxa"/>
            <w:gridSpan w:val="2"/>
            <w:vAlign w:val="center"/>
          </w:tcPr>
          <w:p>
            <w:r>
              <w:t>……</w:t>
            </w:r>
          </w:p>
        </w:tc>
        <w:tc>
          <w:tcPr>
            <w:tcW w:w="4815" w:type="dxa"/>
            <w:vAlign w:val="center"/>
          </w:tcPr>
          <w:p>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 w:hRule="atLeast"/>
        </w:trPr>
        <w:tc>
          <w:tcPr>
            <w:tcW w:w="747" w:type="dxa"/>
            <w:vMerge w:val="restart"/>
            <w:vAlign w:val="center"/>
          </w:tcPr>
          <w:p>
            <w:bookmarkStart w:id="220" w:name="_2.1.3_1"/>
            <w:bookmarkEnd w:id="220"/>
            <w:r>
              <w:t>2.1.3</w:t>
            </w:r>
          </w:p>
        </w:tc>
        <w:tc>
          <w:tcPr>
            <w:tcW w:w="1066" w:type="dxa"/>
            <w:gridSpan w:val="2"/>
            <w:vMerge w:val="restart"/>
            <w:vAlign w:val="center"/>
          </w:tcPr>
          <w:p>
            <w:pPr>
              <w:rPr>
                <w:b/>
              </w:rPr>
            </w:pPr>
            <w:r>
              <w:rPr>
                <w:rFonts w:hint="eastAsia"/>
                <w:b/>
              </w:rPr>
              <w:t>响应性</w:t>
            </w:r>
          </w:p>
          <w:p>
            <w:r>
              <w:rPr>
                <w:rFonts w:hint="eastAsia"/>
                <w:b/>
              </w:rPr>
              <w:t>评审标准</w:t>
            </w:r>
          </w:p>
        </w:tc>
        <w:tc>
          <w:tcPr>
            <w:tcW w:w="2076" w:type="dxa"/>
            <w:gridSpan w:val="2"/>
            <w:vAlign w:val="center"/>
          </w:tcPr>
          <w:p>
            <w:r>
              <w:rPr>
                <w:rFonts w:hint="eastAsia"/>
              </w:rPr>
              <w:t>投标内容</w:t>
            </w:r>
          </w:p>
        </w:tc>
        <w:tc>
          <w:tcPr>
            <w:tcW w:w="4815" w:type="dxa"/>
            <w:vAlign w:val="center"/>
          </w:tcPr>
          <w:p>
            <w:r>
              <w:rPr>
                <w:rFonts w:hint="eastAsia"/>
              </w:rPr>
              <w:t>符合第二章“</w:t>
            </w:r>
            <w:r>
              <w:rPr>
                <w:rFonts w:hint="eastAsia"/>
                <w:u w:val="single"/>
              </w:rPr>
              <w:t>投标人须知”第</w:t>
            </w:r>
            <w:r>
              <w:fldChar w:fldCharType="begin"/>
            </w:r>
            <w:r>
              <w:instrText xml:space="preserve"> HYPERLINK "file:///H:\\泰州招标文件范本\\泰州市房屋建筑和市政工程施工2016.4.docx" \l "_招标范围、计划工期和质量要求" </w:instrText>
            </w:r>
            <w:r>
              <w:fldChar w:fldCharType="separate"/>
            </w:r>
            <w:r>
              <w:rPr>
                <w:rStyle w:val="18"/>
                <w:color w:val="auto"/>
              </w:rPr>
              <w:t>1.3.1</w:t>
            </w:r>
            <w:r>
              <w:rPr>
                <w:rStyle w:val="18"/>
                <w:color w:val="auto"/>
              </w:rPr>
              <w:fldChar w:fldCharType="end"/>
            </w:r>
            <w:r>
              <w:rPr>
                <w:rFonts w:hint="eastAsia"/>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 w:hRule="atLeast"/>
        </w:trPr>
        <w:tc>
          <w:tcPr>
            <w:tcW w:w="747" w:type="dxa"/>
            <w:vMerge w:val="continue"/>
            <w:vAlign w:val="center"/>
          </w:tcPr>
          <w:p>
            <w:pPr>
              <w:widowControl/>
              <w:jc w:val="left"/>
            </w:pPr>
          </w:p>
        </w:tc>
        <w:tc>
          <w:tcPr>
            <w:tcW w:w="1066" w:type="dxa"/>
            <w:gridSpan w:val="2"/>
            <w:vMerge w:val="continue"/>
            <w:vAlign w:val="center"/>
          </w:tcPr>
          <w:p>
            <w:pPr>
              <w:widowControl/>
              <w:jc w:val="left"/>
            </w:pPr>
          </w:p>
        </w:tc>
        <w:tc>
          <w:tcPr>
            <w:tcW w:w="2076" w:type="dxa"/>
            <w:gridSpan w:val="2"/>
            <w:vAlign w:val="center"/>
          </w:tcPr>
          <w:p>
            <w:r>
              <w:rPr>
                <w:rFonts w:hint="eastAsia"/>
              </w:rPr>
              <w:t>工期</w:t>
            </w:r>
          </w:p>
        </w:tc>
        <w:tc>
          <w:tcPr>
            <w:tcW w:w="4815" w:type="dxa"/>
            <w:vAlign w:val="center"/>
          </w:tcPr>
          <w:p>
            <w:r>
              <w:rPr>
                <w:rFonts w:hint="eastAsia"/>
              </w:rPr>
              <w:t>符合第二章“</w:t>
            </w:r>
            <w:r>
              <w:rPr>
                <w:rFonts w:hint="eastAsia"/>
                <w:u w:val="single"/>
              </w:rPr>
              <w:t>投标人须知”第</w:t>
            </w:r>
            <w:r>
              <w:fldChar w:fldCharType="begin"/>
            </w:r>
            <w:r>
              <w:instrText xml:space="preserve"> HYPERLINK "file:///H:\\泰州招标文件范本\\泰州市房屋建筑和市政工程施工2016.4.docx" \l "_招标范围、计划工期和质量要求" </w:instrText>
            </w:r>
            <w:r>
              <w:fldChar w:fldCharType="separate"/>
            </w:r>
            <w:r>
              <w:rPr>
                <w:rStyle w:val="18"/>
                <w:color w:val="auto"/>
              </w:rPr>
              <w:t>1.3.2</w:t>
            </w:r>
            <w:r>
              <w:rPr>
                <w:rStyle w:val="18"/>
                <w:color w:val="auto"/>
              </w:rPr>
              <w:fldChar w:fldCharType="end"/>
            </w:r>
            <w:r>
              <w:rPr>
                <w:rFonts w:hint="eastAsia"/>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 w:hRule="atLeast"/>
        </w:trPr>
        <w:tc>
          <w:tcPr>
            <w:tcW w:w="747" w:type="dxa"/>
            <w:vMerge w:val="continue"/>
            <w:vAlign w:val="center"/>
          </w:tcPr>
          <w:p>
            <w:pPr>
              <w:widowControl/>
              <w:jc w:val="left"/>
            </w:pPr>
          </w:p>
        </w:tc>
        <w:tc>
          <w:tcPr>
            <w:tcW w:w="1066" w:type="dxa"/>
            <w:gridSpan w:val="2"/>
            <w:vMerge w:val="continue"/>
            <w:vAlign w:val="center"/>
          </w:tcPr>
          <w:p>
            <w:pPr>
              <w:widowControl/>
              <w:jc w:val="left"/>
            </w:pPr>
          </w:p>
        </w:tc>
        <w:tc>
          <w:tcPr>
            <w:tcW w:w="2076" w:type="dxa"/>
            <w:gridSpan w:val="2"/>
            <w:vAlign w:val="center"/>
          </w:tcPr>
          <w:p>
            <w:r>
              <w:rPr>
                <w:rFonts w:hint="eastAsia"/>
              </w:rPr>
              <w:t>工程质量</w:t>
            </w:r>
          </w:p>
        </w:tc>
        <w:tc>
          <w:tcPr>
            <w:tcW w:w="4815" w:type="dxa"/>
            <w:vAlign w:val="center"/>
          </w:tcPr>
          <w:p>
            <w:r>
              <w:rPr>
                <w:rFonts w:hint="eastAsia"/>
              </w:rPr>
              <w:t>符合第二章“</w:t>
            </w:r>
            <w:r>
              <w:rPr>
                <w:rFonts w:hint="eastAsia"/>
                <w:u w:val="single"/>
              </w:rPr>
              <w:t>投标人须知”第</w:t>
            </w:r>
            <w:r>
              <w:fldChar w:fldCharType="begin"/>
            </w:r>
            <w:r>
              <w:instrText xml:space="preserve"> HYPERLINK "file:///H:\\泰州招标文件范本\\泰州市房屋建筑和市政工程施工2016.4.docx" \l "_招标范围、计划工期和质量要求" </w:instrText>
            </w:r>
            <w:r>
              <w:fldChar w:fldCharType="separate"/>
            </w:r>
            <w:r>
              <w:rPr>
                <w:rStyle w:val="18"/>
                <w:color w:val="auto"/>
              </w:rPr>
              <w:t>1.3.3</w:t>
            </w:r>
            <w:r>
              <w:rPr>
                <w:rStyle w:val="18"/>
                <w:color w:val="auto"/>
              </w:rPr>
              <w:fldChar w:fldCharType="end"/>
            </w:r>
            <w:r>
              <w:rPr>
                <w:rFonts w:hint="eastAsia"/>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 w:hRule="atLeast"/>
        </w:trPr>
        <w:tc>
          <w:tcPr>
            <w:tcW w:w="747" w:type="dxa"/>
            <w:vMerge w:val="continue"/>
            <w:vAlign w:val="center"/>
          </w:tcPr>
          <w:p>
            <w:pPr>
              <w:widowControl/>
              <w:jc w:val="left"/>
            </w:pPr>
          </w:p>
        </w:tc>
        <w:tc>
          <w:tcPr>
            <w:tcW w:w="1066" w:type="dxa"/>
            <w:gridSpan w:val="2"/>
            <w:vMerge w:val="continue"/>
            <w:vAlign w:val="center"/>
          </w:tcPr>
          <w:p>
            <w:pPr>
              <w:widowControl/>
              <w:jc w:val="left"/>
            </w:pPr>
          </w:p>
        </w:tc>
        <w:tc>
          <w:tcPr>
            <w:tcW w:w="2076" w:type="dxa"/>
            <w:gridSpan w:val="2"/>
            <w:vAlign w:val="center"/>
          </w:tcPr>
          <w:p>
            <w:r>
              <w:rPr>
                <w:rFonts w:hint="eastAsia"/>
              </w:rPr>
              <w:t>投标有效期</w:t>
            </w:r>
          </w:p>
        </w:tc>
        <w:tc>
          <w:tcPr>
            <w:tcW w:w="4815" w:type="dxa"/>
            <w:vAlign w:val="center"/>
          </w:tcPr>
          <w:p>
            <w:r>
              <w:rPr>
                <w:rFonts w:hint="eastAsia"/>
              </w:rPr>
              <w:t>符合第二章“</w:t>
            </w:r>
            <w:r>
              <w:rPr>
                <w:rFonts w:hint="eastAsia"/>
                <w:u w:val="single"/>
              </w:rPr>
              <w:t>投标人须知”第</w:t>
            </w:r>
            <w:r>
              <w:fldChar w:fldCharType="begin"/>
            </w:r>
            <w:r>
              <w:instrText xml:space="preserve"> HYPERLINK "file:///H:\\泰州招标文件范本\\泰州市房屋建筑和市政工程施工2016.4.docx" \l "_投标有效期" </w:instrText>
            </w:r>
            <w:r>
              <w:fldChar w:fldCharType="separate"/>
            </w:r>
            <w:r>
              <w:rPr>
                <w:rStyle w:val="18"/>
                <w:color w:val="auto"/>
              </w:rPr>
              <w:t>3.3.1</w:t>
            </w:r>
            <w:r>
              <w:rPr>
                <w:rStyle w:val="18"/>
                <w:color w:val="auto"/>
              </w:rPr>
              <w:fldChar w:fldCharType="end"/>
            </w:r>
            <w:r>
              <w:rPr>
                <w:rFonts w:hint="eastAsia"/>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 w:hRule="atLeast"/>
        </w:trPr>
        <w:tc>
          <w:tcPr>
            <w:tcW w:w="747" w:type="dxa"/>
            <w:vMerge w:val="continue"/>
            <w:vAlign w:val="center"/>
          </w:tcPr>
          <w:p>
            <w:pPr>
              <w:widowControl/>
              <w:jc w:val="left"/>
            </w:pPr>
          </w:p>
        </w:tc>
        <w:tc>
          <w:tcPr>
            <w:tcW w:w="1066" w:type="dxa"/>
            <w:gridSpan w:val="2"/>
            <w:vMerge w:val="continue"/>
            <w:vAlign w:val="center"/>
          </w:tcPr>
          <w:p>
            <w:pPr>
              <w:widowControl/>
              <w:jc w:val="left"/>
            </w:pPr>
          </w:p>
        </w:tc>
        <w:tc>
          <w:tcPr>
            <w:tcW w:w="2076" w:type="dxa"/>
            <w:gridSpan w:val="2"/>
            <w:vAlign w:val="center"/>
          </w:tcPr>
          <w:p>
            <w:r>
              <w:rPr>
                <w:rFonts w:hint="eastAsia"/>
              </w:rPr>
              <w:t>投标保证金</w:t>
            </w:r>
          </w:p>
        </w:tc>
        <w:tc>
          <w:tcPr>
            <w:tcW w:w="4815" w:type="dxa"/>
            <w:vAlign w:val="center"/>
          </w:tcPr>
          <w:p>
            <w:r>
              <w:rPr>
                <w:rFonts w:hint="eastAsia"/>
              </w:rPr>
              <w:t>符合第二章“</w:t>
            </w:r>
            <w:r>
              <w:rPr>
                <w:rFonts w:hint="eastAsia"/>
                <w:u w:val="single"/>
              </w:rPr>
              <w:t>投标人须知”第</w:t>
            </w:r>
            <w:r>
              <w:fldChar w:fldCharType="begin"/>
            </w:r>
            <w:r>
              <w:instrText xml:space="preserve"> HYPERLINK "file:///H:\\泰州招标文件范本\\泰州市房屋建筑和市政工程施工2016.4.docx" \l "_投标担保" </w:instrText>
            </w:r>
            <w:r>
              <w:fldChar w:fldCharType="separate"/>
            </w:r>
            <w:r>
              <w:rPr>
                <w:rStyle w:val="18"/>
                <w:color w:val="auto"/>
              </w:rPr>
              <w:t>3.4.1</w:t>
            </w:r>
            <w:r>
              <w:rPr>
                <w:rStyle w:val="18"/>
                <w:color w:val="auto"/>
              </w:rPr>
              <w:fldChar w:fldCharType="end"/>
            </w:r>
            <w:r>
              <w:rPr>
                <w:rFonts w:hint="eastAsia"/>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 w:hRule="atLeast"/>
        </w:trPr>
        <w:tc>
          <w:tcPr>
            <w:tcW w:w="747" w:type="dxa"/>
            <w:vMerge w:val="continue"/>
            <w:vAlign w:val="center"/>
          </w:tcPr>
          <w:p>
            <w:pPr>
              <w:widowControl/>
              <w:jc w:val="left"/>
            </w:pPr>
          </w:p>
        </w:tc>
        <w:tc>
          <w:tcPr>
            <w:tcW w:w="1066" w:type="dxa"/>
            <w:gridSpan w:val="2"/>
            <w:vMerge w:val="continue"/>
            <w:vAlign w:val="center"/>
          </w:tcPr>
          <w:p>
            <w:pPr>
              <w:widowControl/>
              <w:jc w:val="left"/>
            </w:pPr>
          </w:p>
        </w:tc>
        <w:tc>
          <w:tcPr>
            <w:tcW w:w="2076" w:type="dxa"/>
            <w:gridSpan w:val="2"/>
            <w:vAlign w:val="center"/>
          </w:tcPr>
          <w:p>
            <w:r>
              <w:rPr>
                <w:rFonts w:hint="eastAsia"/>
              </w:rPr>
              <w:t>权利义务</w:t>
            </w:r>
          </w:p>
        </w:tc>
        <w:tc>
          <w:tcPr>
            <w:tcW w:w="4815" w:type="dxa"/>
            <w:vAlign w:val="center"/>
          </w:tcPr>
          <w:p>
            <w:r>
              <w:rPr>
                <w:rFonts w:hint="eastAsia"/>
              </w:rPr>
              <w:t>符合第四章</w:t>
            </w:r>
            <w:r>
              <w:t>“</w:t>
            </w:r>
            <w:r>
              <w:fldChar w:fldCharType="begin"/>
            </w:r>
            <w:r>
              <w:instrText xml:space="preserve"> HYPERLINK "file:///H:\\泰州招标文件范本\\泰州市房屋建筑和市政工程施工2016.4.docx" \l "_第四章_合同条款及格式" </w:instrText>
            </w:r>
            <w:r>
              <w:fldChar w:fldCharType="separate"/>
            </w:r>
            <w:r>
              <w:rPr>
                <w:rStyle w:val="18"/>
                <w:rFonts w:hint="eastAsia"/>
                <w:color w:val="auto"/>
              </w:rPr>
              <w:t>合同条款及格式</w:t>
            </w:r>
            <w:r>
              <w:rPr>
                <w:rStyle w:val="18"/>
                <w:rFonts w:hint="eastAsia"/>
                <w:color w:val="auto"/>
              </w:rPr>
              <w:fldChar w:fldCharType="end"/>
            </w:r>
            <w:r>
              <w:t>”</w:t>
            </w:r>
            <w:r>
              <w:rPr>
                <w:rFonts w:hint="eastAsia"/>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 w:hRule="atLeast"/>
        </w:trPr>
        <w:tc>
          <w:tcPr>
            <w:tcW w:w="747" w:type="dxa"/>
            <w:vMerge w:val="continue"/>
            <w:vAlign w:val="center"/>
          </w:tcPr>
          <w:p>
            <w:pPr>
              <w:widowControl/>
              <w:jc w:val="left"/>
            </w:pPr>
          </w:p>
        </w:tc>
        <w:tc>
          <w:tcPr>
            <w:tcW w:w="1066" w:type="dxa"/>
            <w:gridSpan w:val="2"/>
            <w:vMerge w:val="continue"/>
            <w:vAlign w:val="center"/>
          </w:tcPr>
          <w:p>
            <w:pPr>
              <w:widowControl/>
              <w:jc w:val="left"/>
            </w:pPr>
          </w:p>
        </w:tc>
        <w:tc>
          <w:tcPr>
            <w:tcW w:w="2076" w:type="dxa"/>
            <w:gridSpan w:val="2"/>
            <w:vAlign w:val="center"/>
          </w:tcPr>
          <w:p>
            <w:r>
              <w:rPr>
                <w:rFonts w:hint="eastAsia"/>
              </w:rPr>
              <w:t>已标价工程量清单</w:t>
            </w:r>
          </w:p>
        </w:tc>
        <w:tc>
          <w:tcPr>
            <w:tcW w:w="4815" w:type="dxa"/>
            <w:vAlign w:val="center"/>
          </w:tcPr>
          <w:p>
            <w:pPr>
              <w:spacing w:line="300" w:lineRule="exact"/>
              <w:ind w:firstLine="315" w:firstLineChars="150"/>
            </w:pPr>
            <w:r>
              <w:t>1.</w:t>
            </w:r>
            <w:r>
              <w:rPr>
                <w:rFonts w:hint="eastAsia"/>
              </w:rPr>
              <w:t>符合</w:t>
            </w:r>
            <w:r>
              <w:t xml:space="preserve"> “</w:t>
            </w:r>
            <w:r>
              <w:rPr>
                <w:rFonts w:hint="eastAsia"/>
              </w:rPr>
              <w:t>工程量清单</w:t>
            </w:r>
            <w:r>
              <w:t>”</w:t>
            </w:r>
            <w:r>
              <w:rPr>
                <w:rFonts w:hint="eastAsia"/>
              </w:rPr>
              <w:t>给出的项目编码、项目名称、项目特征、计量单位、工程量；</w:t>
            </w:r>
          </w:p>
          <w:p>
            <w:pPr>
              <w:spacing w:line="300" w:lineRule="exact"/>
              <w:ind w:firstLine="315" w:firstLineChars="150"/>
            </w:pPr>
            <w:r>
              <w:t>2.</w:t>
            </w:r>
            <w:r>
              <w:rPr>
                <w:rFonts w:hint="eastAsia"/>
              </w:rPr>
              <w:t>符合</w:t>
            </w:r>
            <w:r>
              <w:t xml:space="preserve"> “</w:t>
            </w:r>
            <w:r>
              <w:rPr>
                <w:rFonts w:hint="eastAsia"/>
              </w:rPr>
              <w:t>工程量清单</w:t>
            </w:r>
            <w:r>
              <w:t>”</w:t>
            </w:r>
            <w:r>
              <w:rPr>
                <w:rFonts w:hint="eastAsia"/>
              </w:rPr>
              <w:t>给出的暂列金额、专业工程暂估价；</w:t>
            </w:r>
          </w:p>
          <w:p>
            <w:pPr>
              <w:spacing w:line="300" w:lineRule="exact"/>
              <w:ind w:firstLine="315" w:firstLineChars="150"/>
            </w:pPr>
            <w:r>
              <w:t>3.</w:t>
            </w:r>
            <w:r>
              <w:rPr>
                <w:rFonts w:hint="eastAsia"/>
              </w:rPr>
              <w:t>符合</w:t>
            </w:r>
            <w:r>
              <w:t xml:space="preserve"> “</w:t>
            </w:r>
            <w:r>
              <w:rPr>
                <w:rFonts w:hint="eastAsia"/>
              </w:rPr>
              <w:t>招标控制价</w:t>
            </w:r>
            <w:r>
              <w:t>”</w:t>
            </w:r>
            <w:r>
              <w:rPr>
                <w:rFonts w:hint="eastAsia"/>
              </w:rPr>
              <w:t>给出的材料暂估价单价和数量、招标人自行采购材料单价和数量（每项材料数量允许误差±</w:t>
            </w:r>
            <w:r>
              <w:t>3%</w:t>
            </w:r>
            <w:r>
              <w:rPr>
                <w:rFonts w:hint="eastAsia"/>
              </w:rPr>
              <w:t>以内）；</w:t>
            </w:r>
          </w:p>
          <w:p>
            <w:pPr>
              <w:spacing w:line="300" w:lineRule="exact"/>
              <w:ind w:firstLine="315" w:firstLineChars="150"/>
            </w:pPr>
            <w:r>
              <w:t>4.</w:t>
            </w:r>
            <w:r>
              <w:rPr>
                <w:rFonts w:hint="eastAsia"/>
              </w:rPr>
              <w:t>符合“工程量清单”给出的不可竞争费费率及计算基础。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 w:hRule="atLeast"/>
        </w:trPr>
        <w:tc>
          <w:tcPr>
            <w:tcW w:w="747" w:type="dxa"/>
            <w:vMerge w:val="continue"/>
            <w:vAlign w:val="center"/>
          </w:tcPr>
          <w:p>
            <w:pPr>
              <w:widowControl/>
              <w:jc w:val="left"/>
            </w:pPr>
          </w:p>
        </w:tc>
        <w:tc>
          <w:tcPr>
            <w:tcW w:w="1066" w:type="dxa"/>
            <w:gridSpan w:val="2"/>
            <w:vMerge w:val="continue"/>
            <w:vAlign w:val="center"/>
          </w:tcPr>
          <w:p>
            <w:pPr>
              <w:widowControl/>
              <w:jc w:val="left"/>
            </w:pPr>
          </w:p>
        </w:tc>
        <w:tc>
          <w:tcPr>
            <w:tcW w:w="2076" w:type="dxa"/>
            <w:gridSpan w:val="2"/>
            <w:vAlign w:val="center"/>
          </w:tcPr>
          <w:p>
            <w:r>
              <w:rPr>
                <w:rFonts w:hint="eastAsia"/>
              </w:rPr>
              <w:t>技术标准和要求</w:t>
            </w:r>
          </w:p>
        </w:tc>
        <w:tc>
          <w:tcPr>
            <w:tcW w:w="4815" w:type="dxa"/>
            <w:vAlign w:val="center"/>
          </w:tcPr>
          <w:p>
            <w:r>
              <w:rPr>
                <w:rFonts w:hint="eastAsia"/>
              </w:rPr>
              <w:t>符合第七章“</w:t>
            </w:r>
            <w:r>
              <w:fldChar w:fldCharType="begin"/>
            </w:r>
            <w:r>
              <w:instrText xml:space="preserve"> HYPERLINK "file:///H:\\泰州招标文件范本\\泰州市房屋建筑和市政工程施工2016.4.docx" \l "_第七章_技术标准和要求" </w:instrText>
            </w:r>
            <w:r>
              <w:fldChar w:fldCharType="separate"/>
            </w:r>
            <w:r>
              <w:rPr>
                <w:rStyle w:val="18"/>
                <w:rFonts w:hint="eastAsia"/>
                <w:color w:val="auto"/>
              </w:rPr>
              <w:t>技术标准和要求</w:t>
            </w:r>
            <w:r>
              <w:rPr>
                <w:rStyle w:val="18"/>
                <w:rFonts w:hint="eastAsia"/>
                <w:color w:val="auto"/>
              </w:rPr>
              <w:fldChar w:fldCharType="end"/>
            </w:r>
            <w:r>
              <w:rPr>
                <w:rFonts w:hint="eastAsia"/>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 w:hRule="atLeast"/>
        </w:trPr>
        <w:tc>
          <w:tcPr>
            <w:tcW w:w="747" w:type="dxa"/>
            <w:vMerge w:val="continue"/>
            <w:vAlign w:val="center"/>
          </w:tcPr>
          <w:p>
            <w:pPr>
              <w:widowControl/>
              <w:jc w:val="left"/>
            </w:pPr>
          </w:p>
        </w:tc>
        <w:tc>
          <w:tcPr>
            <w:tcW w:w="1066" w:type="dxa"/>
            <w:gridSpan w:val="2"/>
            <w:vMerge w:val="continue"/>
            <w:vAlign w:val="center"/>
          </w:tcPr>
          <w:p>
            <w:pPr>
              <w:widowControl/>
              <w:jc w:val="left"/>
            </w:pPr>
          </w:p>
        </w:tc>
        <w:tc>
          <w:tcPr>
            <w:tcW w:w="2076" w:type="dxa"/>
            <w:gridSpan w:val="2"/>
            <w:vAlign w:val="center"/>
          </w:tcPr>
          <w:p>
            <w:r>
              <w:rPr>
                <w:rFonts w:hint="eastAsia"/>
              </w:rPr>
              <w:t>投标价格</w:t>
            </w:r>
          </w:p>
        </w:tc>
        <w:tc>
          <w:tcPr>
            <w:tcW w:w="4815" w:type="dxa"/>
            <w:vAlign w:val="center"/>
          </w:tcPr>
          <w:p>
            <w:pPr>
              <w:spacing w:line="300" w:lineRule="exact"/>
            </w:pPr>
            <w:r>
              <w:rPr>
                <w:rFonts w:hint="eastAsia"/>
              </w:rPr>
              <w:t>投标总价低于（含等于）第二章</w:t>
            </w:r>
            <w:r>
              <w:fldChar w:fldCharType="begin"/>
            </w:r>
            <w:r>
              <w:instrText xml:space="preserve"> HYPERLINK "file:///H:\\泰州招标文件范本\\泰州市房屋建筑和市政工程施工2016.4.docx" \l "_10.2" </w:instrText>
            </w:r>
            <w:r>
              <w:fldChar w:fldCharType="separate"/>
            </w:r>
            <w:r>
              <w:rPr>
                <w:rStyle w:val="18"/>
                <w:rFonts w:hint="eastAsia"/>
                <w:color w:val="auto"/>
              </w:rPr>
              <w:t>投标人须知前附表第</w:t>
            </w:r>
            <w:r>
              <w:rPr>
                <w:rStyle w:val="18"/>
                <w:color w:val="auto"/>
              </w:rPr>
              <w:t>10.2</w:t>
            </w:r>
            <w:r>
              <w:rPr>
                <w:rStyle w:val="18"/>
                <w:rFonts w:hint="eastAsia"/>
                <w:color w:val="auto"/>
              </w:rPr>
              <w:t>项</w:t>
            </w:r>
            <w:r>
              <w:rPr>
                <w:rStyle w:val="18"/>
                <w:rFonts w:hint="eastAsia"/>
                <w:color w:val="auto"/>
              </w:rPr>
              <w:fldChar w:fldCharType="end"/>
            </w:r>
            <w:r>
              <w:rPr>
                <w:rFonts w:hint="eastAsia"/>
              </w:rPr>
              <w:t>载明的</w:t>
            </w:r>
            <w:r>
              <w:t>招标人期望值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 w:hRule="atLeast"/>
        </w:trPr>
        <w:tc>
          <w:tcPr>
            <w:tcW w:w="747" w:type="dxa"/>
            <w:vMerge w:val="continue"/>
            <w:vAlign w:val="center"/>
          </w:tcPr>
          <w:p>
            <w:pPr>
              <w:widowControl/>
              <w:jc w:val="left"/>
            </w:pPr>
          </w:p>
        </w:tc>
        <w:tc>
          <w:tcPr>
            <w:tcW w:w="1066" w:type="dxa"/>
            <w:gridSpan w:val="2"/>
            <w:vMerge w:val="continue"/>
            <w:vAlign w:val="center"/>
          </w:tcPr>
          <w:p>
            <w:pPr>
              <w:widowControl/>
              <w:jc w:val="left"/>
            </w:pPr>
          </w:p>
        </w:tc>
        <w:tc>
          <w:tcPr>
            <w:tcW w:w="2076" w:type="dxa"/>
            <w:gridSpan w:val="2"/>
            <w:vAlign w:val="center"/>
          </w:tcPr>
          <w:p>
            <w:r>
              <w:rPr>
                <w:rFonts w:hint="eastAsia"/>
              </w:rPr>
              <w:t>分包计划</w:t>
            </w:r>
          </w:p>
        </w:tc>
        <w:tc>
          <w:tcPr>
            <w:tcW w:w="4815" w:type="dxa"/>
            <w:vAlign w:val="center"/>
          </w:tcPr>
          <w:p>
            <w:r>
              <w:rPr>
                <w:rFonts w:hint="eastAsia"/>
              </w:rPr>
              <w:t>符合第二章“</w:t>
            </w:r>
            <w:r>
              <w:rPr>
                <w:rFonts w:hint="eastAsia"/>
                <w:u w:val="single"/>
              </w:rPr>
              <w:t>投标人须知”第</w:t>
            </w:r>
            <w:r>
              <w:fldChar w:fldCharType="begin"/>
            </w:r>
            <w:r>
              <w:instrText xml:space="preserve"> HYPERLINK "file:///H:\\泰州招标文件范本\\泰州市房屋建筑和市政工程施工2016.4.docx" \l "_分__包" </w:instrText>
            </w:r>
            <w:r>
              <w:fldChar w:fldCharType="separate"/>
            </w:r>
            <w:r>
              <w:rPr>
                <w:rStyle w:val="18"/>
                <w:color w:val="auto"/>
              </w:rPr>
              <w:t>1.11</w:t>
            </w:r>
            <w:r>
              <w:rPr>
                <w:rStyle w:val="18"/>
                <w:rFonts w:hint="eastAsia"/>
                <w:color w:val="auto"/>
              </w:rPr>
              <w:t>.1项</w:t>
            </w:r>
            <w:r>
              <w:rPr>
                <w:rStyle w:val="18"/>
                <w:rFonts w:hint="eastAsia"/>
                <w:color w:val="auto"/>
              </w:rPr>
              <w:fldChar w:fldCharType="end"/>
            </w:r>
            <w:r>
              <w:rPr>
                <w:rFonts w:hint="eastAsia"/>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 w:hRule="atLeast"/>
        </w:trPr>
        <w:tc>
          <w:tcPr>
            <w:tcW w:w="747" w:type="dxa"/>
            <w:vMerge w:val="continue"/>
            <w:vAlign w:val="center"/>
          </w:tcPr>
          <w:p>
            <w:pPr>
              <w:widowControl/>
              <w:jc w:val="left"/>
            </w:pPr>
          </w:p>
        </w:tc>
        <w:tc>
          <w:tcPr>
            <w:tcW w:w="1066" w:type="dxa"/>
            <w:gridSpan w:val="2"/>
            <w:vMerge w:val="continue"/>
            <w:vAlign w:val="center"/>
          </w:tcPr>
          <w:p>
            <w:pPr>
              <w:widowControl/>
              <w:jc w:val="left"/>
            </w:pPr>
          </w:p>
        </w:tc>
        <w:tc>
          <w:tcPr>
            <w:tcW w:w="2076" w:type="dxa"/>
            <w:gridSpan w:val="2"/>
            <w:vAlign w:val="center"/>
          </w:tcPr>
          <w:p>
            <w:r>
              <w:rPr>
                <w:rFonts w:hint="eastAsia"/>
              </w:rPr>
              <w:t>差额担保</w:t>
            </w:r>
            <w:r>
              <w:t>或信用担保</w:t>
            </w:r>
          </w:p>
        </w:tc>
        <w:tc>
          <w:tcPr>
            <w:tcW w:w="4815" w:type="dxa"/>
            <w:vAlign w:val="center"/>
          </w:tcPr>
          <w:p>
            <w:r>
              <w:rPr>
                <w:rFonts w:hint="eastAsia"/>
              </w:rPr>
              <w:t>按第二章</w:t>
            </w:r>
            <w:r>
              <w:fldChar w:fldCharType="begin"/>
            </w:r>
            <w:r>
              <w:instrText xml:space="preserve"> HYPERLINK "file:///H:\\泰州招标文件范本\\泰州市房屋建筑和市政工程施工2016.4.docx" \l "_10.2" </w:instrText>
            </w:r>
            <w:r>
              <w:fldChar w:fldCharType="separate"/>
            </w:r>
            <w:r>
              <w:rPr>
                <w:rStyle w:val="18"/>
                <w:rFonts w:hint="eastAsia"/>
                <w:color w:val="auto"/>
              </w:rPr>
              <w:t>投标人须知前附表第</w:t>
            </w:r>
            <w:r>
              <w:rPr>
                <w:rStyle w:val="18"/>
                <w:b/>
                <w:color w:val="auto"/>
              </w:rPr>
              <w:t>10.9.</w:t>
            </w:r>
            <w:r>
              <w:rPr>
                <w:rStyle w:val="18"/>
                <w:rFonts w:hint="eastAsia"/>
                <w:b/>
                <w:color w:val="auto"/>
              </w:rPr>
              <w:t>4</w:t>
            </w:r>
            <w:r>
              <w:rPr>
                <w:rStyle w:val="18"/>
                <w:rFonts w:hint="eastAsia"/>
                <w:color w:val="auto"/>
              </w:rPr>
              <w:t>项</w:t>
            </w:r>
            <w:r>
              <w:rPr>
                <w:rStyle w:val="18"/>
                <w:rFonts w:hint="eastAsia"/>
                <w:color w:val="auto"/>
              </w:rPr>
              <w:fldChar w:fldCharType="end"/>
            </w:r>
            <w:r>
              <w:rPr>
                <w:rStyle w:val="18"/>
                <w:rFonts w:hint="eastAsia"/>
                <w:color w:val="auto"/>
              </w:rPr>
              <w:t>要求</w:t>
            </w:r>
            <w:r>
              <w:rPr>
                <w:rFonts w:hint="eastAsia"/>
              </w:rPr>
              <w:t>提交差额担保</w:t>
            </w:r>
            <w:r>
              <w:t>或信用担保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 w:hRule="atLeast"/>
        </w:trPr>
        <w:tc>
          <w:tcPr>
            <w:tcW w:w="747" w:type="dxa"/>
            <w:vMerge w:val="restart"/>
            <w:vAlign w:val="center"/>
          </w:tcPr>
          <w:p>
            <w:bookmarkStart w:id="221" w:name="_2.1.4"/>
            <w:bookmarkEnd w:id="221"/>
            <w:r>
              <w:t>2.1.4</w:t>
            </w:r>
          </w:p>
        </w:tc>
        <w:tc>
          <w:tcPr>
            <w:tcW w:w="1066" w:type="dxa"/>
            <w:gridSpan w:val="2"/>
            <w:vMerge w:val="restart"/>
            <w:vAlign w:val="center"/>
          </w:tcPr>
          <w:p>
            <w:r>
              <w:rPr>
                <w:rFonts w:hint="eastAsia"/>
                <w:b/>
              </w:rPr>
              <w:t>施工组织设计和项目管理机构评审标准</w:t>
            </w:r>
          </w:p>
          <w:p/>
        </w:tc>
        <w:tc>
          <w:tcPr>
            <w:tcW w:w="2076" w:type="dxa"/>
            <w:gridSpan w:val="2"/>
            <w:vAlign w:val="center"/>
          </w:tcPr>
          <w:p>
            <w:r>
              <w:rPr>
                <w:rFonts w:hint="eastAsia"/>
              </w:rPr>
              <w:t>施工方案与技术措施</w:t>
            </w:r>
          </w:p>
        </w:tc>
        <w:tc>
          <w:tcPr>
            <w:tcW w:w="4815" w:type="dxa"/>
            <w:vAlign w:val="center"/>
          </w:tcPr>
          <w:p>
            <w:r>
              <w:rPr>
                <w:rFonts w:hint="eastAsia"/>
              </w:rPr>
              <w:t>施工方案满足本工程建设进度及管理需要，技术措施得当，满足现行国家施工质量验收规范。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 w:hRule="atLeast"/>
        </w:trPr>
        <w:tc>
          <w:tcPr>
            <w:tcW w:w="747" w:type="dxa"/>
            <w:vMerge w:val="continue"/>
            <w:vAlign w:val="center"/>
          </w:tcPr>
          <w:p>
            <w:pPr>
              <w:widowControl/>
              <w:jc w:val="left"/>
            </w:pPr>
          </w:p>
        </w:tc>
        <w:tc>
          <w:tcPr>
            <w:tcW w:w="1066" w:type="dxa"/>
            <w:gridSpan w:val="2"/>
            <w:vMerge w:val="continue"/>
            <w:vAlign w:val="center"/>
          </w:tcPr>
          <w:p>
            <w:pPr>
              <w:widowControl/>
              <w:jc w:val="left"/>
            </w:pPr>
          </w:p>
        </w:tc>
        <w:tc>
          <w:tcPr>
            <w:tcW w:w="2076" w:type="dxa"/>
            <w:gridSpan w:val="2"/>
            <w:vAlign w:val="center"/>
          </w:tcPr>
          <w:p>
            <w:r>
              <w:rPr>
                <w:rFonts w:hint="eastAsia"/>
              </w:rPr>
              <w:t>质量管理体系与措施</w:t>
            </w:r>
          </w:p>
        </w:tc>
        <w:tc>
          <w:tcPr>
            <w:tcW w:w="4815" w:type="dxa"/>
            <w:vAlign w:val="center"/>
          </w:tcPr>
          <w:p>
            <w:r>
              <w:rPr>
                <w:rFonts w:hint="eastAsia"/>
              </w:rPr>
              <w:t>质量计划基本完整、岗位职责分明、材料采购、过程控制及检验、分项措施基本可行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 w:hRule="atLeast"/>
        </w:trPr>
        <w:tc>
          <w:tcPr>
            <w:tcW w:w="747" w:type="dxa"/>
            <w:vMerge w:val="continue"/>
            <w:vAlign w:val="center"/>
          </w:tcPr>
          <w:p>
            <w:pPr>
              <w:widowControl/>
              <w:jc w:val="left"/>
            </w:pPr>
          </w:p>
        </w:tc>
        <w:tc>
          <w:tcPr>
            <w:tcW w:w="1066" w:type="dxa"/>
            <w:gridSpan w:val="2"/>
            <w:vMerge w:val="continue"/>
            <w:vAlign w:val="center"/>
          </w:tcPr>
          <w:p>
            <w:pPr>
              <w:widowControl/>
              <w:jc w:val="left"/>
            </w:pPr>
          </w:p>
        </w:tc>
        <w:tc>
          <w:tcPr>
            <w:tcW w:w="2076" w:type="dxa"/>
            <w:gridSpan w:val="2"/>
            <w:vAlign w:val="center"/>
          </w:tcPr>
          <w:p>
            <w:r>
              <w:rPr>
                <w:rFonts w:hint="eastAsia"/>
              </w:rPr>
              <w:t>安全管理体系与措施</w:t>
            </w:r>
          </w:p>
        </w:tc>
        <w:tc>
          <w:tcPr>
            <w:tcW w:w="4815" w:type="dxa"/>
            <w:vAlign w:val="center"/>
          </w:tcPr>
          <w:p>
            <w:r>
              <w:rPr>
                <w:rFonts w:hint="eastAsia"/>
              </w:rPr>
              <w:t>安全管理体系健全、单位工程安全防护方案基本符合国家及地方相关规定，防护措施有一定的针对性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 w:hRule="atLeast"/>
        </w:trPr>
        <w:tc>
          <w:tcPr>
            <w:tcW w:w="747" w:type="dxa"/>
            <w:vMerge w:val="continue"/>
            <w:vAlign w:val="center"/>
          </w:tcPr>
          <w:p>
            <w:pPr>
              <w:widowControl/>
              <w:jc w:val="left"/>
            </w:pPr>
          </w:p>
        </w:tc>
        <w:tc>
          <w:tcPr>
            <w:tcW w:w="1066" w:type="dxa"/>
            <w:gridSpan w:val="2"/>
            <w:vMerge w:val="continue"/>
            <w:vAlign w:val="center"/>
          </w:tcPr>
          <w:p>
            <w:pPr>
              <w:widowControl/>
              <w:jc w:val="left"/>
            </w:pPr>
          </w:p>
        </w:tc>
        <w:tc>
          <w:tcPr>
            <w:tcW w:w="2076" w:type="dxa"/>
            <w:gridSpan w:val="2"/>
            <w:tcMar>
              <w:top w:w="0" w:type="dxa"/>
              <w:left w:w="0" w:type="dxa"/>
              <w:bottom w:w="0" w:type="dxa"/>
              <w:right w:w="0" w:type="dxa"/>
            </w:tcMar>
            <w:vAlign w:val="center"/>
          </w:tcPr>
          <w:p>
            <w:r>
              <w:rPr>
                <w:rFonts w:hint="eastAsia"/>
              </w:rPr>
              <w:t>环境保护管理体系与措施</w:t>
            </w:r>
          </w:p>
        </w:tc>
        <w:tc>
          <w:tcPr>
            <w:tcW w:w="4815" w:type="dxa"/>
            <w:vAlign w:val="center"/>
          </w:tcPr>
          <w:p>
            <w:r>
              <w:rPr>
                <w:rFonts w:hint="eastAsia"/>
              </w:rPr>
              <w:t>环境保护管理体系健全，</w:t>
            </w:r>
            <w:r>
              <w:rPr>
                <w:rFonts w:hint="eastAsia" w:ascii="宋体" w:hAnsi="宋体"/>
                <w:szCs w:val="21"/>
              </w:rPr>
              <w:t>施工现场扬尘污染防治措施全面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 w:hRule="atLeast"/>
        </w:trPr>
        <w:tc>
          <w:tcPr>
            <w:tcW w:w="747" w:type="dxa"/>
            <w:vMerge w:val="continue"/>
            <w:vAlign w:val="center"/>
          </w:tcPr>
          <w:p>
            <w:pPr>
              <w:widowControl/>
              <w:jc w:val="left"/>
            </w:pPr>
          </w:p>
        </w:tc>
        <w:tc>
          <w:tcPr>
            <w:tcW w:w="1066" w:type="dxa"/>
            <w:gridSpan w:val="2"/>
            <w:vMerge w:val="continue"/>
            <w:vAlign w:val="center"/>
          </w:tcPr>
          <w:p>
            <w:pPr>
              <w:widowControl/>
              <w:jc w:val="left"/>
            </w:pPr>
          </w:p>
        </w:tc>
        <w:tc>
          <w:tcPr>
            <w:tcW w:w="2076" w:type="dxa"/>
            <w:gridSpan w:val="2"/>
            <w:vAlign w:val="center"/>
          </w:tcPr>
          <w:p>
            <w:r>
              <w:rPr>
                <w:rFonts w:hint="eastAsia"/>
              </w:rPr>
              <w:t>工程进度计划与措施</w:t>
            </w:r>
          </w:p>
        </w:tc>
        <w:tc>
          <w:tcPr>
            <w:tcW w:w="4815" w:type="dxa"/>
            <w:vAlign w:val="center"/>
          </w:tcPr>
          <w:p>
            <w:r>
              <w:rPr>
                <w:rFonts w:hint="eastAsia"/>
              </w:rPr>
              <w:t>进度计划符合招标文件要求，关键路径准确、清晰，措施能保证计划实施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 w:hRule="atLeast"/>
        </w:trPr>
        <w:tc>
          <w:tcPr>
            <w:tcW w:w="747" w:type="dxa"/>
            <w:vMerge w:val="continue"/>
            <w:vAlign w:val="center"/>
          </w:tcPr>
          <w:p>
            <w:pPr>
              <w:widowControl/>
              <w:jc w:val="left"/>
            </w:pPr>
          </w:p>
        </w:tc>
        <w:tc>
          <w:tcPr>
            <w:tcW w:w="1066" w:type="dxa"/>
            <w:gridSpan w:val="2"/>
            <w:vMerge w:val="continue"/>
            <w:vAlign w:val="center"/>
          </w:tcPr>
          <w:p>
            <w:pPr>
              <w:widowControl/>
              <w:jc w:val="left"/>
            </w:pPr>
          </w:p>
        </w:tc>
        <w:tc>
          <w:tcPr>
            <w:tcW w:w="2076" w:type="dxa"/>
            <w:gridSpan w:val="2"/>
            <w:vAlign w:val="center"/>
          </w:tcPr>
          <w:p>
            <w:r>
              <w:rPr>
                <w:rFonts w:hint="eastAsia"/>
              </w:rPr>
              <w:t>资源配备计划</w:t>
            </w:r>
          </w:p>
        </w:tc>
        <w:tc>
          <w:tcPr>
            <w:tcW w:w="4815" w:type="dxa"/>
            <w:vAlign w:val="center"/>
          </w:tcPr>
          <w:p>
            <w:r>
              <w:rPr>
                <w:rFonts w:hint="eastAsia"/>
              </w:rPr>
              <w:t>资源配备计划基本齐全，其中主要机械设备、劳动力、安全防护用品能满足工程进度及施工管理需要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 w:hRule="atLeast"/>
        </w:trPr>
        <w:tc>
          <w:tcPr>
            <w:tcW w:w="747" w:type="dxa"/>
            <w:vMerge w:val="continue"/>
            <w:vAlign w:val="center"/>
          </w:tcPr>
          <w:p>
            <w:pPr>
              <w:widowControl/>
              <w:jc w:val="left"/>
            </w:pPr>
          </w:p>
        </w:tc>
        <w:tc>
          <w:tcPr>
            <w:tcW w:w="1066" w:type="dxa"/>
            <w:gridSpan w:val="2"/>
            <w:vMerge w:val="continue"/>
            <w:vAlign w:val="center"/>
          </w:tcPr>
          <w:p>
            <w:pPr>
              <w:widowControl/>
              <w:jc w:val="left"/>
            </w:pPr>
          </w:p>
        </w:tc>
        <w:tc>
          <w:tcPr>
            <w:tcW w:w="2076" w:type="dxa"/>
            <w:gridSpan w:val="2"/>
            <w:vAlign w:val="center"/>
          </w:tcPr>
          <w:p>
            <w:r>
              <w:rPr>
                <w:rFonts w:hint="eastAsia"/>
              </w:rPr>
              <w:t>技术负责人</w:t>
            </w:r>
          </w:p>
        </w:tc>
        <w:tc>
          <w:tcPr>
            <w:tcW w:w="4815" w:type="dxa"/>
            <w:vAlign w:val="center"/>
          </w:tcPr>
          <w:p>
            <w:r>
              <w:rPr>
                <w:rFonts w:hint="eastAsia"/>
              </w:rPr>
              <w:t>执业资格或技术职称与招标项目规模相适应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 w:hRule="atLeast"/>
        </w:trPr>
        <w:tc>
          <w:tcPr>
            <w:tcW w:w="747" w:type="dxa"/>
            <w:vMerge w:val="continue"/>
            <w:vAlign w:val="center"/>
          </w:tcPr>
          <w:p>
            <w:pPr>
              <w:widowControl/>
              <w:jc w:val="left"/>
            </w:pPr>
          </w:p>
        </w:tc>
        <w:tc>
          <w:tcPr>
            <w:tcW w:w="1066" w:type="dxa"/>
            <w:gridSpan w:val="2"/>
            <w:vMerge w:val="continue"/>
            <w:vAlign w:val="center"/>
          </w:tcPr>
          <w:p>
            <w:pPr>
              <w:widowControl/>
              <w:jc w:val="left"/>
            </w:pPr>
          </w:p>
        </w:tc>
        <w:tc>
          <w:tcPr>
            <w:tcW w:w="2076" w:type="dxa"/>
            <w:gridSpan w:val="2"/>
            <w:vAlign w:val="center"/>
          </w:tcPr>
          <w:p>
            <w:r>
              <w:rPr>
                <w:rFonts w:hint="eastAsia"/>
              </w:rPr>
              <w:t>其他主要人员</w:t>
            </w:r>
          </w:p>
        </w:tc>
        <w:tc>
          <w:tcPr>
            <w:tcW w:w="4815" w:type="dxa"/>
            <w:vAlign w:val="center"/>
          </w:tcPr>
          <w:p>
            <w:r>
              <w:rPr>
                <w:rFonts w:hint="eastAsia"/>
              </w:rPr>
              <w:t>人员配备合理</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 w:hRule="atLeast"/>
        </w:trPr>
        <w:tc>
          <w:tcPr>
            <w:tcW w:w="747" w:type="dxa"/>
            <w:vMerge w:val="continue"/>
            <w:vAlign w:val="center"/>
          </w:tcPr>
          <w:p>
            <w:pPr>
              <w:widowControl/>
              <w:jc w:val="left"/>
            </w:pPr>
          </w:p>
        </w:tc>
        <w:tc>
          <w:tcPr>
            <w:tcW w:w="1066" w:type="dxa"/>
            <w:gridSpan w:val="2"/>
            <w:vMerge w:val="continue"/>
            <w:vAlign w:val="center"/>
          </w:tcPr>
          <w:p>
            <w:pPr>
              <w:widowControl/>
              <w:jc w:val="left"/>
            </w:pPr>
          </w:p>
        </w:tc>
        <w:tc>
          <w:tcPr>
            <w:tcW w:w="2076" w:type="dxa"/>
            <w:gridSpan w:val="2"/>
            <w:vAlign w:val="center"/>
          </w:tcPr>
          <w:p>
            <w:r>
              <w:rPr>
                <w:rFonts w:hint="eastAsia"/>
              </w:rPr>
              <w:t>施工设备</w:t>
            </w:r>
          </w:p>
        </w:tc>
        <w:tc>
          <w:tcPr>
            <w:tcW w:w="4815" w:type="dxa"/>
            <w:vAlign w:val="center"/>
          </w:tcPr>
          <w:p>
            <w:r>
              <w:rPr>
                <w:rFonts w:hint="eastAsia"/>
              </w:rPr>
              <w:t>基本满足工程需要</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 w:hRule="atLeast"/>
        </w:trPr>
        <w:tc>
          <w:tcPr>
            <w:tcW w:w="747" w:type="dxa"/>
            <w:vMerge w:val="continue"/>
            <w:vAlign w:val="center"/>
          </w:tcPr>
          <w:p>
            <w:pPr>
              <w:widowControl/>
              <w:jc w:val="left"/>
            </w:pPr>
          </w:p>
        </w:tc>
        <w:tc>
          <w:tcPr>
            <w:tcW w:w="1066" w:type="dxa"/>
            <w:gridSpan w:val="2"/>
            <w:vMerge w:val="continue"/>
            <w:vAlign w:val="center"/>
          </w:tcPr>
          <w:p>
            <w:pPr>
              <w:widowControl/>
              <w:jc w:val="left"/>
            </w:pPr>
          </w:p>
        </w:tc>
        <w:tc>
          <w:tcPr>
            <w:tcW w:w="2076" w:type="dxa"/>
            <w:gridSpan w:val="2"/>
            <w:vAlign w:val="center"/>
          </w:tcPr>
          <w:p>
            <w:r>
              <w:rPr>
                <w:rFonts w:hint="eastAsia"/>
              </w:rPr>
              <w:t>试验检测仪器设备</w:t>
            </w:r>
          </w:p>
        </w:tc>
        <w:tc>
          <w:tcPr>
            <w:tcW w:w="4815" w:type="dxa"/>
            <w:vAlign w:val="center"/>
          </w:tcPr>
          <w:p>
            <w:r>
              <w:rPr>
                <w:rFonts w:hint="eastAsia"/>
              </w:rPr>
              <w:t>基本满足工程需要</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trPr>
        <w:tc>
          <w:tcPr>
            <w:tcW w:w="8704" w:type="dxa"/>
            <w:gridSpan w:val="6"/>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813" w:type="dxa"/>
            <w:gridSpan w:val="3"/>
            <w:vAlign w:val="center"/>
          </w:tcPr>
          <w:p>
            <w:pPr>
              <w:jc w:val="center"/>
              <w:rPr>
                <w:b/>
              </w:rPr>
            </w:pPr>
            <w:r>
              <w:rPr>
                <w:rFonts w:hint="eastAsia"/>
                <w:b/>
              </w:rPr>
              <w:t>条款号</w:t>
            </w:r>
          </w:p>
        </w:tc>
        <w:tc>
          <w:tcPr>
            <w:tcW w:w="2076" w:type="dxa"/>
            <w:gridSpan w:val="2"/>
            <w:vAlign w:val="center"/>
          </w:tcPr>
          <w:p>
            <w:pPr>
              <w:jc w:val="center"/>
              <w:rPr>
                <w:b/>
              </w:rPr>
            </w:pPr>
            <w:r>
              <w:rPr>
                <w:rFonts w:hint="eastAsia"/>
                <w:b/>
              </w:rPr>
              <w:t>条款内容</w:t>
            </w:r>
          </w:p>
        </w:tc>
        <w:tc>
          <w:tcPr>
            <w:tcW w:w="4815" w:type="dxa"/>
            <w:vAlign w:val="center"/>
          </w:tcPr>
          <w:p>
            <w:pPr>
              <w:jc w:val="center"/>
              <w:rPr>
                <w:b/>
              </w:rPr>
            </w:pPr>
            <w:r>
              <w:rPr>
                <w:rFonts w:hint="eastAsia"/>
                <w:b/>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2" w:hRule="atLeast"/>
        </w:trPr>
        <w:tc>
          <w:tcPr>
            <w:tcW w:w="1813" w:type="dxa"/>
            <w:gridSpan w:val="3"/>
            <w:vAlign w:val="center"/>
          </w:tcPr>
          <w:p>
            <w:bookmarkStart w:id="222" w:name="_2.2"/>
            <w:bookmarkEnd w:id="222"/>
            <w:r>
              <w:t>2.2.1</w:t>
            </w:r>
          </w:p>
        </w:tc>
        <w:tc>
          <w:tcPr>
            <w:tcW w:w="2076" w:type="dxa"/>
            <w:gridSpan w:val="2"/>
            <w:vAlign w:val="center"/>
          </w:tcPr>
          <w:p>
            <w:r>
              <w:rPr>
                <w:rFonts w:hint="eastAsia"/>
              </w:rPr>
              <w:t>分值构成</w:t>
            </w:r>
          </w:p>
          <w:p>
            <w:r>
              <w:t>(</w:t>
            </w:r>
            <w:r>
              <w:rPr>
                <w:rFonts w:hint="eastAsia"/>
              </w:rPr>
              <w:t>总分</w:t>
            </w:r>
            <w:r>
              <w:t>100</w:t>
            </w:r>
            <w:r>
              <w:rPr>
                <w:rFonts w:hint="eastAsia"/>
              </w:rPr>
              <w:t>分</w:t>
            </w:r>
            <w:r>
              <w:t>)</w:t>
            </w:r>
          </w:p>
        </w:tc>
        <w:tc>
          <w:tcPr>
            <w:tcW w:w="4815" w:type="dxa"/>
            <w:vAlign w:val="center"/>
          </w:tcPr>
          <w:p>
            <w:pPr>
              <w:spacing w:line="360" w:lineRule="exact"/>
              <w:ind w:left="1344" w:hanging="1344" w:hangingChars="640"/>
              <w:rPr>
                <w:szCs w:val="21"/>
              </w:rPr>
            </w:pPr>
            <w:r>
              <w:rPr>
                <w:rFonts w:hint="eastAsia"/>
                <w:szCs w:val="21"/>
              </w:rPr>
              <w:t>施工组织设计：</w:t>
            </w:r>
            <w:r>
              <w:rPr>
                <w:rFonts w:hint="eastAsia" w:ascii="宋体" w:hAnsi="宋体"/>
                <w:szCs w:val="21"/>
              </w:rPr>
              <w:t>□</w:t>
            </w:r>
            <w:r>
              <w:rPr>
                <w:rFonts w:hint="eastAsia"/>
                <w:szCs w:val="21"/>
              </w:rPr>
              <w:t xml:space="preserve">合格制        </w:t>
            </w:r>
            <w:r>
              <w:rPr>
                <w:rFonts w:hint="eastAsia" w:ascii="MS Mincho" w:hAnsi="MS Mincho" w:eastAsia="MS Mincho" w:cs="MS Mincho"/>
                <w:szCs w:val="21"/>
              </w:rPr>
              <w:t>☑</w:t>
            </w:r>
            <w:r>
              <w:rPr>
                <w:rFonts w:hint="eastAsia" w:ascii="宋体" w:hAnsi="宋体"/>
                <w:szCs w:val="21"/>
              </w:rPr>
              <w:t>不评审</w:t>
            </w:r>
          </w:p>
          <w:p>
            <w:pPr>
              <w:spacing w:line="360" w:lineRule="exact"/>
            </w:pPr>
            <w:r>
              <w:rPr>
                <w:rFonts w:hint="eastAsia" w:ascii="MS Mincho" w:hAnsi="MS Mincho" w:eastAsia="MS Mincho" w:cs="MS Mincho"/>
                <w:szCs w:val="21"/>
              </w:rPr>
              <w:t>☑</w:t>
            </w:r>
            <w:r>
              <w:rPr>
                <w:rFonts w:hint="eastAsia"/>
              </w:rPr>
              <w:t>投标报价：</w:t>
            </w:r>
            <w:r>
              <w:rPr>
                <w:rFonts w:hint="eastAsia"/>
                <w:u w:val="single"/>
              </w:rPr>
              <w:t xml:space="preserve"> </w:t>
            </w:r>
            <w:r>
              <w:rPr>
                <w:rFonts w:hint="eastAsia"/>
                <w:u w:val="single"/>
                <w:lang w:val="en-US" w:eastAsia="zh-CN"/>
              </w:rPr>
              <w:t>100</w:t>
            </w:r>
            <w:r>
              <w:rPr>
                <w:rFonts w:hint="eastAsia"/>
                <w:u w:val="single"/>
              </w:rPr>
              <w:t xml:space="preserve"> </w:t>
            </w:r>
            <w:r>
              <w:rPr>
                <w:rFonts w:hint="eastAsia"/>
              </w:rPr>
              <w:t>分</w:t>
            </w:r>
          </w:p>
          <w:p>
            <w:pPr>
              <w:spacing w:line="360" w:lineRule="exact"/>
            </w:pPr>
            <w:r>
              <w:rPr>
                <w:rFonts w:hint="eastAsia" w:ascii="MS Mincho" w:hAnsi="MS Mincho" w:cs="MS Mincho"/>
                <w:szCs w:val="21"/>
                <w:lang w:eastAsia="zh-CN"/>
              </w:rPr>
              <w:t>□</w:t>
            </w:r>
            <w:r>
              <w:rPr>
                <w:rFonts w:hint="eastAsia"/>
              </w:rPr>
              <w:t>投标文件算术错误</w:t>
            </w:r>
            <w:r>
              <w:rPr>
                <w:u w:val="single"/>
              </w:rPr>
              <w:t xml:space="preserve">  </w:t>
            </w:r>
            <w:r>
              <w:rPr>
                <w:rFonts w:hint="eastAsia"/>
              </w:rPr>
              <w:t>分</w:t>
            </w:r>
          </w:p>
          <w:p>
            <w:pPr>
              <w:spacing w:line="360" w:lineRule="exact"/>
            </w:pPr>
            <w:r>
              <w:rPr>
                <w:rFonts w:hint="eastAsia" w:ascii="MS Mincho" w:hAnsi="MS Mincho" w:cs="MS Mincho"/>
                <w:szCs w:val="21"/>
                <w:lang w:eastAsia="zh-CN"/>
              </w:rPr>
              <w:t>□</w:t>
            </w:r>
            <w:r>
              <w:rPr>
                <w:rFonts w:hint="eastAsia"/>
              </w:rPr>
              <w:t>细微偏差：</w:t>
            </w:r>
            <w:r>
              <w:rPr>
                <w:u w:val="single"/>
              </w:rPr>
              <w:t xml:space="preserve">  </w:t>
            </w:r>
            <w:r>
              <w:rPr>
                <w:rFonts w:hint="eastAsia"/>
              </w:rPr>
              <w:t>分</w:t>
            </w:r>
          </w:p>
          <w:p>
            <w:pPr>
              <w:spacing w:line="360" w:lineRule="exact"/>
            </w:pPr>
            <w:r>
              <w:rPr>
                <w:rFonts w:hint="eastAsia" w:ascii="MS Mincho" w:hAnsi="MS Mincho" w:cs="MS Mincho"/>
                <w:szCs w:val="21"/>
                <w:lang w:eastAsia="zh-CN"/>
              </w:rPr>
              <w:sym w:font="Wingdings 2" w:char="00A3"/>
            </w:r>
            <w:r>
              <w:rPr>
                <w:rFonts w:hint="eastAsia"/>
              </w:rPr>
              <w:t>报价偏离：</w:t>
            </w:r>
            <w:r>
              <w:rPr>
                <w:rFonts w:hint="eastAsia"/>
                <w:u w:val="single"/>
                <w:lang w:val="en-US" w:eastAsia="zh-CN"/>
              </w:rPr>
              <w:t xml:space="preserve">  </w:t>
            </w:r>
            <w:r>
              <w:rPr>
                <w:rFonts w:hint="eastAsia"/>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2" w:hRule="atLeast"/>
        </w:trPr>
        <w:tc>
          <w:tcPr>
            <w:tcW w:w="1813" w:type="dxa"/>
            <w:gridSpan w:val="3"/>
            <w:vAlign w:val="center"/>
          </w:tcPr>
          <w:p>
            <w:r>
              <w:t>2.2.2</w:t>
            </w:r>
          </w:p>
        </w:tc>
        <w:tc>
          <w:tcPr>
            <w:tcW w:w="2076" w:type="dxa"/>
            <w:gridSpan w:val="2"/>
            <w:vAlign w:val="center"/>
          </w:tcPr>
          <w:p>
            <w:r>
              <w:rPr>
                <w:rFonts w:hint="eastAsia"/>
              </w:rPr>
              <w:t>评标基准价计算方法</w:t>
            </w:r>
          </w:p>
        </w:tc>
        <w:tc>
          <w:tcPr>
            <w:tcW w:w="4815" w:type="dxa"/>
            <w:vAlign w:val="center"/>
          </w:tcPr>
          <w:p>
            <w:pPr>
              <w:rPr>
                <w:b/>
              </w:rPr>
            </w:pPr>
            <w:r>
              <w:rPr>
                <w:rFonts w:hint="eastAsia"/>
                <w:b/>
              </w:rPr>
              <w:t>以有效投标文件的投标报价</w:t>
            </w:r>
            <w:r>
              <w:rPr>
                <w:b/>
              </w:rPr>
              <w:t>的最低值为</w:t>
            </w:r>
            <w:r>
              <w:rPr>
                <w:rFonts w:hint="eastAsia"/>
                <w:b/>
              </w:rPr>
              <w:t>评标基准价。</w:t>
            </w:r>
          </w:p>
          <w:p>
            <w:r>
              <w:rPr>
                <w:rFonts w:hint="eastAsia"/>
                <w:b/>
              </w:rPr>
              <w:t>说明：</w:t>
            </w:r>
            <w:r>
              <w:rPr>
                <w:rFonts w:hint="eastAsia"/>
              </w:rPr>
              <w:t>投标报价指经澄清、补正和修正算术计算错误的报价</w:t>
            </w:r>
            <w:r>
              <w:t>;</w:t>
            </w:r>
          </w:p>
          <w:p>
            <w:r>
              <w:rPr>
                <w:rFonts w:hint="eastAsia"/>
              </w:rPr>
              <w:t>2</w:t>
            </w:r>
            <w:r>
              <w:t>.</w:t>
            </w:r>
            <w:r>
              <w:rPr>
                <w:rFonts w:hint="eastAsia"/>
              </w:rPr>
              <w:t>有效投标文件是指未被评标委员会判定为无效标的投标文件。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4" w:hRule="atLeast"/>
        </w:trPr>
        <w:tc>
          <w:tcPr>
            <w:tcW w:w="1813" w:type="dxa"/>
            <w:gridSpan w:val="3"/>
            <w:vAlign w:val="center"/>
          </w:tcPr>
          <w:p>
            <w:r>
              <w:t>2.2.3</w:t>
            </w:r>
          </w:p>
        </w:tc>
        <w:tc>
          <w:tcPr>
            <w:tcW w:w="2076" w:type="dxa"/>
            <w:gridSpan w:val="2"/>
            <w:vAlign w:val="center"/>
          </w:tcPr>
          <w:p>
            <w:r>
              <w:rPr>
                <w:rFonts w:hint="eastAsia"/>
              </w:rPr>
              <w:t>投标报价的偏差率</w:t>
            </w:r>
          </w:p>
          <w:p>
            <w:r>
              <w:rPr>
                <w:rFonts w:hint="eastAsia"/>
              </w:rPr>
              <w:t>计算公式</w:t>
            </w:r>
          </w:p>
        </w:tc>
        <w:tc>
          <w:tcPr>
            <w:tcW w:w="4815" w:type="dxa"/>
            <w:vAlign w:val="center"/>
          </w:tcPr>
          <w:p>
            <w:r>
              <w:rPr>
                <w:rFonts w:hint="eastAsia"/>
              </w:rPr>
              <w:t>偏差率</w:t>
            </w:r>
            <w:r>
              <w:t>=100% ×</w:t>
            </w:r>
            <w:r>
              <w:rPr>
                <w:rFonts w:hint="eastAsia"/>
              </w:rPr>
              <w:t>（投标人报价</w:t>
            </w:r>
            <w:r>
              <w:t xml:space="preserve"> - </w:t>
            </w:r>
            <w:r>
              <w:rPr>
                <w:rFonts w:hint="eastAsia"/>
              </w:rPr>
              <w:t>评标基准价）</w:t>
            </w:r>
            <w:r>
              <w:t>/</w:t>
            </w:r>
            <w:r>
              <w:rPr>
                <w:rFonts w:hint="eastAsia"/>
              </w:rPr>
              <w:t>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1" w:hRule="atLeast"/>
        </w:trPr>
        <w:tc>
          <w:tcPr>
            <w:tcW w:w="1813" w:type="dxa"/>
            <w:gridSpan w:val="3"/>
            <w:vAlign w:val="center"/>
          </w:tcPr>
          <w:p>
            <w:pPr>
              <w:jc w:val="center"/>
              <w:rPr>
                <w:b/>
              </w:rPr>
            </w:pPr>
            <w:r>
              <w:rPr>
                <w:rFonts w:hint="eastAsia"/>
                <w:b/>
              </w:rPr>
              <w:t>条款号</w:t>
            </w:r>
          </w:p>
        </w:tc>
        <w:tc>
          <w:tcPr>
            <w:tcW w:w="2076" w:type="dxa"/>
            <w:gridSpan w:val="2"/>
            <w:vAlign w:val="center"/>
          </w:tcPr>
          <w:p>
            <w:pPr>
              <w:jc w:val="center"/>
              <w:rPr>
                <w:b/>
              </w:rPr>
            </w:pPr>
            <w:r>
              <w:rPr>
                <w:rFonts w:hint="eastAsia"/>
                <w:b/>
              </w:rPr>
              <w:t>评分因素</w:t>
            </w:r>
          </w:p>
        </w:tc>
        <w:tc>
          <w:tcPr>
            <w:tcW w:w="4815" w:type="dxa"/>
            <w:vAlign w:val="center"/>
          </w:tcPr>
          <w:p>
            <w:pPr>
              <w:jc w:val="center"/>
              <w:rPr>
                <w:b/>
              </w:rPr>
            </w:pPr>
            <w:r>
              <w:rPr>
                <w:rFonts w:hint="eastAsia"/>
                <w:b/>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2" w:hRule="atLeast"/>
        </w:trPr>
        <w:tc>
          <w:tcPr>
            <w:tcW w:w="831" w:type="dxa"/>
            <w:gridSpan w:val="2"/>
            <w:vAlign w:val="center"/>
          </w:tcPr>
          <w:p>
            <w:r>
              <w:t>2.2.4</w:t>
            </w:r>
          </w:p>
          <w:p>
            <w:r>
              <w:t>(1)</w:t>
            </w:r>
          </w:p>
        </w:tc>
        <w:tc>
          <w:tcPr>
            <w:tcW w:w="982" w:type="dxa"/>
            <w:vAlign w:val="center"/>
          </w:tcPr>
          <w:p>
            <w:r>
              <w:rPr>
                <w:rFonts w:hint="eastAsia"/>
              </w:rPr>
              <w:t>投标报价评分标准</w:t>
            </w:r>
          </w:p>
        </w:tc>
        <w:tc>
          <w:tcPr>
            <w:tcW w:w="2076" w:type="dxa"/>
            <w:gridSpan w:val="2"/>
            <w:vAlign w:val="center"/>
          </w:tcPr>
          <w:p>
            <w:r>
              <w:rPr>
                <w:rFonts w:hint="eastAsia"/>
              </w:rPr>
              <w:t>投标报价</w:t>
            </w:r>
          </w:p>
        </w:tc>
        <w:tc>
          <w:tcPr>
            <w:tcW w:w="4815" w:type="dxa"/>
            <w:vAlign w:val="center"/>
          </w:tcPr>
          <w:p>
            <w:r>
              <w:rPr>
                <w:rFonts w:hint="eastAsia"/>
              </w:rPr>
              <w:t>投标报价等于评标基准价得满分，投标报价与评标基准价相比，每高</w:t>
            </w:r>
            <w:r>
              <w:t>1%</w:t>
            </w:r>
            <w:r>
              <w:rPr>
                <w:rFonts w:hint="eastAsia"/>
              </w:rPr>
              <w:t>扣</w:t>
            </w:r>
            <w:r>
              <w:rPr>
                <w:rFonts w:ascii="Arial" w:hAnsi="Arial" w:cs="Arial"/>
                <w:b/>
                <w:bCs/>
                <w:szCs w:val="21"/>
                <w:u w:val="single"/>
              </w:rPr>
              <w:t>0.5</w:t>
            </w:r>
            <w:r>
              <w:rPr>
                <w:rFonts w:hint="eastAsia"/>
              </w:rPr>
              <w:t>分，按照插入法计算得分。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5" w:hRule="atLeast"/>
        </w:trPr>
        <w:tc>
          <w:tcPr>
            <w:tcW w:w="831" w:type="dxa"/>
            <w:gridSpan w:val="2"/>
            <w:vMerge w:val="restart"/>
            <w:vAlign w:val="center"/>
          </w:tcPr>
          <w:p>
            <w:r>
              <w:t>2.2.4</w:t>
            </w:r>
          </w:p>
          <w:p>
            <w:r>
              <w:t>(2)</w:t>
            </w:r>
          </w:p>
        </w:tc>
        <w:tc>
          <w:tcPr>
            <w:tcW w:w="982" w:type="dxa"/>
            <w:vMerge w:val="restart"/>
            <w:vAlign w:val="center"/>
          </w:tcPr>
          <w:p>
            <w:r>
              <w:rPr>
                <w:rFonts w:hint="eastAsia"/>
              </w:rPr>
              <w:t>其他因素评分标准</w:t>
            </w:r>
          </w:p>
        </w:tc>
        <w:tc>
          <w:tcPr>
            <w:tcW w:w="2076" w:type="dxa"/>
            <w:gridSpan w:val="2"/>
            <w:vAlign w:val="center"/>
          </w:tcPr>
          <w:p>
            <w:r>
              <w:rPr>
                <w:rFonts w:hint="eastAsia"/>
              </w:rPr>
              <w:t>报价偏离</w:t>
            </w:r>
          </w:p>
        </w:tc>
        <w:tc>
          <w:tcPr>
            <w:tcW w:w="4815" w:type="dxa"/>
            <w:vAlign w:val="center"/>
          </w:tcPr>
          <w:p>
            <w:pPr>
              <w:spacing w:line="260" w:lineRule="exact"/>
            </w:pPr>
            <w:r>
              <w:rPr>
                <w:rFonts w:hint="eastAsia"/>
              </w:rPr>
              <w:t>分部分项工程量清单综合单价高于（不含等于，下同）招标控制价相应分部分项工程量清单综合单价的；措施项目费用总金额高于招标控制价中措施项目费用总金额的，上述情况每出现一处扣</w:t>
            </w:r>
            <w:r>
              <w:t>1</w:t>
            </w:r>
            <w:r>
              <w:rPr>
                <w:rFonts w:hint="eastAsia"/>
              </w:rPr>
              <w:t>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trPr>
        <w:tc>
          <w:tcPr>
            <w:tcW w:w="831" w:type="dxa"/>
            <w:gridSpan w:val="2"/>
            <w:vMerge w:val="continue"/>
            <w:vAlign w:val="center"/>
          </w:tcPr>
          <w:p>
            <w:pPr>
              <w:widowControl/>
              <w:jc w:val="left"/>
            </w:pPr>
          </w:p>
        </w:tc>
        <w:tc>
          <w:tcPr>
            <w:tcW w:w="982" w:type="dxa"/>
            <w:vMerge w:val="continue"/>
            <w:vAlign w:val="center"/>
          </w:tcPr>
          <w:p>
            <w:pPr>
              <w:widowControl/>
              <w:jc w:val="left"/>
            </w:pPr>
          </w:p>
        </w:tc>
        <w:tc>
          <w:tcPr>
            <w:tcW w:w="2076" w:type="dxa"/>
            <w:gridSpan w:val="2"/>
            <w:vAlign w:val="center"/>
          </w:tcPr>
          <w:p>
            <w:r>
              <w:rPr>
                <w:rFonts w:hint="eastAsia"/>
              </w:rPr>
              <w:t>投标文件算术错误</w:t>
            </w:r>
          </w:p>
        </w:tc>
        <w:tc>
          <w:tcPr>
            <w:tcW w:w="4815" w:type="dxa"/>
            <w:vAlign w:val="center"/>
          </w:tcPr>
          <w:p>
            <w:r>
              <w:rPr>
                <w:rFonts w:hint="eastAsia"/>
              </w:rPr>
              <w:t>投标文件出现本章</w:t>
            </w:r>
            <w:r>
              <w:t>3.2.4</w:t>
            </w:r>
            <w:r>
              <w:rPr>
                <w:rFonts w:hint="eastAsia"/>
              </w:rPr>
              <w:t>条款需评标委员会修正的错误，每条扣</w:t>
            </w:r>
            <w:r>
              <w:t>0.3</w:t>
            </w:r>
            <w:r>
              <w:rPr>
                <w:rFonts w:hint="eastAsia"/>
              </w:rPr>
              <w:t>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trPr>
        <w:tc>
          <w:tcPr>
            <w:tcW w:w="831" w:type="dxa"/>
            <w:gridSpan w:val="2"/>
            <w:vMerge w:val="continue"/>
            <w:vAlign w:val="center"/>
          </w:tcPr>
          <w:p>
            <w:pPr>
              <w:widowControl/>
              <w:jc w:val="left"/>
            </w:pPr>
          </w:p>
        </w:tc>
        <w:tc>
          <w:tcPr>
            <w:tcW w:w="982" w:type="dxa"/>
            <w:vMerge w:val="continue"/>
            <w:vAlign w:val="center"/>
          </w:tcPr>
          <w:p>
            <w:pPr>
              <w:widowControl/>
              <w:jc w:val="left"/>
            </w:pPr>
          </w:p>
        </w:tc>
        <w:tc>
          <w:tcPr>
            <w:tcW w:w="2076" w:type="dxa"/>
            <w:gridSpan w:val="2"/>
            <w:vAlign w:val="center"/>
          </w:tcPr>
          <w:p>
            <w:r>
              <w:rPr>
                <w:rFonts w:hint="eastAsia"/>
              </w:rPr>
              <w:t>细微偏差</w:t>
            </w:r>
          </w:p>
        </w:tc>
        <w:tc>
          <w:tcPr>
            <w:tcW w:w="4815" w:type="dxa"/>
            <w:vAlign w:val="center"/>
          </w:tcPr>
          <w:p>
            <w:r>
              <w:rPr>
                <w:rFonts w:hint="eastAsia"/>
              </w:rPr>
              <w:t>经评标委员会认定的细微偏差（不含算术错误）需要补正澄清的，每出现</w:t>
            </w:r>
            <w:r>
              <w:t>1</w:t>
            </w:r>
            <w:r>
              <w:rPr>
                <w:rFonts w:hint="eastAsia"/>
              </w:rPr>
              <w:t>处，扣</w:t>
            </w:r>
            <w:r>
              <w:t>0.3</w:t>
            </w:r>
            <w:r>
              <w:rPr>
                <w:rFonts w:hint="eastAsia"/>
              </w:rPr>
              <w:t>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 w:hRule="atLeast"/>
        </w:trPr>
        <w:tc>
          <w:tcPr>
            <w:tcW w:w="8704" w:type="dxa"/>
            <w:gridSpan w:val="6"/>
            <w:vAlign w:val="center"/>
          </w:tcPr>
          <w:p>
            <w:r>
              <w:rPr>
                <w:rFonts w:hint="eastAsia"/>
              </w:rPr>
              <w:t>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747" w:type="dxa"/>
            <w:vAlign w:val="center"/>
          </w:tcPr>
          <w:p>
            <w:r>
              <w:t>1</w:t>
            </w:r>
          </w:p>
        </w:tc>
        <w:tc>
          <w:tcPr>
            <w:tcW w:w="1882" w:type="dxa"/>
            <w:gridSpan w:val="3"/>
            <w:vAlign w:val="center"/>
          </w:tcPr>
          <w:p>
            <w:pPr>
              <w:rPr>
                <w:b/>
              </w:rPr>
            </w:pPr>
            <w:r>
              <w:rPr>
                <w:rFonts w:hint="eastAsia"/>
                <w:b/>
              </w:rPr>
              <w:t>评标程序</w:t>
            </w:r>
          </w:p>
        </w:tc>
        <w:tc>
          <w:tcPr>
            <w:tcW w:w="6075" w:type="dxa"/>
            <w:gridSpan w:val="2"/>
            <w:vAlign w:val="center"/>
          </w:tcPr>
          <w:p>
            <w:r>
              <w:rPr>
                <w:rFonts w:hint="eastAsia"/>
              </w:rPr>
              <w:t>详见</w:t>
            </w:r>
            <w:r>
              <w:fldChar w:fldCharType="begin"/>
            </w:r>
            <w:r>
              <w:instrText xml:space="preserve"> HYPERLINK "file:///H:\\泰州招标文件范本\\泰州市房屋建筑和市政工程施工2016.4.docx" \l "_附件A：评标详细程序。" </w:instrText>
            </w:r>
            <w:r>
              <w:fldChar w:fldCharType="separate"/>
            </w:r>
            <w:r>
              <w:rPr>
                <w:rStyle w:val="18"/>
                <w:rFonts w:hint="eastAsia"/>
                <w:color w:val="auto"/>
              </w:rPr>
              <w:t>本章附件</w:t>
            </w:r>
            <w:r>
              <w:rPr>
                <w:rStyle w:val="18"/>
                <w:color w:val="auto"/>
              </w:rPr>
              <w:t>A</w:t>
            </w:r>
            <w:r>
              <w:rPr>
                <w:rStyle w:val="18"/>
                <w:color w:val="auto"/>
              </w:rPr>
              <w:fldChar w:fldCharType="end"/>
            </w:r>
            <w:r>
              <w:rPr>
                <w:rFonts w:hint="eastAsia"/>
              </w:rPr>
              <w:t>：评标详细程序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747" w:type="dxa"/>
            <w:vAlign w:val="center"/>
          </w:tcPr>
          <w:p>
            <w:r>
              <w:t>2</w:t>
            </w:r>
          </w:p>
        </w:tc>
        <w:tc>
          <w:tcPr>
            <w:tcW w:w="1882" w:type="dxa"/>
            <w:gridSpan w:val="3"/>
            <w:vAlign w:val="center"/>
          </w:tcPr>
          <w:p>
            <w:pPr>
              <w:rPr>
                <w:b/>
              </w:rPr>
            </w:pPr>
            <w:r>
              <w:rPr>
                <w:rFonts w:hint="eastAsia"/>
                <w:b/>
              </w:rPr>
              <w:t>否决投标条件</w:t>
            </w:r>
          </w:p>
        </w:tc>
        <w:tc>
          <w:tcPr>
            <w:tcW w:w="6075" w:type="dxa"/>
            <w:gridSpan w:val="2"/>
            <w:vAlign w:val="center"/>
          </w:tcPr>
          <w:p>
            <w:r>
              <w:rPr>
                <w:rFonts w:hint="eastAsia"/>
              </w:rPr>
              <w:t>详见</w:t>
            </w:r>
            <w:r>
              <w:fldChar w:fldCharType="begin"/>
            </w:r>
            <w:r>
              <w:instrText xml:space="preserve"> HYPERLINK "file:///H:\\泰州招标文件范本\\泰州市房屋建筑和市政工程施工2016.4.docx" \l "_附件B：废标条件" </w:instrText>
            </w:r>
            <w:r>
              <w:fldChar w:fldCharType="separate"/>
            </w:r>
            <w:r>
              <w:rPr>
                <w:rStyle w:val="18"/>
                <w:rFonts w:hint="eastAsia"/>
                <w:color w:val="auto"/>
              </w:rPr>
              <w:t>本章附件</w:t>
            </w:r>
            <w:r>
              <w:rPr>
                <w:rStyle w:val="18"/>
                <w:color w:val="auto"/>
              </w:rPr>
              <w:t>B</w:t>
            </w:r>
            <w:r>
              <w:rPr>
                <w:rStyle w:val="18"/>
                <w:color w:val="auto"/>
              </w:rPr>
              <w:fldChar w:fldCharType="end"/>
            </w:r>
            <w:r>
              <w:rPr>
                <w:rFonts w:hint="eastAsia"/>
              </w:rPr>
              <w:t>：否决投标条件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747" w:type="dxa"/>
            <w:vAlign w:val="center"/>
          </w:tcPr>
          <w:p>
            <w:r>
              <w:t>3</w:t>
            </w:r>
          </w:p>
        </w:tc>
        <w:tc>
          <w:tcPr>
            <w:tcW w:w="1882" w:type="dxa"/>
            <w:gridSpan w:val="3"/>
            <w:vAlign w:val="center"/>
          </w:tcPr>
          <w:p>
            <w:pPr>
              <w:rPr>
                <w:b/>
              </w:rPr>
            </w:pPr>
            <w:r>
              <w:rPr>
                <w:rFonts w:hint="eastAsia"/>
                <w:b/>
              </w:rPr>
              <w:t>判断投标报价是否低于其成本</w:t>
            </w:r>
          </w:p>
        </w:tc>
        <w:tc>
          <w:tcPr>
            <w:tcW w:w="6075" w:type="dxa"/>
            <w:gridSpan w:val="2"/>
            <w:vAlign w:val="center"/>
          </w:tcPr>
          <w:p>
            <w:r>
              <w:rPr>
                <w:rFonts w:hint="eastAsia"/>
              </w:rPr>
              <w:t>详见</w:t>
            </w:r>
            <w:r>
              <w:rPr>
                <w:rFonts w:hint="eastAsia"/>
                <w:u w:val="single"/>
              </w:rPr>
              <w:t>本章附件</w:t>
            </w:r>
            <w:r>
              <w:rPr>
                <w:u w:val="single"/>
              </w:rPr>
              <w:t>C</w:t>
            </w:r>
            <w:r>
              <w:rPr>
                <w:rFonts w:hint="eastAsia"/>
              </w:rPr>
              <w:t>：投标人成本评审办法</w:t>
            </w:r>
          </w:p>
        </w:tc>
      </w:tr>
    </w:tbl>
    <w:p>
      <w:pPr>
        <w:pStyle w:val="5"/>
        <w:pageBreakBefore w:val="0"/>
        <w:widowControl w:val="0"/>
        <w:kinsoku/>
        <w:wordWrap/>
        <w:overflowPunct/>
        <w:topLinePunct w:val="0"/>
        <w:bidi w:val="0"/>
        <w:snapToGrid/>
        <w:spacing w:line="360" w:lineRule="auto"/>
        <w:textAlignment w:val="auto"/>
      </w:pPr>
      <w:bookmarkStart w:id="223" w:name="_Toc275956123"/>
      <w:r>
        <w:rPr>
          <w:rFonts w:cs="TimesNewRomanPSMT"/>
        </w:rPr>
        <w:t xml:space="preserve">1. </w:t>
      </w:r>
      <w:r>
        <w:rPr>
          <w:rFonts w:hint="eastAsia"/>
        </w:rPr>
        <w:t>评标方法</w:t>
      </w:r>
      <w:bookmarkEnd w:id="223"/>
    </w:p>
    <w:p>
      <w:pPr>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cs="仿宋_GB2312"/>
          <w:kern w:val="0"/>
          <w:szCs w:val="21"/>
        </w:rPr>
      </w:pPr>
      <w:r>
        <w:rPr>
          <w:rFonts w:hint="eastAsia" w:ascii="宋体" w:hAnsi="宋体" w:cs="仿宋_GB2312"/>
          <w:kern w:val="0"/>
          <w:szCs w:val="21"/>
        </w:rPr>
        <w:t>本次评标，采用经评审的最低投标价法。评标委员会对满足招标文件实质性要求的投标文件进行评审。根据本章第</w:t>
      </w:r>
      <w:r>
        <w:rPr>
          <w:rFonts w:ascii="宋体" w:hAnsi="宋体" w:cs="TimesNewRomanPSMT"/>
          <w:kern w:val="0"/>
          <w:szCs w:val="21"/>
        </w:rPr>
        <w:t xml:space="preserve">2.2 </w:t>
      </w:r>
      <w:r>
        <w:rPr>
          <w:rFonts w:hint="eastAsia" w:ascii="宋体" w:hAnsi="宋体" w:cs="仿宋_GB2312"/>
          <w:kern w:val="0"/>
          <w:szCs w:val="21"/>
        </w:rPr>
        <w:t>款规定的评分标准进行打分，并按得分由高到低顺序推荐中标候选人，或根据招标人授权直接确定中标人，但投标报价低于其成本的除外。得分相等时，以投标报价低的优先；投标报价也相等的，由招标人确定中标人或通过抽签活动确定，抽签活动基本程序如下：</w:t>
      </w:r>
    </w:p>
    <w:p>
      <w:pPr>
        <w:pageBreakBefore w:val="0"/>
        <w:widowControl w:val="0"/>
        <w:numPr>
          <w:ilvl w:val="0"/>
          <w:numId w:val="3"/>
        </w:numPr>
        <w:kinsoku/>
        <w:wordWrap/>
        <w:overflowPunct/>
        <w:topLinePunct w:val="0"/>
        <w:autoSpaceDE w:val="0"/>
        <w:autoSpaceDN w:val="0"/>
        <w:bidi w:val="0"/>
        <w:adjustRightInd w:val="0"/>
        <w:snapToGrid/>
        <w:spacing w:line="360" w:lineRule="auto"/>
        <w:ind w:firstLine="420" w:firstLineChars="200"/>
        <w:jc w:val="left"/>
        <w:textAlignment w:val="auto"/>
      </w:pPr>
      <w:r>
        <w:rPr>
          <w:rFonts w:hint="eastAsia"/>
        </w:rPr>
        <w:t>招标人，通知得分、投标报价等都相同的名次并列投标人在规定时间至告知地点参加抽签活动。</w:t>
      </w:r>
    </w:p>
    <w:p>
      <w:pPr>
        <w:pageBreakBefore w:val="0"/>
        <w:widowControl w:val="0"/>
        <w:numPr>
          <w:ilvl w:val="0"/>
          <w:numId w:val="3"/>
        </w:numPr>
        <w:kinsoku/>
        <w:wordWrap/>
        <w:overflowPunct/>
        <w:topLinePunct w:val="0"/>
        <w:autoSpaceDE w:val="0"/>
        <w:autoSpaceDN w:val="0"/>
        <w:bidi w:val="0"/>
        <w:adjustRightInd w:val="0"/>
        <w:snapToGrid/>
        <w:spacing w:line="360" w:lineRule="auto"/>
        <w:ind w:firstLine="420" w:firstLineChars="200"/>
        <w:jc w:val="left"/>
        <w:textAlignment w:val="auto"/>
      </w:pPr>
      <w:r>
        <w:rPr>
          <w:rFonts w:hint="eastAsia"/>
        </w:rPr>
        <w:t>投标人的法定代表人或其授权委托的拟派施工项目负责人</w:t>
      </w:r>
      <w:r>
        <w:t>(</w:t>
      </w:r>
      <w:r>
        <w:rPr>
          <w:rFonts w:hint="eastAsia"/>
        </w:rPr>
        <w:t>须有法定代表人的授权委托书</w:t>
      </w:r>
      <w:r>
        <w:t>)</w:t>
      </w:r>
      <w:r>
        <w:rPr>
          <w:rFonts w:hint="eastAsia"/>
        </w:rPr>
        <w:t>应携带本人第二代居民身份证参加抽签活动。未在规定时间内按时参加抽签活动的，视为自动放弃且认可抽签结果。事后，招标人拒绝其对抽签活动提出的异议。</w:t>
      </w:r>
    </w:p>
    <w:p>
      <w:pPr>
        <w:pageBreakBefore w:val="0"/>
        <w:widowControl w:val="0"/>
        <w:numPr>
          <w:ilvl w:val="0"/>
          <w:numId w:val="3"/>
        </w:numPr>
        <w:kinsoku/>
        <w:wordWrap/>
        <w:overflowPunct/>
        <w:topLinePunct w:val="0"/>
        <w:autoSpaceDE w:val="0"/>
        <w:autoSpaceDN w:val="0"/>
        <w:bidi w:val="0"/>
        <w:adjustRightInd w:val="0"/>
        <w:snapToGrid/>
        <w:spacing w:line="360" w:lineRule="auto"/>
        <w:ind w:firstLine="420" w:firstLineChars="200"/>
        <w:jc w:val="left"/>
        <w:textAlignment w:val="auto"/>
      </w:pPr>
      <w:r>
        <w:rPr>
          <w:rFonts w:hint="eastAsia"/>
        </w:rPr>
        <w:t>抽签方式：</w:t>
      </w:r>
    </w:p>
    <w:p>
      <w:pPr>
        <w:pageBreakBefore w:val="0"/>
        <w:widowControl w:val="0"/>
        <w:kinsoku/>
        <w:wordWrap/>
        <w:overflowPunct/>
        <w:topLinePunct w:val="0"/>
        <w:autoSpaceDE w:val="0"/>
        <w:autoSpaceDN w:val="0"/>
        <w:bidi w:val="0"/>
        <w:adjustRightInd w:val="0"/>
        <w:snapToGrid/>
        <w:spacing w:line="360" w:lineRule="auto"/>
        <w:ind w:firstLine="315" w:firstLineChars="150"/>
        <w:jc w:val="left"/>
        <w:textAlignment w:val="auto"/>
      </w:pPr>
      <w:r>
        <w:rPr>
          <w:rFonts w:hint="eastAsia"/>
        </w:rPr>
        <w:t>（1）投标人</w:t>
      </w:r>
      <w:r>
        <w:rPr>
          <w:rFonts w:hint="eastAsia" w:hAnsi="宋体"/>
          <w:szCs w:val="21"/>
        </w:rPr>
        <w:t>按照上传投标文件的先后顺序依次抽取球号，抽取的球号分别对应各投标人。</w:t>
      </w:r>
    </w:p>
    <w:p>
      <w:pPr>
        <w:pStyle w:val="33"/>
        <w:pageBreakBefore w:val="0"/>
        <w:widowControl w:val="0"/>
        <w:kinsoku/>
        <w:wordWrap/>
        <w:overflowPunct/>
        <w:topLinePunct w:val="0"/>
        <w:autoSpaceDE w:val="0"/>
        <w:autoSpaceDN w:val="0"/>
        <w:bidi w:val="0"/>
        <w:adjustRightInd w:val="0"/>
        <w:snapToGrid/>
        <w:spacing w:line="360" w:lineRule="auto"/>
        <w:ind w:left="105" w:firstLine="210" w:firstLineChars="100"/>
        <w:jc w:val="left"/>
        <w:textAlignment w:val="auto"/>
        <w:rPr>
          <w:rFonts w:ascii="宋体" w:cs="仿宋_GB2312"/>
          <w:kern w:val="0"/>
          <w:szCs w:val="21"/>
        </w:rPr>
      </w:pPr>
      <w:r>
        <w:rPr>
          <w:rFonts w:hint="eastAsia" w:ascii="宋体" w:hAnsi="宋体" w:cs="仿宋_GB2312"/>
          <w:kern w:val="0"/>
          <w:szCs w:val="21"/>
        </w:rPr>
        <w:t>（2）抽签参加人员分别抽取标号球。第一个抽取到的号球所标球号对应的投标人为第一中标候选人，第二个抽取到的号球所标球号对应的投标人为第二中标候选人，第三个抽取到的号球所标球号对应的投标人为第三中标候选人。</w:t>
      </w:r>
    </w:p>
    <w:p>
      <w:pPr>
        <w:pageBreakBefore w:val="0"/>
        <w:widowControl w:val="0"/>
        <w:kinsoku/>
        <w:wordWrap/>
        <w:overflowPunct/>
        <w:topLinePunct w:val="0"/>
        <w:autoSpaceDE w:val="0"/>
        <w:autoSpaceDN w:val="0"/>
        <w:bidi w:val="0"/>
        <w:adjustRightInd w:val="0"/>
        <w:snapToGrid/>
        <w:spacing w:line="360" w:lineRule="auto"/>
        <w:ind w:firstLine="420"/>
        <w:jc w:val="left"/>
        <w:textAlignment w:val="auto"/>
        <w:rPr>
          <w:rFonts w:ascii="宋体" w:cs="仿宋_GB2312"/>
          <w:kern w:val="0"/>
          <w:szCs w:val="21"/>
        </w:rPr>
      </w:pPr>
      <w:r>
        <w:rPr>
          <w:rFonts w:ascii="宋体" w:hAnsi="宋体" w:cs="仿宋_GB2312"/>
          <w:kern w:val="0"/>
          <w:szCs w:val="21"/>
        </w:rPr>
        <w:t>4</w:t>
      </w:r>
      <w:r>
        <w:rPr>
          <w:rFonts w:hint="eastAsia" w:ascii="宋体" w:hAnsi="宋体" w:cs="仿宋_GB2312"/>
          <w:kern w:val="0"/>
          <w:szCs w:val="21"/>
        </w:rPr>
        <w:t>、抽签活动参加人员有异议的，应在抽签活动现场提出，招标人应予以答复并记录。</w:t>
      </w:r>
    </w:p>
    <w:p>
      <w:pPr>
        <w:pageBreakBefore w:val="0"/>
        <w:widowControl w:val="0"/>
        <w:kinsoku/>
        <w:wordWrap/>
        <w:overflowPunct/>
        <w:topLinePunct w:val="0"/>
        <w:autoSpaceDE w:val="0"/>
        <w:autoSpaceDN w:val="0"/>
        <w:bidi w:val="0"/>
        <w:adjustRightInd w:val="0"/>
        <w:snapToGrid/>
        <w:spacing w:line="360" w:lineRule="auto"/>
        <w:ind w:firstLine="420"/>
        <w:jc w:val="left"/>
        <w:textAlignment w:val="auto"/>
      </w:pPr>
      <w:r>
        <w:rPr>
          <w:rFonts w:ascii="宋体" w:hAnsi="宋体" w:cs="仿宋_GB2312"/>
          <w:kern w:val="0"/>
          <w:szCs w:val="21"/>
        </w:rPr>
        <w:t>5</w:t>
      </w:r>
      <w:r>
        <w:rPr>
          <w:rFonts w:hint="eastAsia" w:ascii="宋体" w:hAnsi="宋体" w:cs="仿宋_GB2312"/>
          <w:kern w:val="0"/>
          <w:szCs w:val="21"/>
        </w:rPr>
        <w:t>、参加抽签活动各方代表签字确认抽签结果。</w:t>
      </w:r>
      <w:r>
        <w:rPr>
          <w:rFonts w:hint="eastAsia"/>
        </w:rPr>
        <w:t>无正当理由拒绝签字确认抽签结果的，视为认可抽签结果。事后，招标人拒绝其对抽签活动提出的异议。</w:t>
      </w:r>
    </w:p>
    <w:p>
      <w:pPr>
        <w:pStyle w:val="5"/>
        <w:pageBreakBefore w:val="0"/>
        <w:widowControl w:val="0"/>
        <w:kinsoku/>
        <w:wordWrap/>
        <w:overflowPunct/>
        <w:topLinePunct w:val="0"/>
        <w:bidi w:val="0"/>
        <w:snapToGrid/>
        <w:spacing w:line="360" w:lineRule="auto"/>
        <w:textAlignment w:val="auto"/>
      </w:pPr>
      <w:bookmarkStart w:id="224" w:name="_Toc275956124"/>
      <w:r>
        <w:rPr>
          <w:rFonts w:cs="TimesNewRomanPSMT"/>
        </w:rPr>
        <w:t xml:space="preserve">2. </w:t>
      </w:r>
      <w:r>
        <w:rPr>
          <w:rFonts w:hint="eastAsia"/>
        </w:rPr>
        <w:t>评审标准</w:t>
      </w:r>
      <w:bookmarkEnd w:id="224"/>
    </w:p>
    <w:p>
      <w:pPr>
        <w:pStyle w:val="6"/>
        <w:pageBreakBefore w:val="0"/>
        <w:widowControl w:val="0"/>
        <w:kinsoku/>
        <w:wordWrap/>
        <w:overflowPunct/>
        <w:topLinePunct w:val="0"/>
        <w:bidi w:val="0"/>
        <w:snapToGrid/>
        <w:spacing w:line="360" w:lineRule="auto"/>
        <w:textAlignment w:val="auto"/>
      </w:pPr>
      <w:r>
        <w:rPr>
          <w:rFonts w:cs="TimesNewRomanPSMT"/>
        </w:rPr>
        <w:t xml:space="preserve">2.1 </w:t>
      </w:r>
      <w:r>
        <w:rPr>
          <w:rFonts w:hint="eastAsia"/>
        </w:rPr>
        <w:t>初步评审标准</w:t>
      </w:r>
    </w:p>
    <w:p>
      <w:pPr>
        <w:pageBreakBefore w:val="0"/>
        <w:widowControl w:val="0"/>
        <w:kinsoku/>
        <w:wordWrap/>
        <w:overflowPunct/>
        <w:topLinePunct w:val="0"/>
        <w:autoSpaceDE w:val="0"/>
        <w:autoSpaceDN w:val="0"/>
        <w:bidi w:val="0"/>
        <w:adjustRightInd w:val="0"/>
        <w:snapToGrid/>
        <w:spacing w:line="360" w:lineRule="auto"/>
        <w:jc w:val="left"/>
        <w:textAlignment w:val="auto"/>
        <w:rPr>
          <w:rFonts w:ascii="宋体" w:cs="仿宋_GB2312"/>
          <w:kern w:val="0"/>
          <w:szCs w:val="21"/>
        </w:rPr>
      </w:pPr>
      <w:r>
        <w:rPr>
          <w:rFonts w:ascii="宋体" w:hAnsi="宋体" w:cs="TimesNewRomanPSMT"/>
          <w:kern w:val="0"/>
          <w:szCs w:val="21"/>
        </w:rPr>
        <w:t xml:space="preserve">2.1.1 </w:t>
      </w:r>
      <w:r>
        <w:rPr>
          <w:rFonts w:hint="eastAsia" w:ascii="宋体" w:hAnsi="宋体" w:cs="仿宋_GB2312"/>
          <w:kern w:val="0"/>
          <w:szCs w:val="21"/>
        </w:rPr>
        <w:t>形式评审标准：见</w:t>
      </w:r>
      <w:r>
        <w:fldChar w:fldCharType="begin"/>
      </w:r>
      <w:r>
        <w:instrText xml:space="preserve"> HYPERLINK "file:///H:\\泰州招标文件范本\\泰州市房屋建筑和市政工程施工2016.4.docx" \l "_2.1.1_1" </w:instrText>
      </w:r>
      <w:r>
        <w:fldChar w:fldCharType="separate"/>
      </w:r>
      <w:r>
        <w:rPr>
          <w:rStyle w:val="18"/>
          <w:rFonts w:hint="eastAsia" w:ascii="宋体" w:hAnsi="宋体" w:cs="仿宋_GB2312"/>
          <w:color w:val="auto"/>
          <w:szCs w:val="21"/>
        </w:rPr>
        <w:t>评标办法前附表</w:t>
      </w:r>
      <w:r>
        <w:rPr>
          <w:rStyle w:val="18"/>
          <w:rFonts w:ascii="宋体" w:hAnsi="宋体" w:cs="仿宋_GB2312"/>
          <w:color w:val="auto"/>
          <w:szCs w:val="21"/>
        </w:rPr>
        <w:t>2.1.1</w:t>
      </w:r>
      <w:r>
        <w:rPr>
          <w:rStyle w:val="18"/>
          <w:rFonts w:hint="eastAsia" w:ascii="宋体" w:hAnsi="宋体" w:cs="仿宋_GB2312"/>
          <w:color w:val="auto"/>
          <w:szCs w:val="21"/>
        </w:rPr>
        <w:t>项</w:t>
      </w:r>
      <w:r>
        <w:rPr>
          <w:rStyle w:val="18"/>
          <w:rFonts w:hint="eastAsia" w:ascii="宋体" w:hAnsi="宋体" w:cs="仿宋_GB2312"/>
          <w:color w:val="auto"/>
          <w:szCs w:val="21"/>
        </w:rPr>
        <w:fldChar w:fldCharType="end"/>
      </w:r>
      <w:r>
        <w:rPr>
          <w:rFonts w:hint="eastAsia" w:ascii="宋体" w:hAnsi="宋体" w:cs="仿宋_GB2312"/>
          <w:kern w:val="0"/>
          <w:szCs w:val="21"/>
        </w:rPr>
        <w:t>。</w:t>
      </w:r>
    </w:p>
    <w:p>
      <w:pPr>
        <w:pageBreakBefore w:val="0"/>
        <w:widowControl w:val="0"/>
        <w:kinsoku/>
        <w:wordWrap/>
        <w:overflowPunct/>
        <w:topLinePunct w:val="0"/>
        <w:autoSpaceDE w:val="0"/>
        <w:autoSpaceDN w:val="0"/>
        <w:bidi w:val="0"/>
        <w:adjustRightInd w:val="0"/>
        <w:snapToGrid/>
        <w:spacing w:line="360" w:lineRule="auto"/>
        <w:jc w:val="left"/>
        <w:textAlignment w:val="auto"/>
        <w:rPr>
          <w:rFonts w:ascii="宋体" w:cs="仿宋_GB2312"/>
          <w:kern w:val="0"/>
          <w:szCs w:val="21"/>
        </w:rPr>
      </w:pPr>
      <w:r>
        <w:rPr>
          <w:rFonts w:ascii="宋体" w:hAnsi="宋体" w:cs="TimesNewRomanPSMT"/>
          <w:kern w:val="0"/>
          <w:szCs w:val="21"/>
        </w:rPr>
        <w:t xml:space="preserve">2.1.2 </w:t>
      </w:r>
      <w:r>
        <w:rPr>
          <w:rFonts w:hint="eastAsia" w:ascii="宋体" w:hAnsi="宋体" w:cs="仿宋_GB2312"/>
          <w:kern w:val="0"/>
          <w:szCs w:val="21"/>
        </w:rPr>
        <w:t>资格评审标准：见</w:t>
      </w:r>
      <w:r>
        <w:fldChar w:fldCharType="begin"/>
      </w:r>
      <w:r>
        <w:instrText xml:space="preserve"> HYPERLINK "file:///H:\\泰州招标文件范本\\泰州市房屋建筑和市政工程施工2016.4.docx" \l "_2.1.2_1" </w:instrText>
      </w:r>
      <w:r>
        <w:fldChar w:fldCharType="separate"/>
      </w:r>
      <w:r>
        <w:rPr>
          <w:rStyle w:val="18"/>
          <w:rFonts w:hint="eastAsia" w:ascii="宋体" w:hAnsi="宋体" w:cs="仿宋_GB2312"/>
          <w:color w:val="auto"/>
          <w:szCs w:val="21"/>
        </w:rPr>
        <w:t>评标办法前附表</w:t>
      </w:r>
      <w:r>
        <w:rPr>
          <w:rStyle w:val="18"/>
          <w:rFonts w:ascii="宋体" w:hAnsi="宋体" w:cs="仿宋_GB2312"/>
          <w:color w:val="auto"/>
          <w:szCs w:val="21"/>
        </w:rPr>
        <w:t>2.1.2</w:t>
      </w:r>
      <w:r>
        <w:rPr>
          <w:rStyle w:val="18"/>
          <w:rFonts w:hint="eastAsia" w:ascii="宋体" w:hAnsi="宋体" w:cs="仿宋_GB2312"/>
          <w:color w:val="auto"/>
          <w:szCs w:val="21"/>
        </w:rPr>
        <w:t>项</w:t>
      </w:r>
      <w:r>
        <w:rPr>
          <w:rStyle w:val="18"/>
          <w:rFonts w:hint="eastAsia" w:ascii="宋体" w:hAnsi="宋体" w:cs="仿宋_GB2312"/>
          <w:color w:val="auto"/>
          <w:szCs w:val="21"/>
        </w:rPr>
        <w:fldChar w:fldCharType="end"/>
      </w:r>
      <w:r>
        <w:rPr>
          <w:rFonts w:hint="eastAsia" w:ascii="宋体" w:hAnsi="宋体" w:cs="仿宋_GB2312"/>
          <w:kern w:val="0"/>
          <w:szCs w:val="21"/>
        </w:rPr>
        <w:t>（适用于资格后审的）。</w:t>
      </w:r>
    </w:p>
    <w:p>
      <w:pPr>
        <w:pageBreakBefore w:val="0"/>
        <w:widowControl w:val="0"/>
        <w:kinsoku/>
        <w:wordWrap/>
        <w:overflowPunct/>
        <w:topLinePunct w:val="0"/>
        <w:autoSpaceDE w:val="0"/>
        <w:autoSpaceDN w:val="0"/>
        <w:bidi w:val="0"/>
        <w:adjustRightInd w:val="0"/>
        <w:snapToGrid/>
        <w:spacing w:line="360" w:lineRule="auto"/>
        <w:jc w:val="left"/>
        <w:textAlignment w:val="auto"/>
        <w:rPr>
          <w:rFonts w:ascii="宋体" w:cs="仿宋_GB2312"/>
          <w:kern w:val="0"/>
          <w:szCs w:val="21"/>
        </w:rPr>
      </w:pPr>
      <w:r>
        <w:rPr>
          <w:rFonts w:ascii="宋体" w:hAnsi="宋体" w:cs="TimesNewRomanPSMT"/>
          <w:kern w:val="0"/>
          <w:szCs w:val="21"/>
        </w:rPr>
        <w:t xml:space="preserve">2.1.2 </w:t>
      </w:r>
      <w:r>
        <w:rPr>
          <w:rFonts w:hint="eastAsia" w:ascii="宋体" w:hAnsi="宋体" w:cs="仿宋_GB2312"/>
          <w:kern w:val="0"/>
          <w:szCs w:val="21"/>
        </w:rPr>
        <w:t>资格评审标准：见本标段资格预审文件第三章“资格审查办法”详细审查标准（适用于已进行资格预审的）。</w:t>
      </w:r>
    </w:p>
    <w:p>
      <w:pPr>
        <w:pageBreakBefore w:val="0"/>
        <w:widowControl w:val="0"/>
        <w:kinsoku/>
        <w:wordWrap/>
        <w:overflowPunct/>
        <w:topLinePunct w:val="0"/>
        <w:autoSpaceDE w:val="0"/>
        <w:autoSpaceDN w:val="0"/>
        <w:bidi w:val="0"/>
        <w:adjustRightInd w:val="0"/>
        <w:snapToGrid/>
        <w:spacing w:line="360" w:lineRule="auto"/>
        <w:jc w:val="left"/>
        <w:textAlignment w:val="auto"/>
        <w:rPr>
          <w:rFonts w:ascii="宋体" w:cs="仿宋_GB2312"/>
          <w:kern w:val="0"/>
          <w:szCs w:val="21"/>
        </w:rPr>
      </w:pPr>
      <w:r>
        <w:rPr>
          <w:rFonts w:ascii="宋体" w:hAnsi="宋体" w:cs="TimesNewRomanPSMT"/>
          <w:kern w:val="0"/>
          <w:szCs w:val="21"/>
        </w:rPr>
        <w:t xml:space="preserve">2.1.3 </w:t>
      </w:r>
      <w:r>
        <w:rPr>
          <w:rFonts w:hint="eastAsia" w:ascii="宋体" w:hAnsi="宋体" w:cs="仿宋_GB2312"/>
          <w:kern w:val="0"/>
          <w:szCs w:val="21"/>
        </w:rPr>
        <w:t>响应性评审标准：见</w:t>
      </w:r>
      <w:r>
        <w:fldChar w:fldCharType="begin"/>
      </w:r>
      <w:r>
        <w:instrText xml:space="preserve"> HYPERLINK "file:///H:\\泰州招标文件范本\\泰州市房屋建筑和市政工程施工2016.4.docx" \l "_2.1.3_1" </w:instrText>
      </w:r>
      <w:r>
        <w:fldChar w:fldCharType="separate"/>
      </w:r>
      <w:r>
        <w:rPr>
          <w:rStyle w:val="18"/>
          <w:rFonts w:hint="eastAsia" w:ascii="宋体" w:hAnsi="宋体" w:cs="仿宋_GB2312"/>
          <w:color w:val="auto"/>
          <w:szCs w:val="21"/>
        </w:rPr>
        <w:t>评标办法前附表</w:t>
      </w:r>
      <w:r>
        <w:rPr>
          <w:rStyle w:val="18"/>
          <w:rFonts w:ascii="宋体" w:hAnsi="宋体" w:cs="仿宋_GB2312"/>
          <w:color w:val="auto"/>
          <w:szCs w:val="21"/>
        </w:rPr>
        <w:t>2.1.3</w:t>
      </w:r>
      <w:r>
        <w:rPr>
          <w:rStyle w:val="18"/>
          <w:rFonts w:hint="eastAsia" w:ascii="宋体" w:hAnsi="宋体" w:cs="仿宋_GB2312"/>
          <w:color w:val="auto"/>
          <w:szCs w:val="21"/>
        </w:rPr>
        <w:t>项</w:t>
      </w:r>
      <w:r>
        <w:rPr>
          <w:rStyle w:val="18"/>
          <w:rFonts w:hint="eastAsia" w:ascii="宋体" w:hAnsi="宋体" w:cs="仿宋_GB2312"/>
          <w:color w:val="auto"/>
          <w:szCs w:val="21"/>
        </w:rPr>
        <w:fldChar w:fldCharType="end"/>
      </w:r>
      <w:r>
        <w:rPr>
          <w:rFonts w:hint="eastAsia" w:ascii="宋体" w:hAnsi="宋体" w:cs="仿宋_GB2312"/>
          <w:kern w:val="0"/>
          <w:szCs w:val="21"/>
        </w:rPr>
        <w:t>。</w:t>
      </w:r>
    </w:p>
    <w:p>
      <w:pPr>
        <w:pageBreakBefore w:val="0"/>
        <w:widowControl w:val="0"/>
        <w:kinsoku/>
        <w:wordWrap/>
        <w:overflowPunct/>
        <w:topLinePunct w:val="0"/>
        <w:autoSpaceDE w:val="0"/>
        <w:autoSpaceDN w:val="0"/>
        <w:bidi w:val="0"/>
        <w:adjustRightInd w:val="0"/>
        <w:snapToGrid/>
        <w:spacing w:line="360" w:lineRule="auto"/>
        <w:jc w:val="left"/>
        <w:textAlignment w:val="auto"/>
        <w:rPr>
          <w:rFonts w:ascii="宋体" w:cs="仿宋_GB2312"/>
          <w:kern w:val="0"/>
          <w:szCs w:val="21"/>
        </w:rPr>
      </w:pPr>
      <w:r>
        <w:rPr>
          <w:rFonts w:ascii="宋体" w:hAnsi="宋体" w:cs="TimesNewRomanPSMT"/>
          <w:kern w:val="0"/>
          <w:szCs w:val="21"/>
        </w:rPr>
        <w:t xml:space="preserve">2.1.4 </w:t>
      </w:r>
      <w:r>
        <w:rPr>
          <w:rFonts w:hint="eastAsia" w:ascii="宋体" w:hAnsi="宋体" w:cs="仿宋_GB2312"/>
          <w:kern w:val="0"/>
          <w:szCs w:val="21"/>
        </w:rPr>
        <w:t>施工组织设计和项目管理机构评审标准：见</w:t>
      </w:r>
      <w:r>
        <w:fldChar w:fldCharType="begin"/>
      </w:r>
      <w:r>
        <w:instrText xml:space="preserve"> HYPERLINK "file:///H:\\泰州招标文件范本\\泰州市房屋建筑和市政工程施工2016.4.docx" \l "_2.1.4" </w:instrText>
      </w:r>
      <w:r>
        <w:fldChar w:fldCharType="separate"/>
      </w:r>
      <w:r>
        <w:rPr>
          <w:rStyle w:val="18"/>
          <w:rFonts w:hint="eastAsia" w:ascii="宋体" w:hAnsi="宋体" w:cs="仿宋_GB2312"/>
          <w:color w:val="auto"/>
          <w:szCs w:val="21"/>
        </w:rPr>
        <w:t>评标办法前附表</w:t>
      </w:r>
      <w:r>
        <w:rPr>
          <w:rStyle w:val="18"/>
          <w:rFonts w:ascii="宋体" w:hAnsi="宋体" w:cs="仿宋_GB2312"/>
          <w:color w:val="auto"/>
          <w:szCs w:val="21"/>
        </w:rPr>
        <w:t>2.1.4</w:t>
      </w:r>
      <w:r>
        <w:rPr>
          <w:rStyle w:val="18"/>
          <w:rFonts w:hint="eastAsia" w:ascii="宋体" w:hAnsi="宋体" w:cs="仿宋_GB2312"/>
          <w:color w:val="auto"/>
          <w:szCs w:val="21"/>
        </w:rPr>
        <w:t>项</w:t>
      </w:r>
      <w:r>
        <w:rPr>
          <w:rStyle w:val="18"/>
          <w:rFonts w:hint="eastAsia" w:ascii="宋体" w:hAnsi="宋体" w:cs="仿宋_GB2312"/>
          <w:color w:val="auto"/>
          <w:szCs w:val="21"/>
        </w:rPr>
        <w:fldChar w:fldCharType="end"/>
      </w:r>
      <w:r>
        <w:rPr>
          <w:rFonts w:hint="eastAsia" w:ascii="宋体" w:hAnsi="宋体" w:cs="仿宋_GB2312"/>
          <w:kern w:val="0"/>
          <w:szCs w:val="21"/>
        </w:rPr>
        <w:t>。</w:t>
      </w:r>
    </w:p>
    <w:p>
      <w:pPr>
        <w:pStyle w:val="6"/>
        <w:pageBreakBefore w:val="0"/>
        <w:widowControl w:val="0"/>
        <w:kinsoku/>
        <w:wordWrap/>
        <w:overflowPunct/>
        <w:topLinePunct w:val="0"/>
        <w:bidi w:val="0"/>
        <w:snapToGrid/>
        <w:spacing w:line="360" w:lineRule="auto"/>
        <w:textAlignment w:val="auto"/>
      </w:pPr>
      <w:r>
        <w:rPr>
          <w:rFonts w:cs="TimesNewRomanPSMT"/>
        </w:rPr>
        <w:t xml:space="preserve">2.2 </w:t>
      </w:r>
      <w:r>
        <w:rPr>
          <w:rFonts w:hint="eastAsia"/>
        </w:rPr>
        <w:t>分值构成与评分标准</w:t>
      </w:r>
    </w:p>
    <w:p>
      <w:pPr>
        <w:pageBreakBefore w:val="0"/>
        <w:widowControl w:val="0"/>
        <w:kinsoku/>
        <w:wordWrap/>
        <w:overflowPunct/>
        <w:topLinePunct w:val="0"/>
        <w:autoSpaceDE w:val="0"/>
        <w:autoSpaceDN w:val="0"/>
        <w:bidi w:val="0"/>
        <w:adjustRightInd w:val="0"/>
        <w:snapToGrid/>
        <w:spacing w:line="360" w:lineRule="auto"/>
        <w:jc w:val="left"/>
        <w:textAlignment w:val="auto"/>
        <w:rPr>
          <w:rFonts w:ascii="宋体" w:cs="黑体"/>
          <w:kern w:val="0"/>
          <w:szCs w:val="21"/>
        </w:rPr>
      </w:pPr>
      <w:r>
        <w:rPr>
          <w:rFonts w:ascii="宋体" w:hAnsi="宋体" w:cs="TimesNewRomanPSMT"/>
          <w:kern w:val="0"/>
          <w:szCs w:val="21"/>
        </w:rPr>
        <w:t xml:space="preserve">2.2.1 </w:t>
      </w:r>
      <w:r>
        <w:rPr>
          <w:rFonts w:hint="eastAsia" w:ascii="宋体" w:hAnsi="宋体" w:cs="黑体"/>
          <w:kern w:val="0"/>
          <w:szCs w:val="21"/>
        </w:rPr>
        <w:t>分值构成：</w:t>
      </w:r>
      <w:r>
        <w:rPr>
          <w:rFonts w:hint="eastAsia" w:ascii="宋体" w:hAnsi="宋体" w:cs="仿宋_GB2312"/>
          <w:kern w:val="0"/>
          <w:szCs w:val="21"/>
        </w:rPr>
        <w:t>见</w:t>
      </w:r>
      <w:r>
        <w:fldChar w:fldCharType="begin"/>
      </w:r>
      <w:r>
        <w:instrText xml:space="preserve"> HYPERLINK "file:///H:\\泰州招标文件范本\\泰州市房屋建筑和市政工程施工2016.4.docx" \l "_2.2.1" </w:instrText>
      </w:r>
      <w:r>
        <w:fldChar w:fldCharType="separate"/>
      </w:r>
      <w:r>
        <w:rPr>
          <w:rStyle w:val="18"/>
          <w:rFonts w:hint="eastAsia" w:ascii="宋体" w:hAnsi="宋体" w:cs="仿宋_GB2312"/>
          <w:color w:val="auto"/>
          <w:szCs w:val="21"/>
        </w:rPr>
        <w:t>评标办法前附表</w:t>
      </w:r>
      <w:r>
        <w:rPr>
          <w:rStyle w:val="18"/>
          <w:rFonts w:ascii="宋体" w:hAnsi="宋体" w:cs="仿宋_GB2312"/>
          <w:color w:val="auto"/>
          <w:szCs w:val="21"/>
        </w:rPr>
        <w:t>2.2.1</w:t>
      </w:r>
      <w:r>
        <w:rPr>
          <w:rStyle w:val="18"/>
          <w:rFonts w:hint="eastAsia" w:ascii="宋体" w:hAnsi="宋体" w:cs="仿宋_GB2312"/>
          <w:color w:val="auto"/>
          <w:szCs w:val="21"/>
        </w:rPr>
        <w:t>项</w:t>
      </w:r>
      <w:r>
        <w:rPr>
          <w:rStyle w:val="18"/>
          <w:rFonts w:hint="eastAsia" w:ascii="宋体" w:hAnsi="宋体" w:cs="仿宋_GB2312"/>
          <w:color w:val="auto"/>
          <w:szCs w:val="21"/>
        </w:rPr>
        <w:fldChar w:fldCharType="end"/>
      </w:r>
      <w:r>
        <w:rPr>
          <w:rFonts w:hint="eastAsia" w:ascii="宋体" w:hAnsi="宋体" w:cs="仿宋_GB2312"/>
          <w:kern w:val="0"/>
          <w:szCs w:val="21"/>
        </w:rPr>
        <w:t>。</w:t>
      </w:r>
    </w:p>
    <w:p>
      <w:pPr>
        <w:pageBreakBefore w:val="0"/>
        <w:widowControl w:val="0"/>
        <w:kinsoku/>
        <w:wordWrap/>
        <w:overflowPunct/>
        <w:topLinePunct w:val="0"/>
        <w:autoSpaceDE w:val="0"/>
        <w:autoSpaceDN w:val="0"/>
        <w:bidi w:val="0"/>
        <w:adjustRightInd w:val="0"/>
        <w:snapToGrid/>
        <w:spacing w:line="360" w:lineRule="auto"/>
        <w:jc w:val="left"/>
        <w:textAlignment w:val="auto"/>
        <w:rPr>
          <w:rFonts w:ascii="宋体" w:cs="黑体"/>
          <w:kern w:val="0"/>
          <w:szCs w:val="21"/>
        </w:rPr>
      </w:pPr>
      <w:r>
        <w:rPr>
          <w:rFonts w:ascii="宋体" w:hAnsi="宋体" w:cs="TimesNewRomanPSMT"/>
          <w:kern w:val="0"/>
          <w:szCs w:val="21"/>
        </w:rPr>
        <w:t xml:space="preserve">2.2.2 </w:t>
      </w:r>
      <w:r>
        <w:rPr>
          <w:rFonts w:hint="eastAsia" w:ascii="宋体" w:hAnsi="宋体" w:cs="黑体"/>
          <w:kern w:val="0"/>
          <w:szCs w:val="21"/>
        </w:rPr>
        <w:t>评标基准价计算方法：</w:t>
      </w:r>
      <w:r>
        <w:rPr>
          <w:rFonts w:hint="eastAsia" w:ascii="宋体" w:hAnsi="宋体" w:cs="仿宋_GB2312"/>
          <w:kern w:val="0"/>
          <w:szCs w:val="21"/>
        </w:rPr>
        <w:t>见</w:t>
      </w:r>
      <w:r>
        <w:fldChar w:fldCharType="begin"/>
      </w:r>
      <w:r>
        <w:instrText xml:space="preserve"> HYPERLINK "file:///H:\\泰州招标文件范本\\泰州市房屋建筑和市政工程施工2016.4.docx" \l "_2.2.2" </w:instrText>
      </w:r>
      <w:r>
        <w:fldChar w:fldCharType="separate"/>
      </w:r>
      <w:r>
        <w:rPr>
          <w:rStyle w:val="18"/>
          <w:rFonts w:hint="eastAsia" w:ascii="宋体" w:hAnsi="宋体" w:cs="仿宋_GB2312"/>
          <w:color w:val="auto"/>
          <w:szCs w:val="21"/>
        </w:rPr>
        <w:t>评标办法前附表</w:t>
      </w:r>
      <w:r>
        <w:rPr>
          <w:rStyle w:val="18"/>
          <w:rFonts w:ascii="宋体" w:hAnsi="宋体" w:cs="仿宋_GB2312"/>
          <w:color w:val="auto"/>
          <w:szCs w:val="21"/>
        </w:rPr>
        <w:t>2.2.2</w:t>
      </w:r>
      <w:r>
        <w:rPr>
          <w:rStyle w:val="18"/>
          <w:rFonts w:hint="eastAsia" w:ascii="宋体" w:hAnsi="宋体" w:cs="仿宋_GB2312"/>
          <w:color w:val="auto"/>
          <w:szCs w:val="21"/>
        </w:rPr>
        <w:t>项</w:t>
      </w:r>
      <w:r>
        <w:rPr>
          <w:rStyle w:val="18"/>
          <w:rFonts w:hint="eastAsia" w:ascii="宋体" w:hAnsi="宋体" w:cs="仿宋_GB2312"/>
          <w:color w:val="auto"/>
          <w:szCs w:val="21"/>
        </w:rPr>
        <w:fldChar w:fldCharType="end"/>
      </w:r>
      <w:r>
        <w:rPr>
          <w:rFonts w:hint="eastAsia" w:ascii="宋体" w:hAnsi="宋体" w:cs="仿宋_GB2312"/>
          <w:kern w:val="0"/>
          <w:szCs w:val="21"/>
        </w:rPr>
        <w:t>。</w:t>
      </w:r>
    </w:p>
    <w:p>
      <w:pPr>
        <w:pageBreakBefore w:val="0"/>
        <w:widowControl w:val="0"/>
        <w:kinsoku/>
        <w:wordWrap/>
        <w:overflowPunct/>
        <w:topLinePunct w:val="0"/>
        <w:autoSpaceDE w:val="0"/>
        <w:autoSpaceDN w:val="0"/>
        <w:bidi w:val="0"/>
        <w:adjustRightInd w:val="0"/>
        <w:snapToGrid/>
        <w:spacing w:line="360" w:lineRule="auto"/>
        <w:jc w:val="left"/>
        <w:textAlignment w:val="auto"/>
        <w:rPr>
          <w:rFonts w:ascii="宋体" w:cs="仿宋_GB2312"/>
          <w:b/>
          <w:kern w:val="0"/>
          <w:sz w:val="36"/>
          <w:szCs w:val="36"/>
        </w:rPr>
      </w:pPr>
      <w:r>
        <w:rPr>
          <w:rFonts w:ascii="宋体" w:hAnsi="宋体" w:cs="TimesNewRomanPSMT"/>
          <w:kern w:val="0"/>
          <w:szCs w:val="21"/>
        </w:rPr>
        <w:t xml:space="preserve">2.2.3 </w:t>
      </w:r>
      <w:r>
        <w:rPr>
          <w:rFonts w:hint="eastAsia" w:ascii="宋体" w:hAnsi="宋体" w:cs="仿宋_GB2312"/>
          <w:kern w:val="0"/>
          <w:szCs w:val="21"/>
        </w:rPr>
        <w:t>投标报价的偏差率计算公式：见</w:t>
      </w:r>
      <w:r>
        <w:fldChar w:fldCharType="begin"/>
      </w:r>
      <w:r>
        <w:instrText xml:space="preserve"> HYPERLINK "file:///H:\\泰州招标文件范本\\泰州市房屋建筑和市政工程施工2016.4.docx" \l "_2.2.3" </w:instrText>
      </w:r>
      <w:r>
        <w:fldChar w:fldCharType="separate"/>
      </w:r>
      <w:r>
        <w:rPr>
          <w:rStyle w:val="18"/>
          <w:rFonts w:hint="eastAsia" w:ascii="宋体" w:hAnsi="宋体" w:cs="仿宋_GB2312"/>
          <w:color w:val="auto"/>
          <w:szCs w:val="21"/>
        </w:rPr>
        <w:t>评标办法前附表</w:t>
      </w:r>
      <w:r>
        <w:rPr>
          <w:rStyle w:val="18"/>
          <w:rFonts w:ascii="宋体" w:hAnsi="宋体" w:cs="仿宋_GB2312"/>
          <w:color w:val="auto"/>
          <w:szCs w:val="21"/>
        </w:rPr>
        <w:t>2.2.3</w:t>
      </w:r>
      <w:r>
        <w:rPr>
          <w:rStyle w:val="18"/>
          <w:rFonts w:hint="eastAsia" w:ascii="宋体" w:hAnsi="宋体" w:cs="仿宋_GB2312"/>
          <w:color w:val="auto"/>
          <w:szCs w:val="21"/>
        </w:rPr>
        <w:t>项</w:t>
      </w:r>
      <w:r>
        <w:rPr>
          <w:rStyle w:val="18"/>
          <w:rFonts w:hint="eastAsia" w:ascii="宋体" w:hAnsi="宋体" w:cs="仿宋_GB2312"/>
          <w:color w:val="auto"/>
          <w:szCs w:val="21"/>
        </w:rPr>
        <w:fldChar w:fldCharType="end"/>
      </w:r>
      <w:r>
        <w:rPr>
          <w:rFonts w:hint="eastAsia" w:ascii="宋体" w:hAnsi="宋体" w:cs="仿宋_GB2312"/>
          <w:kern w:val="0"/>
          <w:szCs w:val="21"/>
        </w:rPr>
        <w:t>。</w:t>
      </w:r>
    </w:p>
    <w:p>
      <w:pPr>
        <w:pageBreakBefore w:val="0"/>
        <w:widowControl w:val="0"/>
        <w:kinsoku/>
        <w:wordWrap/>
        <w:overflowPunct/>
        <w:topLinePunct w:val="0"/>
        <w:autoSpaceDE w:val="0"/>
        <w:autoSpaceDN w:val="0"/>
        <w:bidi w:val="0"/>
        <w:adjustRightInd w:val="0"/>
        <w:snapToGrid/>
        <w:spacing w:line="360" w:lineRule="auto"/>
        <w:jc w:val="left"/>
        <w:textAlignment w:val="auto"/>
        <w:rPr>
          <w:rFonts w:ascii="宋体" w:cs="黑体"/>
          <w:kern w:val="0"/>
          <w:szCs w:val="21"/>
        </w:rPr>
      </w:pPr>
      <w:r>
        <w:rPr>
          <w:rFonts w:ascii="宋体" w:hAnsi="宋体" w:cs="TimesNewRomanPSMT"/>
          <w:kern w:val="0"/>
          <w:szCs w:val="21"/>
        </w:rPr>
        <w:t xml:space="preserve">2.2.4 </w:t>
      </w:r>
      <w:r>
        <w:rPr>
          <w:rFonts w:hint="eastAsia" w:ascii="宋体" w:hAnsi="宋体" w:cs="黑体"/>
          <w:kern w:val="0"/>
          <w:szCs w:val="21"/>
        </w:rPr>
        <w:t>评分标准</w:t>
      </w:r>
    </w:p>
    <w:p>
      <w:pPr>
        <w:pageBreakBefore w:val="0"/>
        <w:widowControl w:val="0"/>
        <w:kinsoku/>
        <w:wordWrap/>
        <w:overflowPunct/>
        <w:topLinePunct w:val="0"/>
        <w:autoSpaceDE w:val="0"/>
        <w:autoSpaceDN w:val="0"/>
        <w:bidi w:val="0"/>
        <w:adjustRightInd w:val="0"/>
        <w:snapToGrid/>
        <w:spacing w:line="360" w:lineRule="auto"/>
        <w:jc w:val="left"/>
        <w:textAlignment w:val="auto"/>
        <w:rPr>
          <w:rFonts w:ascii="宋体" w:cs="仿宋_GB2312"/>
          <w:kern w:val="0"/>
          <w:szCs w:val="21"/>
        </w:rPr>
      </w:pPr>
      <w:r>
        <w:rPr>
          <w:rFonts w:hint="eastAsia" w:ascii="宋体" w:hAnsi="宋体" w:cs="仿宋_GB2312"/>
          <w:kern w:val="0"/>
          <w:szCs w:val="21"/>
        </w:rPr>
        <w:t>（</w:t>
      </w:r>
      <w:r>
        <w:rPr>
          <w:rFonts w:ascii="宋体" w:hAnsi="宋体" w:cs="TimesNewRomanPSMT"/>
          <w:kern w:val="0"/>
          <w:szCs w:val="21"/>
        </w:rPr>
        <w:t>1</w:t>
      </w:r>
      <w:r>
        <w:rPr>
          <w:rFonts w:hint="eastAsia" w:ascii="宋体" w:hAnsi="宋体" w:cs="仿宋_GB2312"/>
          <w:kern w:val="0"/>
          <w:szCs w:val="21"/>
        </w:rPr>
        <w:t>）投标报价评分标准：见</w:t>
      </w:r>
      <w:r>
        <w:fldChar w:fldCharType="begin"/>
      </w:r>
      <w:r>
        <w:instrText xml:space="preserve"> HYPERLINK "file:///H:\\泰州招标文件范本\\泰州市房屋建筑和市政工程施工2016.4.docx" \l "_2.2.4(3)" </w:instrText>
      </w:r>
      <w:r>
        <w:fldChar w:fldCharType="separate"/>
      </w:r>
      <w:r>
        <w:rPr>
          <w:rStyle w:val="18"/>
          <w:rFonts w:hint="eastAsia" w:ascii="宋体" w:hAnsi="宋体" w:cs="仿宋_GB2312"/>
          <w:color w:val="auto"/>
          <w:szCs w:val="21"/>
        </w:rPr>
        <w:t>评标办法前附表</w:t>
      </w:r>
      <w:r>
        <w:rPr>
          <w:rStyle w:val="18"/>
          <w:rFonts w:ascii="宋体" w:hAnsi="宋体" w:cs="仿宋_GB2312"/>
          <w:color w:val="auto"/>
          <w:szCs w:val="21"/>
        </w:rPr>
        <w:t>2.2.4</w:t>
      </w:r>
      <w:r>
        <w:rPr>
          <w:rStyle w:val="18"/>
          <w:rFonts w:hint="eastAsia" w:ascii="宋体" w:hAnsi="宋体" w:cs="仿宋_GB2312"/>
          <w:color w:val="auto"/>
          <w:szCs w:val="21"/>
        </w:rPr>
        <w:t>项（</w:t>
      </w:r>
      <w:r>
        <w:rPr>
          <w:rStyle w:val="18"/>
          <w:rFonts w:ascii="宋体" w:hAnsi="宋体" w:cs="仿宋_GB2312"/>
          <w:color w:val="auto"/>
          <w:szCs w:val="21"/>
        </w:rPr>
        <w:t>1</w:t>
      </w:r>
      <w:r>
        <w:rPr>
          <w:rStyle w:val="18"/>
          <w:rFonts w:hint="eastAsia" w:ascii="宋体" w:hAnsi="宋体" w:cs="仿宋_GB2312"/>
          <w:color w:val="auto"/>
          <w:szCs w:val="21"/>
        </w:rPr>
        <w:t>）</w:t>
      </w:r>
      <w:r>
        <w:rPr>
          <w:rStyle w:val="18"/>
          <w:rFonts w:hint="eastAsia" w:ascii="宋体" w:hAnsi="宋体" w:cs="仿宋_GB2312"/>
          <w:color w:val="auto"/>
          <w:szCs w:val="21"/>
        </w:rPr>
        <w:fldChar w:fldCharType="end"/>
      </w:r>
      <w:r>
        <w:rPr>
          <w:rFonts w:hint="eastAsia" w:ascii="宋体" w:hAnsi="宋体" w:cs="仿宋_GB2312"/>
          <w:kern w:val="0"/>
          <w:szCs w:val="21"/>
        </w:rPr>
        <w:t>；</w:t>
      </w:r>
    </w:p>
    <w:p>
      <w:pPr>
        <w:pageBreakBefore w:val="0"/>
        <w:widowControl w:val="0"/>
        <w:kinsoku/>
        <w:wordWrap/>
        <w:overflowPunct/>
        <w:topLinePunct w:val="0"/>
        <w:autoSpaceDE w:val="0"/>
        <w:autoSpaceDN w:val="0"/>
        <w:bidi w:val="0"/>
        <w:adjustRightInd w:val="0"/>
        <w:snapToGrid/>
        <w:spacing w:line="360" w:lineRule="auto"/>
        <w:jc w:val="left"/>
        <w:textAlignment w:val="auto"/>
        <w:rPr>
          <w:rFonts w:ascii="宋体" w:cs="仿宋_GB2312"/>
          <w:kern w:val="0"/>
          <w:szCs w:val="21"/>
        </w:rPr>
      </w:pPr>
      <w:r>
        <w:rPr>
          <w:rFonts w:hint="eastAsia" w:ascii="宋体" w:hAnsi="宋体" w:cs="仿宋_GB2312"/>
          <w:kern w:val="0"/>
          <w:szCs w:val="21"/>
        </w:rPr>
        <w:t>（</w:t>
      </w:r>
      <w:r>
        <w:rPr>
          <w:rFonts w:ascii="宋体" w:hAnsi="宋体" w:cs="TimesNewRomanPSMT"/>
          <w:kern w:val="0"/>
          <w:szCs w:val="21"/>
        </w:rPr>
        <w:t>2</w:t>
      </w:r>
      <w:r>
        <w:rPr>
          <w:rFonts w:hint="eastAsia" w:ascii="宋体" w:hAnsi="宋体" w:cs="仿宋_GB2312"/>
          <w:kern w:val="0"/>
          <w:szCs w:val="21"/>
        </w:rPr>
        <w:t>）其他因素评分标准：见</w:t>
      </w:r>
      <w:r>
        <w:fldChar w:fldCharType="begin"/>
      </w:r>
      <w:r>
        <w:instrText xml:space="preserve"> HYPERLINK "file:///H:\\泰州招标文件范本\\泰州市房屋建筑和市政工程施工2016.4.docx" \l "_2.2.4(4)" </w:instrText>
      </w:r>
      <w:r>
        <w:fldChar w:fldCharType="separate"/>
      </w:r>
      <w:r>
        <w:rPr>
          <w:rStyle w:val="18"/>
          <w:rFonts w:hint="eastAsia" w:ascii="宋体" w:hAnsi="宋体" w:cs="仿宋_GB2312"/>
          <w:color w:val="auto"/>
          <w:szCs w:val="21"/>
        </w:rPr>
        <w:t>评标办法前附表</w:t>
      </w:r>
      <w:r>
        <w:rPr>
          <w:rStyle w:val="18"/>
          <w:rFonts w:ascii="宋体" w:hAnsi="宋体" w:cs="仿宋_GB2312"/>
          <w:color w:val="auto"/>
          <w:szCs w:val="21"/>
        </w:rPr>
        <w:t>2.2.4</w:t>
      </w:r>
      <w:r>
        <w:rPr>
          <w:rStyle w:val="18"/>
          <w:rFonts w:hint="eastAsia" w:ascii="宋体" w:hAnsi="宋体" w:cs="仿宋_GB2312"/>
          <w:color w:val="auto"/>
          <w:szCs w:val="21"/>
        </w:rPr>
        <w:t>项（</w:t>
      </w:r>
      <w:r>
        <w:rPr>
          <w:rStyle w:val="18"/>
          <w:rFonts w:ascii="宋体" w:hAnsi="宋体" w:cs="仿宋_GB2312"/>
          <w:color w:val="auto"/>
          <w:szCs w:val="21"/>
        </w:rPr>
        <w:t>2</w:t>
      </w:r>
      <w:r>
        <w:rPr>
          <w:rStyle w:val="18"/>
          <w:rFonts w:hint="eastAsia" w:ascii="宋体" w:hAnsi="宋体" w:cs="仿宋_GB2312"/>
          <w:color w:val="auto"/>
          <w:szCs w:val="21"/>
        </w:rPr>
        <w:t>）</w:t>
      </w:r>
      <w:r>
        <w:rPr>
          <w:rStyle w:val="18"/>
          <w:rFonts w:hint="eastAsia" w:ascii="宋体" w:hAnsi="宋体" w:cs="仿宋_GB2312"/>
          <w:color w:val="auto"/>
          <w:szCs w:val="21"/>
        </w:rPr>
        <w:fldChar w:fldCharType="end"/>
      </w:r>
      <w:r>
        <w:rPr>
          <w:rFonts w:hint="eastAsia" w:ascii="宋体" w:hAnsi="宋体" w:cs="仿宋_GB2312"/>
          <w:kern w:val="0"/>
          <w:szCs w:val="21"/>
        </w:rPr>
        <w:t>。</w:t>
      </w:r>
    </w:p>
    <w:p>
      <w:pPr>
        <w:pStyle w:val="5"/>
        <w:pageBreakBefore w:val="0"/>
        <w:widowControl w:val="0"/>
        <w:kinsoku/>
        <w:wordWrap/>
        <w:overflowPunct/>
        <w:topLinePunct w:val="0"/>
        <w:bidi w:val="0"/>
        <w:snapToGrid/>
        <w:spacing w:line="360" w:lineRule="auto"/>
        <w:textAlignment w:val="auto"/>
      </w:pPr>
      <w:bookmarkStart w:id="225" w:name="_2.2_详细评审标准"/>
      <w:bookmarkEnd w:id="225"/>
      <w:bookmarkStart w:id="226" w:name="_Toc275956125"/>
      <w:r>
        <w:rPr>
          <w:rFonts w:cs="TimesNewRomanPSMT"/>
        </w:rPr>
        <w:t xml:space="preserve">3. </w:t>
      </w:r>
      <w:r>
        <w:rPr>
          <w:rFonts w:hint="eastAsia"/>
        </w:rPr>
        <w:t>评标程序</w:t>
      </w:r>
      <w:bookmarkEnd w:id="226"/>
    </w:p>
    <w:p>
      <w:pPr>
        <w:pStyle w:val="6"/>
        <w:pageBreakBefore w:val="0"/>
        <w:widowControl w:val="0"/>
        <w:kinsoku/>
        <w:wordWrap/>
        <w:overflowPunct/>
        <w:topLinePunct w:val="0"/>
        <w:bidi w:val="0"/>
        <w:snapToGrid/>
        <w:spacing w:line="360" w:lineRule="auto"/>
        <w:textAlignment w:val="auto"/>
      </w:pPr>
      <w:bookmarkStart w:id="227" w:name="_3.1_评标准备"/>
      <w:bookmarkEnd w:id="227"/>
      <w:r>
        <w:rPr>
          <w:rFonts w:cs="TimesNewRomanPSMT"/>
        </w:rPr>
        <w:t xml:space="preserve">3.1 </w:t>
      </w:r>
      <w:r>
        <w:rPr>
          <w:rFonts w:hint="eastAsia"/>
        </w:rPr>
        <w:t>评标准备</w:t>
      </w:r>
    </w:p>
    <w:p>
      <w:pPr>
        <w:pageBreakBefore w:val="0"/>
        <w:widowControl w:val="0"/>
        <w:kinsoku/>
        <w:wordWrap/>
        <w:overflowPunct/>
        <w:topLinePunct w:val="0"/>
        <w:autoSpaceDE w:val="0"/>
        <w:autoSpaceDN w:val="0"/>
        <w:bidi w:val="0"/>
        <w:adjustRightInd w:val="0"/>
        <w:snapToGrid/>
        <w:spacing w:line="360" w:lineRule="auto"/>
        <w:jc w:val="left"/>
        <w:textAlignment w:val="auto"/>
        <w:rPr>
          <w:rFonts w:ascii="宋体" w:cs="TimesNewRomanPSMT"/>
          <w:kern w:val="0"/>
          <w:szCs w:val="21"/>
        </w:rPr>
      </w:pPr>
      <w:r>
        <w:rPr>
          <w:rFonts w:ascii="宋体" w:hAnsi="宋体" w:cs="TimesNewRomanPSMT"/>
          <w:kern w:val="0"/>
          <w:szCs w:val="21"/>
        </w:rPr>
        <w:t xml:space="preserve">3.1.1 </w:t>
      </w:r>
      <w:r>
        <w:rPr>
          <w:rFonts w:hint="eastAsia" w:ascii="宋体" w:hAnsi="宋体" w:cs="TimesNewRomanPSMT"/>
          <w:kern w:val="0"/>
          <w:szCs w:val="21"/>
        </w:rPr>
        <w:t>评标委员会由招标人依法组建。评标委员会负责人由评标委员会成员推举产生。评标委员会成员应遵守有关法律、法规、规章，遵守评标纪律和其他评标有关规定。</w:t>
      </w:r>
    </w:p>
    <w:p>
      <w:pPr>
        <w:pageBreakBefore w:val="0"/>
        <w:widowControl w:val="0"/>
        <w:kinsoku/>
        <w:wordWrap/>
        <w:overflowPunct/>
        <w:topLinePunct w:val="0"/>
        <w:autoSpaceDE w:val="0"/>
        <w:autoSpaceDN w:val="0"/>
        <w:bidi w:val="0"/>
        <w:adjustRightInd w:val="0"/>
        <w:snapToGrid/>
        <w:spacing w:line="360" w:lineRule="auto"/>
        <w:jc w:val="left"/>
        <w:textAlignment w:val="auto"/>
        <w:rPr>
          <w:rFonts w:ascii="宋体" w:cs="TimesNewRomanPSMT"/>
          <w:kern w:val="0"/>
          <w:szCs w:val="21"/>
        </w:rPr>
      </w:pPr>
      <w:r>
        <w:rPr>
          <w:rFonts w:ascii="宋体" w:hAnsi="宋体" w:cs="TimesNewRomanPSMT"/>
          <w:kern w:val="0"/>
          <w:szCs w:val="21"/>
        </w:rPr>
        <w:t xml:space="preserve">3.1.2 </w:t>
      </w:r>
      <w:r>
        <w:rPr>
          <w:rFonts w:hint="eastAsia" w:ascii="宋体" w:hAnsi="宋体" w:cs="TimesNewRomanPSMT"/>
          <w:kern w:val="0"/>
          <w:szCs w:val="21"/>
        </w:rPr>
        <w:t>招标人应向评标委员会提供与评标有关的工程项目信息和资料，所提供的资料和信息不得带有不公正、影响或排斥某些投标人的情况。</w:t>
      </w:r>
    </w:p>
    <w:p>
      <w:pPr>
        <w:pageBreakBefore w:val="0"/>
        <w:widowControl w:val="0"/>
        <w:kinsoku/>
        <w:wordWrap/>
        <w:overflowPunct/>
        <w:topLinePunct w:val="0"/>
        <w:autoSpaceDE w:val="0"/>
        <w:autoSpaceDN w:val="0"/>
        <w:bidi w:val="0"/>
        <w:adjustRightInd w:val="0"/>
        <w:snapToGrid/>
        <w:spacing w:line="360" w:lineRule="auto"/>
        <w:jc w:val="left"/>
        <w:textAlignment w:val="auto"/>
        <w:rPr>
          <w:rFonts w:ascii="宋体" w:cs="TimesNewRomanPSMT"/>
          <w:kern w:val="0"/>
          <w:szCs w:val="21"/>
        </w:rPr>
      </w:pPr>
      <w:r>
        <w:rPr>
          <w:rFonts w:ascii="宋体" w:hAnsi="宋体" w:cs="TimesNewRomanPSMT"/>
          <w:kern w:val="0"/>
          <w:szCs w:val="21"/>
        </w:rPr>
        <w:t xml:space="preserve">3.1.3 </w:t>
      </w:r>
      <w:r>
        <w:rPr>
          <w:rFonts w:hint="eastAsia" w:ascii="宋体" w:hAnsi="宋体" w:cs="TimesNewRomanPSMT"/>
          <w:kern w:val="0"/>
          <w:szCs w:val="21"/>
        </w:rPr>
        <w:t>评标委员会成员应独立研读招标文件。对招标文件中存在的问题的处理应由评标委员会讨论决定。评标委员会可要求招标人对招标文件的内容作必要的澄清、说明，但澄清、说明不得改变招标文件的实质内容。</w:t>
      </w:r>
    </w:p>
    <w:p>
      <w:pPr>
        <w:pStyle w:val="6"/>
        <w:pageBreakBefore w:val="0"/>
        <w:widowControl w:val="0"/>
        <w:kinsoku/>
        <w:wordWrap/>
        <w:overflowPunct/>
        <w:topLinePunct w:val="0"/>
        <w:bidi w:val="0"/>
        <w:snapToGrid/>
        <w:spacing w:line="360" w:lineRule="auto"/>
        <w:textAlignment w:val="auto"/>
        <w:rPr>
          <w:rFonts w:cs="黑体"/>
        </w:rPr>
      </w:pPr>
      <w:bookmarkStart w:id="228" w:name="_3.2_初步评审"/>
      <w:bookmarkEnd w:id="228"/>
      <w:r>
        <w:t xml:space="preserve">3.2 </w:t>
      </w:r>
      <w:r>
        <w:rPr>
          <w:rFonts w:hint="eastAsia"/>
        </w:rPr>
        <w:t>初步评审</w:t>
      </w:r>
    </w:p>
    <w:p>
      <w:pPr>
        <w:pageBreakBefore w:val="0"/>
        <w:widowControl w:val="0"/>
        <w:kinsoku/>
        <w:wordWrap/>
        <w:overflowPunct/>
        <w:topLinePunct w:val="0"/>
        <w:autoSpaceDE w:val="0"/>
        <w:autoSpaceDN w:val="0"/>
        <w:bidi w:val="0"/>
        <w:adjustRightInd w:val="0"/>
        <w:snapToGrid/>
        <w:spacing w:line="360" w:lineRule="auto"/>
        <w:jc w:val="left"/>
        <w:textAlignment w:val="auto"/>
        <w:rPr>
          <w:rFonts w:ascii="宋体" w:cs="仿宋_GB2312"/>
          <w:kern w:val="0"/>
          <w:szCs w:val="21"/>
        </w:rPr>
      </w:pPr>
      <w:r>
        <w:rPr>
          <w:rFonts w:ascii="宋体" w:hAnsi="宋体" w:cs="仿宋_GB2312"/>
          <w:kern w:val="0"/>
          <w:szCs w:val="21"/>
        </w:rPr>
        <w:t xml:space="preserve">3.2.1 </w:t>
      </w:r>
      <w:r>
        <w:rPr>
          <w:rFonts w:hint="eastAsia" w:ascii="宋体" w:hAnsi="宋体" w:cs="仿宋_GB2312"/>
          <w:kern w:val="0"/>
          <w:szCs w:val="21"/>
        </w:rPr>
        <w:t>评标委员会与投标人信息库资料进行核对。评标委员会依据本章第</w:t>
      </w:r>
      <w:r>
        <w:rPr>
          <w:rFonts w:ascii="宋体" w:hAnsi="宋体" w:cs="TimesNewRomanPSMT"/>
          <w:kern w:val="0"/>
          <w:szCs w:val="21"/>
        </w:rPr>
        <w:t xml:space="preserve">2.1 </w:t>
      </w:r>
      <w:r>
        <w:rPr>
          <w:rFonts w:hint="eastAsia" w:ascii="宋体" w:hAnsi="宋体" w:cs="仿宋_GB2312"/>
          <w:kern w:val="0"/>
          <w:szCs w:val="21"/>
        </w:rPr>
        <w:t>款规定的标准对投标文件进行初步评审。有一项不符合评审标准的，作否决投标处理。（适用于未进行资格预审的）</w:t>
      </w:r>
    </w:p>
    <w:p>
      <w:pPr>
        <w:pageBreakBefore w:val="0"/>
        <w:widowControl w:val="0"/>
        <w:kinsoku/>
        <w:wordWrap/>
        <w:overflowPunct/>
        <w:topLinePunct w:val="0"/>
        <w:autoSpaceDE w:val="0"/>
        <w:autoSpaceDN w:val="0"/>
        <w:bidi w:val="0"/>
        <w:adjustRightInd w:val="0"/>
        <w:snapToGrid/>
        <w:spacing w:line="360" w:lineRule="auto"/>
        <w:jc w:val="left"/>
        <w:textAlignment w:val="auto"/>
        <w:rPr>
          <w:rFonts w:ascii="宋体" w:cs="仿宋_GB2312"/>
          <w:kern w:val="0"/>
          <w:szCs w:val="21"/>
        </w:rPr>
      </w:pPr>
      <w:r>
        <w:rPr>
          <w:rFonts w:ascii="宋体" w:hAnsi="宋体" w:cs="TimesNewRomanPSMT"/>
          <w:kern w:val="0"/>
          <w:szCs w:val="21"/>
        </w:rPr>
        <w:t>3.2.2</w:t>
      </w:r>
      <w:r>
        <w:rPr>
          <w:rFonts w:hint="eastAsia" w:ascii="宋体" w:hAnsi="宋体" w:cs="仿宋_GB2312"/>
          <w:kern w:val="0"/>
          <w:szCs w:val="21"/>
        </w:rPr>
        <w:t>评标委员会依据本章第</w:t>
      </w:r>
      <w:r>
        <w:rPr>
          <w:rFonts w:ascii="宋体" w:hAnsi="宋体" w:cs="TimesNewRomanPSMT"/>
          <w:kern w:val="0"/>
          <w:szCs w:val="21"/>
        </w:rPr>
        <w:t xml:space="preserve">2.1.1 </w:t>
      </w:r>
      <w:r>
        <w:rPr>
          <w:rFonts w:hint="eastAsia" w:ascii="宋体" w:hAnsi="宋体" w:cs="仿宋_GB2312"/>
          <w:kern w:val="0"/>
          <w:szCs w:val="21"/>
        </w:rPr>
        <w:t>项、第</w:t>
      </w:r>
      <w:r>
        <w:rPr>
          <w:rFonts w:ascii="宋体" w:hAnsi="宋体" w:cs="TimesNewRomanPSMT"/>
          <w:kern w:val="0"/>
          <w:szCs w:val="21"/>
        </w:rPr>
        <w:t xml:space="preserve">2.1.3 </w:t>
      </w:r>
      <w:r>
        <w:rPr>
          <w:rFonts w:hint="eastAsia" w:ascii="宋体" w:hAnsi="宋体" w:cs="仿宋_GB2312"/>
          <w:kern w:val="0"/>
          <w:szCs w:val="21"/>
        </w:rPr>
        <w:t>项、第</w:t>
      </w:r>
      <w:r>
        <w:rPr>
          <w:rFonts w:ascii="宋体" w:hAnsi="宋体" w:cs="TimesNewRomanPSMT"/>
          <w:kern w:val="0"/>
          <w:szCs w:val="21"/>
        </w:rPr>
        <w:t xml:space="preserve">2.1.4 </w:t>
      </w:r>
      <w:r>
        <w:rPr>
          <w:rFonts w:hint="eastAsia" w:ascii="宋体" w:hAnsi="宋体" w:cs="仿宋_GB2312"/>
          <w:kern w:val="0"/>
          <w:szCs w:val="21"/>
        </w:rPr>
        <w:t>项规定的标准对投标文件进行初步评审。有一项不符合评审标准的，作否决投标处理。当投标人资格预审申请文件的内容发生重大变化时，评标委员会依据本章第</w:t>
      </w:r>
      <w:r>
        <w:rPr>
          <w:rFonts w:ascii="宋体" w:hAnsi="宋体" w:cs="TimesNewRomanPSMT"/>
          <w:kern w:val="0"/>
          <w:szCs w:val="21"/>
        </w:rPr>
        <w:t xml:space="preserve">2.1.2 </w:t>
      </w:r>
      <w:r>
        <w:rPr>
          <w:rFonts w:hint="eastAsia" w:ascii="宋体" w:hAnsi="宋体" w:cs="仿宋_GB2312"/>
          <w:kern w:val="0"/>
          <w:szCs w:val="21"/>
        </w:rPr>
        <w:t>项规定的标准对其更新资料进行评审（适用于已进行资格预审的）。</w:t>
      </w:r>
    </w:p>
    <w:p>
      <w:pPr>
        <w:pageBreakBefore w:val="0"/>
        <w:widowControl w:val="0"/>
        <w:kinsoku/>
        <w:wordWrap/>
        <w:overflowPunct/>
        <w:topLinePunct w:val="0"/>
        <w:autoSpaceDE w:val="0"/>
        <w:autoSpaceDN w:val="0"/>
        <w:bidi w:val="0"/>
        <w:adjustRightInd w:val="0"/>
        <w:snapToGrid/>
        <w:spacing w:line="360" w:lineRule="auto"/>
        <w:jc w:val="left"/>
        <w:textAlignment w:val="auto"/>
        <w:rPr>
          <w:rFonts w:ascii="宋体" w:cs="仿宋_GB2312"/>
          <w:kern w:val="0"/>
          <w:szCs w:val="21"/>
        </w:rPr>
      </w:pPr>
      <w:r>
        <w:rPr>
          <w:rFonts w:ascii="宋体" w:hAnsi="宋体" w:cs="TimesNewRomanPSMT"/>
          <w:kern w:val="0"/>
          <w:szCs w:val="21"/>
        </w:rPr>
        <w:t xml:space="preserve">3.2.3 </w:t>
      </w:r>
      <w:r>
        <w:rPr>
          <w:rFonts w:hint="eastAsia" w:ascii="宋体" w:hAnsi="宋体" w:cs="仿宋_GB2312"/>
          <w:kern w:val="0"/>
          <w:szCs w:val="21"/>
        </w:rPr>
        <w:t>投标人有以下情形之一的，其</w:t>
      </w:r>
      <w:r>
        <w:rPr>
          <w:rFonts w:hint="eastAsia" w:ascii="宋体" w:hAnsi="宋体" w:cs="仿宋_GB2312"/>
          <w:b/>
          <w:bCs/>
          <w:kern w:val="0"/>
          <w:szCs w:val="21"/>
        </w:rPr>
        <w:t>投标作否决投标处理</w:t>
      </w:r>
      <w:r>
        <w:rPr>
          <w:rFonts w:hint="eastAsia" w:ascii="宋体" w:hAnsi="宋体" w:cs="仿宋_GB2312"/>
          <w:kern w:val="0"/>
          <w:szCs w:val="21"/>
        </w:rPr>
        <w:t>：</w:t>
      </w:r>
    </w:p>
    <w:p>
      <w:pPr>
        <w:pageBreakBefore w:val="0"/>
        <w:widowControl w:val="0"/>
        <w:kinsoku/>
        <w:wordWrap/>
        <w:overflowPunct/>
        <w:topLinePunct w:val="0"/>
        <w:autoSpaceDE w:val="0"/>
        <w:autoSpaceDN w:val="0"/>
        <w:bidi w:val="0"/>
        <w:adjustRightInd w:val="0"/>
        <w:snapToGrid/>
        <w:spacing w:line="360" w:lineRule="auto"/>
        <w:jc w:val="left"/>
        <w:textAlignment w:val="auto"/>
        <w:rPr>
          <w:rFonts w:ascii="宋体" w:cs="仿宋_GB2312"/>
          <w:kern w:val="0"/>
          <w:szCs w:val="21"/>
        </w:rPr>
      </w:pPr>
      <w:r>
        <w:rPr>
          <w:rFonts w:hint="eastAsia" w:ascii="宋体" w:hAnsi="宋体" w:cs="仿宋_GB2312"/>
          <w:kern w:val="0"/>
          <w:szCs w:val="21"/>
        </w:rPr>
        <w:t>（</w:t>
      </w:r>
      <w:r>
        <w:rPr>
          <w:rFonts w:ascii="宋体" w:hAnsi="宋体" w:cs="TimesNewRomanPSMT"/>
          <w:kern w:val="0"/>
          <w:szCs w:val="21"/>
        </w:rPr>
        <w:t>1</w:t>
      </w:r>
      <w:r>
        <w:rPr>
          <w:rFonts w:hint="eastAsia" w:ascii="宋体" w:hAnsi="宋体" w:cs="仿宋_GB2312"/>
          <w:kern w:val="0"/>
          <w:szCs w:val="21"/>
        </w:rPr>
        <w:t>）第二章</w:t>
      </w:r>
      <w:r>
        <w:fldChar w:fldCharType="begin"/>
      </w:r>
      <w:r>
        <w:instrText xml:space="preserve"> HYPERLINK "file:///H:\\泰州招标文件范本\\泰州市房屋建筑和市政工程施工2016.4.docx" \l "_1.4_投标人资格要求（适用于已进行资格预审的）" </w:instrText>
      </w:r>
      <w:r>
        <w:fldChar w:fldCharType="separate"/>
      </w:r>
      <w:r>
        <w:rPr>
          <w:rStyle w:val="18"/>
          <w:rFonts w:hint="eastAsia" w:ascii="宋体" w:hAnsi="宋体" w:cs="仿宋_GB2312"/>
          <w:color w:val="auto"/>
          <w:szCs w:val="21"/>
        </w:rPr>
        <w:t>投标人须知第</w:t>
      </w:r>
      <w:r>
        <w:rPr>
          <w:rStyle w:val="18"/>
          <w:rFonts w:ascii="宋体" w:hAnsi="宋体" w:cs="TimesNewRomanPSMT"/>
          <w:color w:val="auto"/>
          <w:szCs w:val="21"/>
        </w:rPr>
        <w:t>1.4.1</w:t>
      </w:r>
      <w:r>
        <w:rPr>
          <w:rStyle w:val="18"/>
          <w:rFonts w:hint="eastAsia" w:ascii="宋体" w:hAnsi="宋体" w:cs="仿宋_GB2312"/>
          <w:color w:val="auto"/>
          <w:szCs w:val="21"/>
        </w:rPr>
        <w:t>项</w:t>
      </w:r>
      <w:r>
        <w:rPr>
          <w:rStyle w:val="18"/>
          <w:rFonts w:hint="eastAsia" w:ascii="宋体" w:hAnsi="宋体" w:cs="仿宋_GB2312"/>
          <w:color w:val="auto"/>
          <w:szCs w:val="21"/>
        </w:rPr>
        <w:fldChar w:fldCharType="end"/>
      </w:r>
      <w:r>
        <w:rPr>
          <w:rFonts w:hint="eastAsia" w:ascii="宋体" w:hAnsi="宋体" w:cs="仿宋_GB2312"/>
          <w:kern w:val="0"/>
          <w:szCs w:val="21"/>
        </w:rPr>
        <w:t>规定的任何一种情形的；</w:t>
      </w:r>
    </w:p>
    <w:p>
      <w:pPr>
        <w:pageBreakBefore w:val="0"/>
        <w:widowControl w:val="0"/>
        <w:kinsoku/>
        <w:wordWrap/>
        <w:overflowPunct/>
        <w:topLinePunct w:val="0"/>
        <w:autoSpaceDE w:val="0"/>
        <w:autoSpaceDN w:val="0"/>
        <w:bidi w:val="0"/>
        <w:adjustRightInd w:val="0"/>
        <w:snapToGrid/>
        <w:spacing w:line="360" w:lineRule="auto"/>
        <w:jc w:val="left"/>
        <w:textAlignment w:val="auto"/>
        <w:rPr>
          <w:rFonts w:ascii="宋体" w:cs="仿宋_GB2312"/>
          <w:kern w:val="0"/>
          <w:szCs w:val="21"/>
        </w:rPr>
      </w:pPr>
      <w:r>
        <w:rPr>
          <w:rFonts w:hint="eastAsia" w:ascii="宋体" w:hAnsi="宋体" w:cs="仿宋_GB2312"/>
          <w:kern w:val="0"/>
          <w:szCs w:val="21"/>
        </w:rPr>
        <w:t>（</w:t>
      </w:r>
      <w:r>
        <w:rPr>
          <w:rFonts w:ascii="宋体" w:hAnsi="宋体" w:cs="TimesNewRomanPSMT"/>
          <w:kern w:val="0"/>
          <w:szCs w:val="21"/>
        </w:rPr>
        <w:t>2</w:t>
      </w:r>
      <w:r>
        <w:rPr>
          <w:rFonts w:hint="eastAsia" w:ascii="宋体" w:hAnsi="宋体" w:cs="仿宋_GB2312"/>
          <w:kern w:val="0"/>
          <w:szCs w:val="21"/>
        </w:rPr>
        <w:t>）串通投标或弄虚作假或有其他违法行为的；</w:t>
      </w:r>
    </w:p>
    <w:p>
      <w:pPr>
        <w:pageBreakBefore w:val="0"/>
        <w:widowControl w:val="0"/>
        <w:kinsoku/>
        <w:wordWrap/>
        <w:overflowPunct/>
        <w:topLinePunct w:val="0"/>
        <w:autoSpaceDE w:val="0"/>
        <w:autoSpaceDN w:val="0"/>
        <w:bidi w:val="0"/>
        <w:adjustRightInd w:val="0"/>
        <w:snapToGrid/>
        <w:spacing w:line="360" w:lineRule="auto"/>
        <w:jc w:val="left"/>
        <w:textAlignment w:val="auto"/>
        <w:rPr>
          <w:rFonts w:ascii="宋体" w:cs="仿宋_GB2312"/>
          <w:kern w:val="0"/>
          <w:szCs w:val="21"/>
        </w:rPr>
      </w:pPr>
      <w:r>
        <w:rPr>
          <w:rFonts w:hint="eastAsia" w:ascii="宋体" w:hAnsi="宋体" w:cs="仿宋_GB2312"/>
          <w:kern w:val="0"/>
          <w:szCs w:val="21"/>
        </w:rPr>
        <w:t>（</w:t>
      </w:r>
      <w:r>
        <w:rPr>
          <w:rFonts w:ascii="宋体" w:hAnsi="宋体" w:cs="TimesNewRomanPSMT"/>
          <w:kern w:val="0"/>
          <w:szCs w:val="21"/>
        </w:rPr>
        <w:t>3</w:t>
      </w:r>
      <w:r>
        <w:rPr>
          <w:rFonts w:hint="eastAsia" w:ascii="宋体" w:hAnsi="宋体" w:cs="仿宋_GB2312"/>
          <w:kern w:val="0"/>
          <w:szCs w:val="21"/>
        </w:rPr>
        <w:t>）不按评标委员会要求澄清、说明或补正的。</w:t>
      </w:r>
    </w:p>
    <w:p>
      <w:pPr>
        <w:pageBreakBefore w:val="0"/>
        <w:widowControl w:val="0"/>
        <w:kinsoku/>
        <w:wordWrap/>
        <w:overflowPunct/>
        <w:topLinePunct w:val="0"/>
        <w:autoSpaceDE w:val="0"/>
        <w:autoSpaceDN w:val="0"/>
        <w:bidi w:val="0"/>
        <w:adjustRightInd w:val="0"/>
        <w:snapToGrid/>
        <w:spacing w:line="360" w:lineRule="auto"/>
        <w:jc w:val="left"/>
        <w:textAlignment w:val="auto"/>
        <w:rPr>
          <w:rFonts w:ascii="宋体" w:cs="仿宋_GB2312"/>
          <w:kern w:val="0"/>
          <w:szCs w:val="21"/>
        </w:rPr>
      </w:pPr>
      <w:r>
        <w:rPr>
          <w:rFonts w:ascii="宋体" w:hAnsi="宋体" w:cs="TimesNewRomanPSMT"/>
          <w:kern w:val="0"/>
          <w:szCs w:val="21"/>
        </w:rPr>
        <w:t xml:space="preserve">3.2.4 </w:t>
      </w:r>
      <w:r>
        <w:rPr>
          <w:rFonts w:hint="eastAsia" w:ascii="宋体" w:hAnsi="宋体" w:cs="仿宋_GB2312"/>
          <w:kern w:val="0"/>
          <w:szCs w:val="21"/>
        </w:rPr>
        <w:t>投标报价有算术错误的，评标委员会按以下原则对投标报价进行修正，如修正后的投标总报价高于招标人设置的最高限价，则应按</w:t>
      </w:r>
      <w:r>
        <w:rPr>
          <w:rFonts w:hint="eastAsia" w:ascii="宋体" w:hAnsi="宋体" w:cs="仿宋_GB2312"/>
          <w:b/>
          <w:bCs/>
          <w:kern w:val="0"/>
          <w:szCs w:val="21"/>
        </w:rPr>
        <w:t>否决投标处理</w:t>
      </w:r>
      <w:r>
        <w:rPr>
          <w:rFonts w:hint="eastAsia" w:ascii="宋体" w:hAnsi="宋体" w:cs="仿宋_GB2312"/>
          <w:kern w:val="0"/>
          <w:szCs w:val="21"/>
        </w:rPr>
        <w:t>。对存在算术性错误的投标报价，经修正后，评标委员会应书面通知投标人确认。修正的价格经投标人确认后具有约束力。投标人不接受修正价格的，其投标作</w:t>
      </w:r>
      <w:r>
        <w:rPr>
          <w:rFonts w:hint="eastAsia" w:ascii="宋体" w:hAnsi="宋体" w:cs="仿宋_GB2312"/>
          <w:b/>
          <w:bCs/>
          <w:kern w:val="0"/>
          <w:szCs w:val="21"/>
        </w:rPr>
        <w:t>否决投标处理</w:t>
      </w:r>
      <w:r>
        <w:rPr>
          <w:rFonts w:hint="eastAsia" w:ascii="宋体" w:hAnsi="宋体" w:cs="仿宋_GB2312"/>
          <w:kern w:val="0"/>
          <w:szCs w:val="21"/>
        </w:rPr>
        <w:t>。</w:t>
      </w:r>
    </w:p>
    <w:p>
      <w:pPr>
        <w:pageBreakBefore w:val="0"/>
        <w:widowControl w:val="0"/>
        <w:kinsoku/>
        <w:wordWrap/>
        <w:overflowPunct/>
        <w:topLinePunct w:val="0"/>
        <w:autoSpaceDE w:val="0"/>
        <w:autoSpaceDN w:val="0"/>
        <w:bidi w:val="0"/>
        <w:adjustRightInd w:val="0"/>
        <w:snapToGrid/>
        <w:spacing w:line="360" w:lineRule="auto"/>
        <w:ind w:firstLine="210" w:firstLineChars="100"/>
        <w:jc w:val="left"/>
        <w:textAlignment w:val="auto"/>
        <w:rPr>
          <w:rFonts w:ascii="宋体" w:cs="仿宋_GB2312"/>
          <w:kern w:val="0"/>
          <w:szCs w:val="21"/>
        </w:rPr>
      </w:pPr>
      <w:r>
        <w:rPr>
          <w:rFonts w:hint="eastAsia" w:ascii="宋体" w:hAnsi="宋体" w:cs="仿宋_GB2312"/>
          <w:kern w:val="0"/>
          <w:szCs w:val="21"/>
        </w:rPr>
        <w:t>（</w:t>
      </w:r>
      <w:r>
        <w:rPr>
          <w:rFonts w:ascii="宋体" w:hAnsi="宋体" w:cs="TimesNewRomanPSMT"/>
          <w:kern w:val="0"/>
          <w:szCs w:val="21"/>
        </w:rPr>
        <w:t>1</w:t>
      </w:r>
      <w:r>
        <w:rPr>
          <w:rFonts w:hint="eastAsia" w:ascii="宋体" w:hAnsi="宋体" w:cs="仿宋_GB2312"/>
          <w:kern w:val="0"/>
          <w:szCs w:val="21"/>
        </w:rPr>
        <w:t>）投标文件中的大写金额与小写金额不一致的，以大写金额为准；</w:t>
      </w:r>
    </w:p>
    <w:p>
      <w:pPr>
        <w:pageBreakBefore w:val="0"/>
        <w:widowControl w:val="0"/>
        <w:kinsoku/>
        <w:wordWrap/>
        <w:overflowPunct/>
        <w:topLinePunct w:val="0"/>
        <w:autoSpaceDE w:val="0"/>
        <w:autoSpaceDN w:val="0"/>
        <w:bidi w:val="0"/>
        <w:adjustRightInd w:val="0"/>
        <w:snapToGrid/>
        <w:spacing w:line="360" w:lineRule="auto"/>
        <w:ind w:firstLine="210" w:firstLineChars="100"/>
        <w:jc w:val="left"/>
        <w:textAlignment w:val="auto"/>
        <w:rPr>
          <w:rFonts w:ascii="宋体" w:cs="仿宋_GB2312"/>
          <w:kern w:val="0"/>
          <w:szCs w:val="21"/>
        </w:rPr>
      </w:pPr>
      <w:r>
        <w:rPr>
          <w:rFonts w:hint="eastAsia" w:ascii="宋体" w:hAnsi="宋体" w:cs="仿宋_GB2312"/>
          <w:kern w:val="0"/>
          <w:szCs w:val="21"/>
        </w:rPr>
        <w:t>（</w:t>
      </w:r>
      <w:r>
        <w:rPr>
          <w:rFonts w:ascii="宋体" w:hAnsi="宋体" w:cs="TimesNewRomanPSMT"/>
          <w:kern w:val="0"/>
          <w:szCs w:val="21"/>
        </w:rPr>
        <w:t>2</w:t>
      </w:r>
      <w:r>
        <w:rPr>
          <w:rFonts w:hint="eastAsia" w:ascii="宋体" w:hAnsi="宋体" w:cs="仿宋_GB2312"/>
          <w:kern w:val="0"/>
          <w:szCs w:val="21"/>
        </w:rPr>
        <w:t>）总价金额与依据单价计算出的结果不一致的，以单价金额为准修正总价，但单价金额小数点有明显错误的除外。</w:t>
      </w:r>
    </w:p>
    <w:p>
      <w:pPr>
        <w:pStyle w:val="6"/>
        <w:pageBreakBefore w:val="0"/>
        <w:widowControl w:val="0"/>
        <w:kinsoku/>
        <w:wordWrap/>
        <w:overflowPunct/>
        <w:topLinePunct w:val="0"/>
        <w:bidi w:val="0"/>
        <w:snapToGrid/>
        <w:spacing w:line="360" w:lineRule="auto"/>
        <w:textAlignment w:val="auto"/>
      </w:pPr>
      <w:bookmarkStart w:id="229" w:name="_3.3_详细评审"/>
      <w:bookmarkEnd w:id="229"/>
      <w:r>
        <w:rPr>
          <w:rFonts w:cs="TimesNewRomanPSMT"/>
        </w:rPr>
        <w:t xml:space="preserve">3.3 </w:t>
      </w:r>
      <w:r>
        <w:rPr>
          <w:rFonts w:hint="eastAsia"/>
        </w:rPr>
        <w:t>详细评审</w:t>
      </w:r>
    </w:p>
    <w:p>
      <w:pPr>
        <w:pageBreakBefore w:val="0"/>
        <w:widowControl w:val="0"/>
        <w:kinsoku/>
        <w:wordWrap/>
        <w:overflowPunct/>
        <w:topLinePunct w:val="0"/>
        <w:autoSpaceDE w:val="0"/>
        <w:autoSpaceDN w:val="0"/>
        <w:bidi w:val="0"/>
        <w:adjustRightInd w:val="0"/>
        <w:snapToGrid/>
        <w:spacing w:line="360" w:lineRule="auto"/>
        <w:jc w:val="left"/>
        <w:textAlignment w:val="auto"/>
        <w:rPr>
          <w:rFonts w:ascii="宋体" w:cs="仿宋_GB2312"/>
          <w:kern w:val="0"/>
          <w:szCs w:val="21"/>
        </w:rPr>
      </w:pPr>
      <w:r>
        <w:rPr>
          <w:rFonts w:ascii="宋体" w:hAnsi="宋体" w:cs="TimesNewRomanPSMT"/>
          <w:kern w:val="0"/>
          <w:szCs w:val="21"/>
        </w:rPr>
        <w:t xml:space="preserve">3.3.1 </w:t>
      </w:r>
      <w:r>
        <w:rPr>
          <w:rFonts w:hint="eastAsia" w:ascii="宋体" w:hAnsi="宋体" w:cs="仿宋_GB2312"/>
          <w:kern w:val="0"/>
          <w:szCs w:val="21"/>
        </w:rPr>
        <w:t>评标委员会发现投标人的报价明显低于其他投标报价，或者在设有标底（招标控制价）时明显低于标底（招标控制价），使得其投标报价可能低于其成本的，应当根据本章节附件</w:t>
      </w:r>
      <w:r>
        <w:rPr>
          <w:rFonts w:ascii="宋体" w:hAnsi="宋体" w:cs="仿宋_GB2312"/>
          <w:kern w:val="0"/>
          <w:szCs w:val="21"/>
        </w:rPr>
        <w:t>C</w:t>
      </w:r>
      <w:r>
        <w:rPr>
          <w:rFonts w:hint="eastAsia" w:ascii="宋体" w:hAnsi="宋体" w:cs="仿宋_GB2312"/>
          <w:kern w:val="0"/>
          <w:szCs w:val="21"/>
        </w:rPr>
        <w:t>中规定的程序、标准和方法</w:t>
      </w:r>
      <w:r>
        <w:rPr>
          <w:rFonts w:ascii="宋体" w:cs="仿宋_GB2312"/>
          <w:kern w:val="0"/>
          <w:szCs w:val="21"/>
        </w:rPr>
        <w:t>,</w:t>
      </w:r>
      <w:r>
        <w:rPr>
          <w:rFonts w:hint="eastAsia" w:ascii="宋体" w:hAnsi="宋体" w:cs="仿宋_GB2312"/>
          <w:kern w:val="0"/>
          <w:szCs w:val="21"/>
        </w:rPr>
        <w:t>判断投标报价是否低于其成本。由评标委员会认定投标人以低于成本竞标的</w:t>
      </w:r>
      <w:r>
        <w:rPr>
          <w:rFonts w:ascii="宋体" w:cs="仿宋_GB2312"/>
          <w:kern w:val="0"/>
          <w:szCs w:val="21"/>
        </w:rPr>
        <w:t>,</w:t>
      </w:r>
      <w:r>
        <w:rPr>
          <w:rFonts w:hint="eastAsia" w:ascii="宋体" w:hAnsi="宋体" w:cs="仿宋_GB2312"/>
          <w:kern w:val="0"/>
          <w:szCs w:val="21"/>
        </w:rPr>
        <w:t>其投标作</w:t>
      </w:r>
      <w:r>
        <w:rPr>
          <w:rFonts w:hint="eastAsia" w:ascii="宋体" w:hAnsi="宋体" w:cs="仿宋_GB2312"/>
          <w:b/>
          <w:bCs/>
          <w:kern w:val="0"/>
          <w:szCs w:val="21"/>
        </w:rPr>
        <w:t>否决投标处理</w:t>
      </w:r>
      <w:r>
        <w:rPr>
          <w:rFonts w:hint="eastAsia" w:ascii="宋体" w:hAnsi="宋体" w:cs="仿宋_GB2312"/>
          <w:kern w:val="0"/>
          <w:szCs w:val="21"/>
        </w:rPr>
        <w:t>。</w:t>
      </w:r>
    </w:p>
    <w:p>
      <w:pPr>
        <w:pageBreakBefore w:val="0"/>
        <w:widowControl w:val="0"/>
        <w:kinsoku/>
        <w:wordWrap/>
        <w:overflowPunct/>
        <w:topLinePunct w:val="0"/>
        <w:autoSpaceDE w:val="0"/>
        <w:autoSpaceDN w:val="0"/>
        <w:bidi w:val="0"/>
        <w:adjustRightInd w:val="0"/>
        <w:snapToGrid/>
        <w:spacing w:line="360" w:lineRule="auto"/>
        <w:jc w:val="left"/>
        <w:textAlignment w:val="auto"/>
        <w:rPr>
          <w:rFonts w:ascii="宋体" w:cs="仿宋_GB2312"/>
          <w:kern w:val="0"/>
          <w:szCs w:val="21"/>
        </w:rPr>
      </w:pPr>
      <w:r>
        <w:rPr>
          <w:rFonts w:ascii="宋体" w:hAnsi="宋体" w:cs="TimesNewRomanPSMT"/>
          <w:kern w:val="0"/>
          <w:szCs w:val="21"/>
        </w:rPr>
        <w:t xml:space="preserve">3.3.2 </w:t>
      </w:r>
      <w:r>
        <w:rPr>
          <w:rFonts w:hint="eastAsia" w:ascii="宋体" w:hAnsi="宋体" w:cs="仿宋_GB2312"/>
          <w:kern w:val="0"/>
          <w:szCs w:val="21"/>
        </w:rPr>
        <w:t>评标委员会按</w:t>
      </w:r>
      <w:r>
        <w:fldChar w:fldCharType="begin"/>
      </w:r>
      <w:r>
        <w:instrText xml:space="preserve"> HYPERLINK "file:///H:\\泰州招标文件范本\\泰州市房屋建筑和市政工程施工2016.4.docx" \l "_2.2.1" </w:instrText>
      </w:r>
      <w:r>
        <w:fldChar w:fldCharType="separate"/>
      </w:r>
      <w:r>
        <w:rPr>
          <w:rStyle w:val="18"/>
          <w:rFonts w:hint="eastAsia" w:ascii="宋体" w:hAnsi="宋体" w:cs="仿宋_GB2312"/>
          <w:color w:val="auto"/>
          <w:szCs w:val="21"/>
        </w:rPr>
        <w:t>本章第</w:t>
      </w:r>
      <w:r>
        <w:rPr>
          <w:rStyle w:val="18"/>
          <w:rFonts w:ascii="宋体" w:hAnsi="宋体" w:cs="TimesNewRomanPSMT"/>
          <w:color w:val="auto"/>
          <w:szCs w:val="21"/>
        </w:rPr>
        <w:t xml:space="preserve">2.2 </w:t>
      </w:r>
      <w:r>
        <w:rPr>
          <w:rStyle w:val="18"/>
          <w:rFonts w:hint="eastAsia" w:ascii="宋体" w:hAnsi="宋体" w:cs="仿宋_GB2312"/>
          <w:color w:val="auto"/>
          <w:szCs w:val="21"/>
        </w:rPr>
        <w:t>款</w:t>
      </w:r>
      <w:r>
        <w:rPr>
          <w:rStyle w:val="18"/>
          <w:rFonts w:hint="eastAsia" w:ascii="宋体" w:hAnsi="宋体" w:cs="仿宋_GB2312"/>
          <w:color w:val="auto"/>
          <w:szCs w:val="21"/>
        </w:rPr>
        <w:fldChar w:fldCharType="end"/>
      </w:r>
      <w:r>
        <w:rPr>
          <w:rFonts w:hint="eastAsia" w:ascii="宋体" w:hAnsi="宋体" w:cs="仿宋_GB2312"/>
          <w:kern w:val="0"/>
          <w:szCs w:val="21"/>
        </w:rPr>
        <w:t>规定的量化因素和分值进行打分，并计算出综合评估得分。</w:t>
      </w:r>
    </w:p>
    <w:p>
      <w:pPr>
        <w:pageBreakBefore w:val="0"/>
        <w:widowControl w:val="0"/>
        <w:kinsoku/>
        <w:wordWrap/>
        <w:overflowPunct/>
        <w:topLinePunct w:val="0"/>
        <w:autoSpaceDE w:val="0"/>
        <w:autoSpaceDN w:val="0"/>
        <w:bidi w:val="0"/>
        <w:adjustRightInd w:val="0"/>
        <w:snapToGrid/>
        <w:spacing w:line="360" w:lineRule="auto"/>
        <w:jc w:val="left"/>
        <w:textAlignment w:val="auto"/>
        <w:rPr>
          <w:rFonts w:ascii="宋体" w:cs="仿宋_GB2312"/>
          <w:kern w:val="0"/>
          <w:szCs w:val="21"/>
        </w:rPr>
      </w:pPr>
      <w:r>
        <w:rPr>
          <w:rFonts w:hint="eastAsia" w:ascii="宋体" w:hAnsi="宋体" w:cs="仿宋_GB2312"/>
          <w:kern w:val="0"/>
          <w:szCs w:val="21"/>
        </w:rPr>
        <w:t>（</w:t>
      </w:r>
      <w:r>
        <w:rPr>
          <w:rFonts w:ascii="宋体" w:hAnsi="宋体" w:cs="TimesNewRomanPSMT"/>
          <w:kern w:val="0"/>
          <w:szCs w:val="21"/>
        </w:rPr>
        <w:t>1</w:t>
      </w:r>
      <w:r>
        <w:rPr>
          <w:rFonts w:hint="eastAsia" w:ascii="宋体" w:hAnsi="宋体" w:cs="仿宋_GB2312"/>
          <w:kern w:val="0"/>
          <w:szCs w:val="21"/>
        </w:rPr>
        <w:t>）按本章第</w:t>
      </w:r>
      <w:r>
        <w:fldChar w:fldCharType="begin"/>
      </w:r>
      <w:r>
        <w:instrText xml:space="preserve"> HYPERLINK "file:///H:\\泰州招标文件范本\\泰州市房屋建筑和市政工程施工2016.4.docx" \l "_2.2.4(3)" </w:instrText>
      </w:r>
      <w:r>
        <w:fldChar w:fldCharType="separate"/>
      </w:r>
      <w:r>
        <w:rPr>
          <w:rStyle w:val="18"/>
          <w:rFonts w:ascii="宋体" w:hAnsi="宋体" w:cs="TimesNewRomanPSMT"/>
          <w:color w:val="auto"/>
          <w:szCs w:val="21"/>
        </w:rPr>
        <w:t>2.2.4</w:t>
      </w:r>
      <w:r>
        <w:rPr>
          <w:rStyle w:val="18"/>
          <w:rFonts w:hint="eastAsia" w:ascii="宋体" w:hAnsi="宋体" w:cs="仿宋_GB2312"/>
          <w:color w:val="auto"/>
          <w:szCs w:val="21"/>
        </w:rPr>
        <w:t>（</w:t>
      </w:r>
      <w:r>
        <w:rPr>
          <w:rStyle w:val="18"/>
          <w:rFonts w:ascii="宋体" w:hAnsi="宋体" w:cs="TimesNewRomanPSMT"/>
          <w:color w:val="auto"/>
          <w:szCs w:val="21"/>
        </w:rPr>
        <w:t>1</w:t>
      </w:r>
      <w:r>
        <w:rPr>
          <w:rStyle w:val="18"/>
          <w:rFonts w:hint="eastAsia" w:ascii="宋体" w:hAnsi="宋体" w:cs="仿宋_GB2312"/>
          <w:color w:val="auto"/>
          <w:szCs w:val="21"/>
        </w:rPr>
        <w:t>）</w:t>
      </w:r>
      <w:r>
        <w:rPr>
          <w:rStyle w:val="18"/>
          <w:rFonts w:hint="eastAsia" w:ascii="宋体" w:hAnsi="宋体" w:cs="仿宋_GB2312"/>
          <w:color w:val="auto"/>
          <w:szCs w:val="21"/>
        </w:rPr>
        <w:fldChar w:fldCharType="end"/>
      </w:r>
      <w:r>
        <w:rPr>
          <w:rFonts w:hint="eastAsia" w:ascii="宋体" w:hAnsi="宋体" w:cs="仿宋_GB2312"/>
          <w:kern w:val="0"/>
          <w:szCs w:val="21"/>
        </w:rPr>
        <w:t>目规定的评审因素和分值对投标报价计算出得分</w:t>
      </w:r>
      <w:r>
        <w:rPr>
          <w:rFonts w:ascii="宋体" w:hAnsi="宋体" w:cs="TimesNewRomanPSMT"/>
          <w:kern w:val="0"/>
          <w:szCs w:val="21"/>
        </w:rPr>
        <w:t>A</w:t>
      </w:r>
      <w:r>
        <w:rPr>
          <w:rFonts w:hint="eastAsia" w:ascii="宋体" w:hAnsi="宋体" w:cs="仿宋_GB2312"/>
          <w:kern w:val="0"/>
          <w:szCs w:val="21"/>
        </w:rPr>
        <w:t>；</w:t>
      </w:r>
    </w:p>
    <w:p>
      <w:pPr>
        <w:pageBreakBefore w:val="0"/>
        <w:widowControl w:val="0"/>
        <w:kinsoku/>
        <w:wordWrap/>
        <w:overflowPunct/>
        <w:topLinePunct w:val="0"/>
        <w:autoSpaceDE w:val="0"/>
        <w:autoSpaceDN w:val="0"/>
        <w:bidi w:val="0"/>
        <w:adjustRightInd w:val="0"/>
        <w:snapToGrid/>
        <w:spacing w:line="360" w:lineRule="auto"/>
        <w:jc w:val="left"/>
        <w:textAlignment w:val="auto"/>
        <w:rPr>
          <w:rFonts w:ascii="宋体" w:cs="仿宋_GB2312"/>
          <w:kern w:val="0"/>
          <w:szCs w:val="21"/>
        </w:rPr>
      </w:pPr>
      <w:r>
        <w:rPr>
          <w:rFonts w:hint="eastAsia" w:ascii="宋体" w:hAnsi="宋体" w:cs="仿宋_GB2312"/>
          <w:kern w:val="0"/>
          <w:szCs w:val="21"/>
        </w:rPr>
        <w:t>（</w:t>
      </w:r>
      <w:r>
        <w:rPr>
          <w:rFonts w:ascii="宋体" w:hAnsi="宋体" w:cs="TimesNewRomanPSMT"/>
          <w:kern w:val="0"/>
          <w:szCs w:val="21"/>
        </w:rPr>
        <w:t>2</w:t>
      </w:r>
      <w:r>
        <w:rPr>
          <w:rFonts w:hint="eastAsia" w:ascii="宋体" w:hAnsi="宋体" w:cs="仿宋_GB2312"/>
          <w:kern w:val="0"/>
          <w:szCs w:val="21"/>
        </w:rPr>
        <w:t>）按本章第</w:t>
      </w:r>
      <w:r>
        <w:fldChar w:fldCharType="begin"/>
      </w:r>
      <w:r>
        <w:instrText xml:space="preserve"> HYPERLINK "file:///H:\\泰州招标文件范本\\泰州市房屋建筑和市政工程施工2016.4.docx" \l "_2.2.4(4)" </w:instrText>
      </w:r>
      <w:r>
        <w:fldChar w:fldCharType="separate"/>
      </w:r>
      <w:r>
        <w:rPr>
          <w:rStyle w:val="18"/>
          <w:rFonts w:ascii="宋体" w:hAnsi="宋体" w:cs="TimesNewRomanPSMT"/>
          <w:color w:val="auto"/>
          <w:szCs w:val="21"/>
        </w:rPr>
        <w:t>2.2.4</w:t>
      </w:r>
      <w:r>
        <w:rPr>
          <w:rStyle w:val="18"/>
          <w:rFonts w:hint="eastAsia" w:ascii="宋体" w:hAnsi="宋体" w:cs="仿宋_GB2312"/>
          <w:color w:val="auto"/>
          <w:szCs w:val="21"/>
        </w:rPr>
        <w:t>（</w:t>
      </w:r>
      <w:r>
        <w:rPr>
          <w:rStyle w:val="18"/>
          <w:rFonts w:ascii="宋体" w:hAnsi="宋体" w:cs="TimesNewRomanPSMT"/>
          <w:color w:val="auto"/>
          <w:szCs w:val="21"/>
        </w:rPr>
        <w:t>2</w:t>
      </w:r>
      <w:r>
        <w:rPr>
          <w:rStyle w:val="18"/>
          <w:rFonts w:hint="eastAsia" w:ascii="宋体" w:hAnsi="宋体" w:cs="仿宋_GB2312"/>
          <w:color w:val="auto"/>
          <w:szCs w:val="21"/>
        </w:rPr>
        <w:t>）</w:t>
      </w:r>
      <w:r>
        <w:rPr>
          <w:rStyle w:val="18"/>
          <w:rFonts w:hint="eastAsia" w:ascii="宋体" w:hAnsi="宋体" w:cs="仿宋_GB2312"/>
          <w:color w:val="auto"/>
          <w:szCs w:val="21"/>
        </w:rPr>
        <w:fldChar w:fldCharType="end"/>
      </w:r>
      <w:r>
        <w:rPr>
          <w:rFonts w:hint="eastAsia" w:ascii="宋体" w:hAnsi="宋体" w:cs="仿宋_GB2312"/>
          <w:kern w:val="0"/>
          <w:szCs w:val="21"/>
        </w:rPr>
        <w:t>目规定的评审因素和分值对其他部分计算出得分</w:t>
      </w:r>
      <w:r>
        <w:rPr>
          <w:rFonts w:ascii="宋体" w:hAnsi="宋体" w:cs="TimesNewRomanPSMT"/>
          <w:kern w:val="0"/>
          <w:szCs w:val="21"/>
        </w:rPr>
        <w:t>B</w:t>
      </w:r>
      <w:r>
        <w:rPr>
          <w:rFonts w:hint="eastAsia" w:ascii="宋体" w:hAnsi="宋体" w:cs="仿宋_GB2312"/>
          <w:kern w:val="0"/>
          <w:szCs w:val="21"/>
        </w:rPr>
        <w:t>。</w:t>
      </w:r>
    </w:p>
    <w:p>
      <w:pPr>
        <w:pageBreakBefore w:val="0"/>
        <w:widowControl w:val="0"/>
        <w:kinsoku/>
        <w:wordWrap/>
        <w:overflowPunct/>
        <w:topLinePunct w:val="0"/>
        <w:autoSpaceDE w:val="0"/>
        <w:autoSpaceDN w:val="0"/>
        <w:bidi w:val="0"/>
        <w:adjustRightInd w:val="0"/>
        <w:snapToGrid/>
        <w:spacing w:line="360" w:lineRule="auto"/>
        <w:jc w:val="left"/>
        <w:textAlignment w:val="auto"/>
        <w:rPr>
          <w:rFonts w:ascii="宋体" w:cs="仿宋_GB2312"/>
          <w:kern w:val="0"/>
          <w:szCs w:val="21"/>
        </w:rPr>
      </w:pPr>
      <w:r>
        <w:rPr>
          <w:rFonts w:ascii="宋体" w:hAnsi="宋体" w:cs="TimesNewRomanPSMT"/>
          <w:kern w:val="0"/>
          <w:szCs w:val="21"/>
        </w:rPr>
        <w:t xml:space="preserve">3.3.3 </w:t>
      </w:r>
      <w:r>
        <w:rPr>
          <w:rFonts w:hint="eastAsia" w:ascii="宋体" w:hAnsi="宋体" w:cs="仿宋_GB2312"/>
          <w:kern w:val="0"/>
          <w:szCs w:val="21"/>
        </w:rPr>
        <w:t>评分分值计算应保留小数点后两位，小数点后第三位“四舍五入”。</w:t>
      </w:r>
    </w:p>
    <w:p>
      <w:pPr>
        <w:pageBreakBefore w:val="0"/>
        <w:widowControl w:val="0"/>
        <w:kinsoku/>
        <w:wordWrap/>
        <w:overflowPunct/>
        <w:topLinePunct w:val="0"/>
        <w:autoSpaceDE w:val="0"/>
        <w:autoSpaceDN w:val="0"/>
        <w:bidi w:val="0"/>
        <w:adjustRightInd w:val="0"/>
        <w:snapToGrid/>
        <w:spacing w:line="360" w:lineRule="auto"/>
        <w:jc w:val="left"/>
        <w:textAlignment w:val="auto"/>
        <w:rPr>
          <w:rFonts w:ascii="宋体" w:cs="仿宋_GB2312"/>
          <w:kern w:val="0"/>
          <w:szCs w:val="21"/>
        </w:rPr>
      </w:pPr>
      <w:r>
        <w:rPr>
          <w:rFonts w:ascii="宋体" w:hAnsi="宋体" w:cs="TimesNewRomanPSMT"/>
          <w:kern w:val="0"/>
          <w:szCs w:val="21"/>
        </w:rPr>
        <w:t xml:space="preserve">3.3.4 </w:t>
      </w:r>
      <w:r>
        <w:rPr>
          <w:rFonts w:hint="eastAsia" w:ascii="宋体" w:hAnsi="宋体" w:cs="仿宋_GB2312"/>
          <w:kern w:val="0"/>
          <w:szCs w:val="21"/>
        </w:rPr>
        <w:t>投标人得分</w:t>
      </w:r>
      <w:r>
        <w:rPr>
          <w:rFonts w:ascii="宋体" w:hAnsi="宋体" w:cs="TimesNewRomanPSMT"/>
          <w:kern w:val="0"/>
          <w:szCs w:val="21"/>
        </w:rPr>
        <w:t>=A+B</w:t>
      </w:r>
      <w:r>
        <w:rPr>
          <w:rFonts w:hint="eastAsia" w:ascii="宋体" w:hAnsi="宋体" w:cs="仿宋_GB2312"/>
          <w:kern w:val="0"/>
          <w:szCs w:val="21"/>
        </w:rPr>
        <w:t>。</w:t>
      </w:r>
    </w:p>
    <w:p>
      <w:pPr>
        <w:pStyle w:val="6"/>
        <w:pageBreakBefore w:val="0"/>
        <w:widowControl w:val="0"/>
        <w:kinsoku/>
        <w:wordWrap/>
        <w:overflowPunct/>
        <w:topLinePunct w:val="0"/>
        <w:bidi w:val="0"/>
        <w:snapToGrid/>
        <w:spacing w:line="360" w:lineRule="auto"/>
        <w:textAlignment w:val="auto"/>
      </w:pPr>
      <w:bookmarkStart w:id="230" w:name="_3.4_投标文件的澄清和补正"/>
      <w:bookmarkEnd w:id="230"/>
      <w:r>
        <w:rPr>
          <w:rFonts w:cs="TimesNewRomanPSMT"/>
        </w:rPr>
        <w:t xml:space="preserve">3.4 </w:t>
      </w:r>
      <w:r>
        <w:rPr>
          <w:rFonts w:hint="eastAsia"/>
        </w:rPr>
        <w:t>投标文件的澄清和补正</w:t>
      </w:r>
    </w:p>
    <w:p>
      <w:pPr>
        <w:pageBreakBefore w:val="0"/>
        <w:widowControl w:val="0"/>
        <w:kinsoku/>
        <w:wordWrap/>
        <w:overflowPunct/>
        <w:topLinePunct w:val="0"/>
        <w:autoSpaceDE w:val="0"/>
        <w:autoSpaceDN w:val="0"/>
        <w:bidi w:val="0"/>
        <w:adjustRightInd w:val="0"/>
        <w:snapToGrid/>
        <w:spacing w:line="360" w:lineRule="auto"/>
        <w:jc w:val="left"/>
        <w:textAlignment w:val="auto"/>
        <w:rPr>
          <w:rFonts w:ascii="宋体" w:cs="仿宋_GB2312"/>
          <w:kern w:val="0"/>
          <w:szCs w:val="21"/>
        </w:rPr>
      </w:pPr>
      <w:r>
        <w:rPr>
          <w:rFonts w:ascii="宋体" w:hAnsi="宋体" w:cs="TimesNewRomanPSMT"/>
          <w:kern w:val="0"/>
          <w:szCs w:val="21"/>
        </w:rPr>
        <w:t xml:space="preserve">3.4.1 </w:t>
      </w:r>
      <w:r>
        <w:rPr>
          <w:rFonts w:hint="eastAsia" w:ascii="宋体" w:hAnsi="宋体" w:cs="仿宋_GB2312"/>
          <w:kern w:val="0"/>
          <w:szCs w:val="21"/>
        </w:rPr>
        <w:t>在评标过程中，评标委员会可以书面形式要求投标人对所提交的投标文件中不明确的内容进行书面澄清或说明，或者对细微偏差进行补正。评标委员会不接受投标人主动提出的澄清、说明或补正。</w:t>
      </w:r>
    </w:p>
    <w:p>
      <w:pPr>
        <w:pageBreakBefore w:val="0"/>
        <w:widowControl w:val="0"/>
        <w:kinsoku/>
        <w:wordWrap/>
        <w:overflowPunct/>
        <w:topLinePunct w:val="0"/>
        <w:autoSpaceDE w:val="0"/>
        <w:autoSpaceDN w:val="0"/>
        <w:bidi w:val="0"/>
        <w:adjustRightInd w:val="0"/>
        <w:snapToGrid/>
        <w:spacing w:line="360" w:lineRule="auto"/>
        <w:jc w:val="left"/>
        <w:textAlignment w:val="auto"/>
        <w:rPr>
          <w:rFonts w:ascii="宋体" w:cs="仿宋_GB2312"/>
          <w:kern w:val="0"/>
          <w:szCs w:val="21"/>
        </w:rPr>
      </w:pPr>
      <w:r>
        <w:rPr>
          <w:rFonts w:ascii="宋体" w:hAnsi="宋体" w:cs="TimesNewRomanPSMT"/>
          <w:kern w:val="0"/>
          <w:szCs w:val="21"/>
        </w:rPr>
        <w:t xml:space="preserve">3.4.2 </w:t>
      </w:r>
      <w:r>
        <w:rPr>
          <w:rFonts w:hint="eastAsia" w:ascii="宋体" w:hAnsi="宋体" w:cs="仿宋_GB2312"/>
          <w:kern w:val="0"/>
          <w:szCs w:val="21"/>
        </w:rPr>
        <w:t>澄清、说明和补正不得改变投标文件的实质性内容（算术性错误修正的除外）。投标人的书面澄清、说明和补正属于投标文件的组成部分。</w:t>
      </w:r>
    </w:p>
    <w:p>
      <w:pPr>
        <w:pageBreakBefore w:val="0"/>
        <w:widowControl w:val="0"/>
        <w:kinsoku/>
        <w:wordWrap/>
        <w:overflowPunct/>
        <w:topLinePunct w:val="0"/>
        <w:autoSpaceDE w:val="0"/>
        <w:autoSpaceDN w:val="0"/>
        <w:bidi w:val="0"/>
        <w:adjustRightInd w:val="0"/>
        <w:snapToGrid/>
        <w:spacing w:line="360" w:lineRule="auto"/>
        <w:jc w:val="left"/>
        <w:textAlignment w:val="auto"/>
        <w:rPr>
          <w:rFonts w:ascii="宋体" w:cs="仿宋_GB2312"/>
          <w:kern w:val="0"/>
          <w:szCs w:val="21"/>
        </w:rPr>
      </w:pPr>
      <w:r>
        <w:rPr>
          <w:rFonts w:ascii="宋体" w:hAnsi="宋体" w:cs="TimesNewRomanPSMT"/>
          <w:kern w:val="0"/>
          <w:szCs w:val="21"/>
        </w:rPr>
        <w:t xml:space="preserve">3.4.3 </w:t>
      </w:r>
      <w:r>
        <w:rPr>
          <w:rFonts w:hint="eastAsia" w:ascii="宋体" w:hAnsi="宋体" w:cs="仿宋_GB2312"/>
          <w:kern w:val="0"/>
          <w:szCs w:val="21"/>
        </w:rPr>
        <w:t>评标委员会对投标人提交的澄清、说明或补正有疑问的，可以要求投标人进一步澄清、说明或补正，直至满足评标委员会的要求。</w:t>
      </w:r>
    </w:p>
    <w:p>
      <w:pPr>
        <w:pStyle w:val="6"/>
        <w:pageBreakBefore w:val="0"/>
        <w:widowControl w:val="0"/>
        <w:kinsoku/>
        <w:wordWrap/>
        <w:overflowPunct/>
        <w:topLinePunct w:val="0"/>
        <w:bidi w:val="0"/>
        <w:snapToGrid/>
        <w:spacing w:line="360" w:lineRule="auto"/>
        <w:textAlignment w:val="auto"/>
      </w:pPr>
      <w:r>
        <w:rPr>
          <w:rFonts w:cs="TimesNewRomanPSMT"/>
        </w:rPr>
        <w:t xml:space="preserve">3.5 </w:t>
      </w:r>
      <w:r>
        <w:rPr>
          <w:rFonts w:hint="eastAsia"/>
        </w:rPr>
        <w:t>评标结果</w:t>
      </w:r>
    </w:p>
    <w:p>
      <w:pPr>
        <w:pageBreakBefore w:val="0"/>
        <w:widowControl w:val="0"/>
        <w:kinsoku/>
        <w:wordWrap/>
        <w:overflowPunct/>
        <w:topLinePunct w:val="0"/>
        <w:autoSpaceDE w:val="0"/>
        <w:autoSpaceDN w:val="0"/>
        <w:bidi w:val="0"/>
        <w:adjustRightInd w:val="0"/>
        <w:snapToGrid/>
        <w:spacing w:line="360" w:lineRule="auto"/>
        <w:jc w:val="left"/>
        <w:textAlignment w:val="auto"/>
        <w:rPr>
          <w:rFonts w:ascii="宋体" w:cs="仿宋_GB2312"/>
          <w:kern w:val="0"/>
          <w:szCs w:val="21"/>
        </w:rPr>
      </w:pPr>
      <w:r>
        <w:rPr>
          <w:rFonts w:ascii="宋体" w:hAnsi="宋体" w:cs="TimesNewRomanPSMT"/>
          <w:kern w:val="0"/>
          <w:szCs w:val="21"/>
        </w:rPr>
        <w:t xml:space="preserve">3.5.1 </w:t>
      </w:r>
      <w:r>
        <w:rPr>
          <w:rFonts w:hint="eastAsia" w:ascii="宋体" w:hAnsi="宋体" w:cs="仿宋_GB2312"/>
          <w:kern w:val="0"/>
          <w:szCs w:val="21"/>
        </w:rPr>
        <w:t>除第二章“投标人须知”前附表授权直接确定中标人外，评标委员会按照得分由高到低的顺序推荐中标候选人。</w:t>
      </w:r>
    </w:p>
    <w:p>
      <w:pPr>
        <w:pageBreakBefore w:val="0"/>
        <w:widowControl w:val="0"/>
        <w:kinsoku/>
        <w:wordWrap/>
        <w:overflowPunct/>
        <w:topLinePunct w:val="0"/>
        <w:autoSpaceDE w:val="0"/>
        <w:autoSpaceDN w:val="0"/>
        <w:bidi w:val="0"/>
        <w:adjustRightInd w:val="0"/>
        <w:snapToGrid/>
        <w:spacing w:line="360" w:lineRule="auto"/>
        <w:jc w:val="left"/>
        <w:textAlignment w:val="auto"/>
        <w:rPr>
          <w:rFonts w:ascii="宋体" w:cs="仿宋_GB2312"/>
          <w:kern w:val="0"/>
          <w:szCs w:val="21"/>
        </w:rPr>
      </w:pPr>
      <w:r>
        <w:rPr>
          <w:rFonts w:ascii="宋体" w:hAnsi="宋体" w:cs="TimesNewRomanPSMT"/>
          <w:kern w:val="0"/>
          <w:szCs w:val="21"/>
        </w:rPr>
        <w:t xml:space="preserve">3.5.2 </w:t>
      </w:r>
      <w:r>
        <w:rPr>
          <w:rFonts w:hint="eastAsia" w:ascii="宋体" w:hAnsi="宋体" w:cs="仿宋_GB2312"/>
          <w:kern w:val="0"/>
          <w:szCs w:val="21"/>
        </w:rPr>
        <w:t>评标委员会完成评标后，应当向招标人提交书面评标报告。</w:t>
      </w:r>
    </w:p>
    <w:p>
      <w:bookmarkStart w:id="231" w:name="_Toc275956126"/>
    </w:p>
    <w:p>
      <w:pPr>
        <w:pStyle w:val="5"/>
        <w:pageBreakBefore w:val="0"/>
        <w:widowControl w:val="0"/>
        <w:kinsoku/>
        <w:wordWrap/>
        <w:overflowPunct/>
        <w:topLinePunct w:val="0"/>
        <w:autoSpaceDE/>
        <w:autoSpaceDN/>
        <w:bidi w:val="0"/>
        <w:adjustRightInd/>
        <w:snapToGrid/>
        <w:spacing w:line="360" w:lineRule="auto"/>
        <w:textAlignment w:val="auto"/>
      </w:pPr>
      <w:r>
        <w:rPr>
          <w:rFonts w:hint="eastAsia"/>
        </w:rPr>
        <w:t>附件</w:t>
      </w:r>
      <w:r>
        <w:t>A</w:t>
      </w:r>
      <w:r>
        <w:rPr>
          <w:rFonts w:hint="eastAsia"/>
        </w:rPr>
        <w:t>：评标详细程序</w:t>
      </w:r>
      <w:bookmarkEnd w:id="231"/>
    </w:p>
    <w:p>
      <w:pPr>
        <w:pageBreakBefore w:val="0"/>
        <w:widowControl w:val="0"/>
        <w:kinsoku/>
        <w:wordWrap/>
        <w:overflowPunct/>
        <w:topLinePunct w:val="0"/>
        <w:autoSpaceDE/>
        <w:autoSpaceDN/>
        <w:bidi w:val="0"/>
        <w:adjustRightInd/>
        <w:snapToGrid/>
        <w:spacing w:after="120" w:afterLines="50" w:line="360" w:lineRule="auto"/>
        <w:jc w:val="center"/>
        <w:textAlignment w:val="auto"/>
        <w:rPr>
          <w:rFonts w:ascii="黑体" w:hAnsi="宋体" w:eastAsia="黑体" w:cs="Arial"/>
          <w:bCs/>
          <w:sz w:val="28"/>
          <w:szCs w:val="28"/>
        </w:rPr>
      </w:pPr>
      <w:r>
        <w:rPr>
          <w:rFonts w:hint="eastAsia" w:ascii="黑体" w:hAnsi="宋体" w:eastAsia="黑体" w:cs="Arial"/>
          <w:bCs/>
          <w:sz w:val="28"/>
          <w:szCs w:val="28"/>
        </w:rPr>
        <w:t>评标详细程序</w:t>
      </w:r>
    </w:p>
    <w:p>
      <w:pPr>
        <w:pStyle w:val="6"/>
        <w:pageBreakBefore w:val="0"/>
        <w:widowControl w:val="0"/>
        <w:kinsoku/>
        <w:wordWrap/>
        <w:overflowPunct/>
        <w:topLinePunct w:val="0"/>
        <w:autoSpaceDE/>
        <w:autoSpaceDN/>
        <w:bidi w:val="0"/>
        <w:adjustRightInd/>
        <w:snapToGrid/>
        <w:spacing w:line="360" w:lineRule="auto"/>
        <w:textAlignment w:val="auto"/>
      </w:pPr>
      <w:r>
        <w:t xml:space="preserve">A0. </w:t>
      </w:r>
      <w:r>
        <w:rPr>
          <w:rFonts w:hint="eastAsia"/>
        </w:rPr>
        <w:t>总则</w:t>
      </w:r>
    </w:p>
    <w:p>
      <w:pPr>
        <w:pageBreakBefore w:val="0"/>
        <w:widowControl w:val="0"/>
        <w:kinsoku/>
        <w:wordWrap/>
        <w:overflowPunct/>
        <w:topLinePunct w:val="0"/>
        <w:autoSpaceDE/>
        <w:autoSpaceDN/>
        <w:bidi w:val="0"/>
        <w:adjustRightInd/>
        <w:snapToGrid/>
        <w:spacing w:after="120" w:afterLines="50" w:line="360" w:lineRule="auto"/>
        <w:ind w:firstLine="420" w:firstLineChars="200"/>
        <w:textAlignment w:val="auto"/>
        <w:rPr>
          <w:rFonts w:ascii="宋体" w:cs="Arial"/>
          <w:szCs w:val="21"/>
        </w:rPr>
      </w:pPr>
      <w:r>
        <w:rPr>
          <w:rFonts w:hint="eastAsia"/>
        </w:rPr>
        <w:t>本附件是本章“评标办法”的组成部分，是对</w:t>
      </w:r>
      <w:r>
        <w:rPr>
          <w:rFonts w:hint="eastAsia" w:ascii="Arial" w:hAnsi="Arial" w:cs="Arial"/>
          <w:szCs w:val="21"/>
        </w:rPr>
        <w:t>本章第</w:t>
      </w:r>
      <w:r>
        <w:rPr>
          <w:rFonts w:ascii="Arial" w:hAnsi="Arial" w:cs="Arial"/>
          <w:szCs w:val="21"/>
        </w:rPr>
        <w:t>3</w:t>
      </w:r>
      <w:r>
        <w:rPr>
          <w:rFonts w:hint="eastAsia" w:ascii="Arial" w:hAnsi="Arial" w:cs="Arial"/>
          <w:szCs w:val="21"/>
        </w:rPr>
        <w:t>条所规定的评标程序的进一步细化，评标委员会应当按照本附件所规定的详细评审程序开展并完成评标工作。</w:t>
      </w:r>
    </w:p>
    <w:p>
      <w:pPr>
        <w:pStyle w:val="6"/>
        <w:pageBreakBefore w:val="0"/>
        <w:widowControl w:val="0"/>
        <w:kinsoku/>
        <w:wordWrap/>
        <w:overflowPunct/>
        <w:topLinePunct w:val="0"/>
        <w:autoSpaceDE/>
        <w:autoSpaceDN/>
        <w:bidi w:val="0"/>
        <w:adjustRightInd/>
        <w:snapToGrid/>
        <w:spacing w:line="360" w:lineRule="auto"/>
        <w:textAlignment w:val="auto"/>
      </w:pPr>
      <w:r>
        <w:t xml:space="preserve">A1. </w:t>
      </w:r>
      <w:r>
        <w:rPr>
          <w:rFonts w:hint="eastAsia"/>
        </w:rPr>
        <w:t>基本程序</w:t>
      </w:r>
    </w:p>
    <w:p>
      <w:pPr>
        <w:pageBreakBefore w:val="0"/>
        <w:widowControl w:val="0"/>
        <w:kinsoku/>
        <w:wordWrap/>
        <w:overflowPunct/>
        <w:topLinePunct w:val="0"/>
        <w:autoSpaceDE/>
        <w:autoSpaceDN/>
        <w:bidi w:val="0"/>
        <w:adjustRightInd/>
        <w:snapToGrid/>
        <w:spacing w:line="360" w:lineRule="auto"/>
        <w:textAlignment w:val="auto"/>
      </w:pPr>
      <w:r>
        <w:rPr>
          <w:rFonts w:hint="eastAsia"/>
        </w:rPr>
        <w:t>评标活动将按以下五个步骤进行：</w:t>
      </w:r>
    </w:p>
    <w:p>
      <w:pPr>
        <w:pageBreakBefore w:val="0"/>
        <w:widowControl w:val="0"/>
        <w:kinsoku/>
        <w:wordWrap/>
        <w:overflowPunct/>
        <w:topLinePunct w:val="0"/>
        <w:autoSpaceDE/>
        <w:autoSpaceDN/>
        <w:bidi w:val="0"/>
        <w:adjustRightInd/>
        <w:snapToGrid/>
        <w:spacing w:line="360" w:lineRule="auto"/>
        <w:textAlignment w:val="auto"/>
      </w:pPr>
      <w:r>
        <w:rPr>
          <w:rFonts w:hint="eastAsia"/>
        </w:rPr>
        <w:t>（</w:t>
      </w:r>
      <w:r>
        <w:t>1</w:t>
      </w:r>
      <w:r>
        <w:rPr>
          <w:rFonts w:hint="eastAsia"/>
        </w:rPr>
        <w:t>）评标准备；</w:t>
      </w:r>
    </w:p>
    <w:p>
      <w:pPr>
        <w:pageBreakBefore w:val="0"/>
        <w:widowControl w:val="0"/>
        <w:kinsoku/>
        <w:wordWrap/>
        <w:overflowPunct/>
        <w:topLinePunct w:val="0"/>
        <w:autoSpaceDE/>
        <w:autoSpaceDN/>
        <w:bidi w:val="0"/>
        <w:adjustRightInd/>
        <w:snapToGrid/>
        <w:spacing w:line="360" w:lineRule="auto"/>
        <w:textAlignment w:val="auto"/>
      </w:pPr>
      <w:r>
        <w:rPr>
          <w:rFonts w:hint="eastAsia"/>
        </w:rPr>
        <w:t>（</w:t>
      </w:r>
      <w:r>
        <w:t>2</w:t>
      </w:r>
      <w:r>
        <w:rPr>
          <w:rFonts w:hint="eastAsia"/>
        </w:rPr>
        <w:t>）初步评审；</w:t>
      </w:r>
    </w:p>
    <w:p>
      <w:pPr>
        <w:pageBreakBefore w:val="0"/>
        <w:widowControl w:val="0"/>
        <w:kinsoku/>
        <w:wordWrap/>
        <w:overflowPunct/>
        <w:topLinePunct w:val="0"/>
        <w:autoSpaceDE/>
        <w:autoSpaceDN/>
        <w:bidi w:val="0"/>
        <w:adjustRightInd/>
        <w:snapToGrid/>
        <w:spacing w:line="360" w:lineRule="auto"/>
        <w:textAlignment w:val="auto"/>
      </w:pPr>
      <w:r>
        <w:rPr>
          <w:rFonts w:hint="eastAsia"/>
        </w:rPr>
        <w:t>（</w:t>
      </w:r>
      <w:r>
        <w:t>3</w:t>
      </w:r>
      <w:r>
        <w:rPr>
          <w:rFonts w:hint="eastAsia"/>
        </w:rPr>
        <w:t>）详细评审；</w:t>
      </w:r>
    </w:p>
    <w:p>
      <w:pPr>
        <w:pageBreakBefore w:val="0"/>
        <w:widowControl w:val="0"/>
        <w:kinsoku/>
        <w:wordWrap/>
        <w:overflowPunct/>
        <w:topLinePunct w:val="0"/>
        <w:autoSpaceDE/>
        <w:autoSpaceDN/>
        <w:bidi w:val="0"/>
        <w:adjustRightInd/>
        <w:snapToGrid/>
        <w:spacing w:line="360" w:lineRule="auto"/>
        <w:textAlignment w:val="auto"/>
      </w:pPr>
      <w:r>
        <w:rPr>
          <w:rFonts w:hint="eastAsia"/>
        </w:rPr>
        <w:t>（</w:t>
      </w:r>
      <w:r>
        <w:t>4</w:t>
      </w:r>
      <w:r>
        <w:rPr>
          <w:rFonts w:hint="eastAsia"/>
        </w:rPr>
        <w:t>）澄清、说明和补正；</w:t>
      </w:r>
    </w:p>
    <w:p>
      <w:pPr>
        <w:pageBreakBefore w:val="0"/>
        <w:widowControl w:val="0"/>
        <w:kinsoku/>
        <w:wordWrap/>
        <w:overflowPunct/>
        <w:topLinePunct w:val="0"/>
        <w:autoSpaceDE/>
        <w:autoSpaceDN/>
        <w:bidi w:val="0"/>
        <w:adjustRightInd/>
        <w:snapToGrid/>
        <w:spacing w:line="360" w:lineRule="auto"/>
        <w:textAlignment w:val="auto"/>
      </w:pPr>
      <w:r>
        <w:rPr>
          <w:rFonts w:hint="eastAsia"/>
        </w:rPr>
        <w:t>（</w:t>
      </w:r>
      <w:r>
        <w:t>5</w:t>
      </w:r>
      <w:r>
        <w:rPr>
          <w:rFonts w:hint="eastAsia"/>
        </w:rPr>
        <w:t>）推荐中标候选人或者直接确定中标人及提交评标报告。</w:t>
      </w:r>
    </w:p>
    <w:p>
      <w:pPr>
        <w:pStyle w:val="6"/>
        <w:pageBreakBefore w:val="0"/>
        <w:widowControl w:val="0"/>
        <w:kinsoku/>
        <w:wordWrap/>
        <w:overflowPunct/>
        <w:topLinePunct w:val="0"/>
        <w:autoSpaceDE/>
        <w:autoSpaceDN/>
        <w:bidi w:val="0"/>
        <w:adjustRightInd/>
        <w:snapToGrid/>
        <w:spacing w:line="360" w:lineRule="auto"/>
        <w:textAlignment w:val="auto"/>
      </w:pPr>
      <w:r>
        <w:t xml:space="preserve">A2. </w:t>
      </w:r>
      <w:r>
        <w:rPr>
          <w:rFonts w:hint="eastAsia"/>
        </w:rPr>
        <w:t>评标准备</w:t>
      </w:r>
    </w:p>
    <w:p>
      <w:pPr>
        <w:pageBreakBefore w:val="0"/>
        <w:widowControl w:val="0"/>
        <w:kinsoku/>
        <w:wordWrap/>
        <w:overflowPunct/>
        <w:topLinePunct w:val="0"/>
        <w:autoSpaceDE/>
        <w:autoSpaceDN/>
        <w:bidi w:val="0"/>
        <w:adjustRightInd/>
        <w:snapToGrid/>
        <w:spacing w:line="360" w:lineRule="auto"/>
        <w:textAlignment w:val="auto"/>
        <w:rPr>
          <w:b/>
        </w:rPr>
      </w:pPr>
      <w:r>
        <w:rPr>
          <w:b/>
        </w:rPr>
        <w:t>A2.1</w:t>
      </w:r>
      <w:r>
        <w:rPr>
          <w:rFonts w:hint="eastAsia"/>
          <w:b/>
        </w:rPr>
        <w:t>评标委员会成员出示有效证件进行验证或签到</w:t>
      </w:r>
    </w:p>
    <w:p>
      <w:pPr>
        <w:pageBreakBefore w:val="0"/>
        <w:widowControl w:val="0"/>
        <w:kinsoku/>
        <w:wordWrap/>
        <w:overflowPunct/>
        <w:topLinePunct w:val="0"/>
        <w:autoSpaceDE/>
        <w:autoSpaceDN/>
        <w:bidi w:val="0"/>
        <w:adjustRightInd/>
        <w:snapToGrid/>
        <w:spacing w:line="360" w:lineRule="auto"/>
        <w:ind w:firstLine="315" w:firstLineChars="150"/>
        <w:textAlignment w:val="auto"/>
      </w:pPr>
      <w:r>
        <w:rPr>
          <w:rFonts w:hint="eastAsia"/>
        </w:rPr>
        <w:t>评标委员会成员到达评标现场时应在签到表上签到以证明其出席。</w:t>
      </w:r>
    </w:p>
    <w:p>
      <w:pPr>
        <w:pageBreakBefore w:val="0"/>
        <w:widowControl w:val="0"/>
        <w:kinsoku/>
        <w:wordWrap/>
        <w:overflowPunct/>
        <w:topLinePunct w:val="0"/>
        <w:autoSpaceDE/>
        <w:autoSpaceDN/>
        <w:bidi w:val="0"/>
        <w:adjustRightInd/>
        <w:snapToGrid/>
        <w:spacing w:line="360" w:lineRule="auto"/>
        <w:textAlignment w:val="auto"/>
        <w:rPr>
          <w:b/>
        </w:rPr>
      </w:pPr>
      <w:r>
        <w:rPr>
          <w:b/>
        </w:rPr>
        <w:t xml:space="preserve">A2.2 </w:t>
      </w:r>
      <w:r>
        <w:rPr>
          <w:rFonts w:hint="eastAsia"/>
          <w:b/>
        </w:rPr>
        <w:t>评标委员会的分工</w:t>
      </w:r>
    </w:p>
    <w:p>
      <w:pPr>
        <w:pageBreakBefore w:val="0"/>
        <w:widowControl w:val="0"/>
        <w:kinsoku/>
        <w:wordWrap/>
        <w:overflowPunct/>
        <w:topLinePunct w:val="0"/>
        <w:autoSpaceDE/>
        <w:autoSpaceDN/>
        <w:bidi w:val="0"/>
        <w:adjustRightInd/>
        <w:snapToGrid/>
        <w:spacing w:line="360" w:lineRule="auto"/>
        <w:ind w:firstLine="315" w:firstLineChars="150"/>
        <w:textAlignment w:val="auto"/>
      </w:pPr>
      <w:r>
        <w:rPr>
          <w:rFonts w:hint="eastAsia"/>
        </w:rPr>
        <w:t>评标委员会首先推选一名评标委员会主任。招标人也可以直接指定评标委员会主任。评标委员会主任负责评标活动的组织领导工作。评标委员会主任在与其他评标委员会成员协商的基础上，可以将评标委员会划分为技术组、商务组。</w:t>
      </w:r>
    </w:p>
    <w:p>
      <w:pPr>
        <w:pageBreakBefore w:val="0"/>
        <w:widowControl w:val="0"/>
        <w:kinsoku/>
        <w:wordWrap/>
        <w:overflowPunct/>
        <w:topLinePunct w:val="0"/>
        <w:autoSpaceDE/>
        <w:autoSpaceDN/>
        <w:bidi w:val="0"/>
        <w:adjustRightInd/>
        <w:snapToGrid/>
        <w:spacing w:line="360" w:lineRule="auto"/>
        <w:textAlignment w:val="auto"/>
        <w:rPr>
          <w:rFonts w:ascii="宋体"/>
        </w:rPr>
      </w:pPr>
      <w:r>
        <w:rPr>
          <w:b/>
        </w:rPr>
        <w:t xml:space="preserve">A2.3 </w:t>
      </w:r>
      <w:r>
        <w:rPr>
          <w:rFonts w:hint="eastAsia"/>
          <w:b/>
        </w:rPr>
        <w:t>熟悉文件资料</w:t>
      </w:r>
      <w:r>
        <w:rPr>
          <w:rFonts w:ascii="宋体" w:hAnsi="宋体"/>
        </w:rPr>
        <w:t xml:space="preserve">A2.3.1 </w:t>
      </w:r>
      <w:r>
        <w:rPr>
          <w:rFonts w:hint="eastAsia" w:ascii="宋体" w:hAnsi="宋体"/>
        </w:rPr>
        <w:t>评标委员会主任应组织评标委员会成员认真研究招标文件，了解和熟悉招标目的、招标范围、主要合同条件、技术标准和要求、质量标准和工期要求等，掌握评标标准和方法，熟悉本章及附件中包括的评标表格的使用，如果本章及附件所附的表格不能满足评标所需时，评标委员会应补充编制评标所需的表格，尤其是用于详细分析计算的表格。未在招标文件中规定的标准和方法不得作为评标的依据。</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rPr>
      </w:pPr>
      <w:r>
        <w:rPr>
          <w:rFonts w:ascii="宋体" w:hAnsi="宋体"/>
        </w:rPr>
        <w:t xml:space="preserve">A2.3.2 </w:t>
      </w:r>
      <w:r>
        <w:rPr>
          <w:rFonts w:hint="eastAsia" w:ascii="宋体" w:hAnsi="宋体"/>
        </w:rPr>
        <w:t>招标人或招标代理机构应向评标委员会提供评标所需的信息和数据，包括招标文件、未在开标会上当场拒绝的各投标文件、开标会记录、资格预审文件及各投标人在资格预审阶段递交的资格预审申请文件（适用于已进行资格预审的）、招标控制价或标底（如果有）、工程所在地工程造价管理部门颁布的工程造价信息、定额（如作为计价依据时）、有关的法律、法规、规章、国家标准以及招标人或评标委员会认为必要的其他信息和数据。</w:t>
      </w:r>
    </w:p>
    <w:p>
      <w:pPr>
        <w:pStyle w:val="6"/>
        <w:pageBreakBefore w:val="0"/>
        <w:widowControl w:val="0"/>
        <w:kinsoku/>
        <w:wordWrap/>
        <w:overflowPunct/>
        <w:topLinePunct w:val="0"/>
        <w:autoSpaceDE/>
        <w:autoSpaceDN/>
        <w:bidi w:val="0"/>
        <w:adjustRightInd/>
        <w:snapToGrid/>
        <w:spacing w:line="360" w:lineRule="auto"/>
        <w:textAlignment w:val="auto"/>
      </w:pPr>
      <w:r>
        <w:t xml:space="preserve">A3. </w:t>
      </w:r>
      <w:r>
        <w:rPr>
          <w:rFonts w:hint="eastAsia"/>
        </w:rPr>
        <w:t>初步评审</w:t>
      </w:r>
    </w:p>
    <w:p>
      <w:pPr>
        <w:pageBreakBefore w:val="0"/>
        <w:widowControl w:val="0"/>
        <w:kinsoku/>
        <w:wordWrap/>
        <w:overflowPunct/>
        <w:topLinePunct w:val="0"/>
        <w:autoSpaceDE/>
        <w:autoSpaceDN/>
        <w:bidi w:val="0"/>
        <w:adjustRightInd/>
        <w:snapToGrid/>
        <w:spacing w:line="360" w:lineRule="auto"/>
        <w:textAlignment w:val="auto"/>
        <w:rPr>
          <w:b/>
        </w:rPr>
      </w:pPr>
      <w:r>
        <w:rPr>
          <w:b/>
        </w:rPr>
        <w:t xml:space="preserve">A3.1 </w:t>
      </w:r>
      <w:r>
        <w:rPr>
          <w:rFonts w:hint="eastAsia"/>
          <w:b/>
        </w:rPr>
        <w:t>对投标文件进行基础性数据分析和整理工作（清标）</w:t>
      </w:r>
    </w:p>
    <w:p>
      <w:pPr>
        <w:pageBreakBefore w:val="0"/>
        <w:widowControl w:val="0"/>
        <w:kinsoku/>
        <w:wordWrap/>
        <w:overflowPunct/>
        <w:topLinePunct w:val="0"/>
        <w:autoSpaceDE/>
        <w:autoSpaceDN/>
        <w:bidi w:val="0"/>
        <w:adjustRightInd/>
        <w:snapToGrid/>
        <w:spacing w:line="360" w:lineRule="auto"/>
        <w:ind w:firstLine="420" w:firstLineChars="200"/>
        <w:textAlignment w:val="auto"/>
      </w:pPr>
      <w:r>
        <w:t>A3.1.1</w:t>
      </w:r>
      <w:r>
        <w:rPr>
          <w:rFonts w:hint="eastAsia"/>
        </w:rPr>
        <w:t>在不改变投标人投标文件实质性内容的前提下，评标委员会应当对投标文件进行基础性数据分析和整理（本章中简称为“清标”），从而发现并提取其中可能存在的对招标范围理解的偏差、投标报价的算术性错误、错漏项、投标报价构成不合理、不平衡报价等存在明显异常的问题，并就这些问题整理形成清标成果。评标委员会对清标成果审议后，决定需要投标人进行书面澄清、说明或补正的问题，形成质疑问卷，向投标人发出问题澄清通知（包括质疑问卷）。</w:t>
      </w:r>
    </w:p>
    <w:p>
      <w:pPr>
        <w:pageBreakBefore w:val="0"/>
        <w:widowControl w:val="0"/>
        <w:kinsoku/>
        <w:wordWrap/>
        <w:overflowPunct/>
        <w:topLinePunct w:val="0"/>
        <w:autoSpaceDE/>
        <w:autoSpaceDN/>
        <w:bidi w:val="0"/>
        <w:adjustRightInd/>
        <w:snapToGrid/>
        <w:spacing w:line="360" w:lineRule="auto"/>
        <w:ind w:firstLine="420" w:firstLineChars="200"/>
        <w:textAlignment w:val="auto"/>
      </w:pPr>
      <w:r>
        <w:t>A3.1.2</w:t>
      </w:r>
      <w:r>
        <w:rPr>
          <w:rFonts w:hint="eastAsia"/>
        </w:rPr>
        <w:t>投标人接到评标委员会发出的问题澄清通知后，应按评标委员会的要求，提供澄清资料，并按要求进行递交。</w:t>
      </w:r>
    </w:p>
    <w:p>
      <w:pPr>
        <w:pageBreakBefore w:val="0"/>
        <w:widowControl w:val="0"/>
        <w:kinsoku/>
        <w:wordWrap/>
        <w:overflowPunct/>
        <w:topLinePunct w:val="0"/>
        <w:autoSpaceDE/>
        <w:autoSpaceDN/>
        <w:bidi w:val="0"/>
        <w:adjustRightInd/>
        <w:snapToGrid/>
        <w:spacing w:line="360" w:lineRule="auto"/>
        <w:textAlignment w:val="auto"/>
        <w:rPr>
          <w:b/>
        </w:rPr>
      </w:pPr>
      <w:r>
        <w:rPr>
          <w:rFonts w:ascii="宋体" w:hAnsi="宋体"/>
          <w:b/>
        </w:rPr>
        <w:t>A3.2</w:t>
      </w:r>
      <w:r>
        <w:rPr>
          <w:rFonts w:hint="eastAsia"/>
          <w:b/>
        </w:rPr>
        <w:t>形式评审</w:t>
      </w:r>
    </w:p>
    <w:p>
      <w:pPr>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评标委员会根据评标办法前附表中规定的评审因素和评审标准，对投标人的投标文件进行形式评审。</w:t>
      </w:r>
    </w:p>
    <w:p>
      <w:pPr>
        <w:pageBreakBefore w:val="0"/>
        <w:widowControl w:val="0"/>
        <w:kinsoku/>
        <w:wordWrap/>
        <w:overflowPunct/>
        <w:topLinePunct w:val="0"/>
        <w:autoSpaceDE/>
        <w:autoSpaceDN/>
        <w:bidi w:val="0"/>
        <w:adjustRightInd/>
        <w:snapToGrid/>
        <w:spacing w:line="360" w:lineRule="auto"/>
        <w:textAlignment w:val="auto"/>
        <w:rPr>
          <w:b/>
        </w:rPr>
      </w:pPr>
      <w:r>
        <w:rPr>
          <w:b/>
        </w:rPr>
        <w:t>A3.3</w:t>
      </w:r>
      <w:r>
        <w:rPr>
          <w:rFonts w:hint="eastAsia"/>
          <w:b/>
        </w:rPr>
        <w:t>资格评审</w:t>
      </w:r>
    </w:p>
    <w:p>
      <w:pPr>
        <w:pageBreakBefore w:val="0"/>
        <w:widowControl w:val="0"/>
        <w:kinsoku/>
        <w:wordWrap/>
        <w:overflowPunct/>
        <w:topLinePunct w:val="0"/>
        <w:autoSpaceDE/>
        <w:autoSpaceDN/>
        <w:bidi w:val="0"/>
        <w:adjustRightInd/>
        <w:snapToGrid/>
        <w:spacing w:line="360" w:lineRule="auto"/>
        <w:ind w:firstLine="420" w:firstLineChars="200"/>
        <w:textAlignment w:val="auto"/>
      </w:pPr>
      <w:r>
        <w:t xml:space="preserve">A3.3.1  </w:t>
      </w:r>
      <w:r>
        <w:rPr>
          <w:rFonts w:hint="eastAsia"/>
        </w:rPr>
        <w:t>评标委员会根据评标办法前附表中规定的评审因素和评审标准，对投标人的投标文件进行资格评审。</w:t>
      </w:r>
    </w:p>
    <w:p>
      <w:pPr>
        <w:pageBreakBefore w:val="0"/>
        <w:widowControl w:val="0"/>
        <w:kinsoku/>
        <w:wordWrap/>
        <w:overflowPunct/>
        <w:topLinePunct w:val="0"/>
        <w:autoSpaceDE/>
        <w:autoSpaceDN/>
        <w:bidi w:val="0"/>
        <w:adjustRightInd/>
        <w:snapToGrid/>
        <w:spacing w:line="360" w:lineRule="auto"/>
        <w:textAlignment w:val="auto"/>
        <w:rPr>
          <w:b/>
        </w:rPr>
      </w:pPr>
      <w:r>
        <w:rPr>
          <w:b/>
        </w:rPr>
        <w:t xml:space="preserve">A3.4 </w:t>
      </w:r>
      <w:r>
        <w:rPr>
          <w:rFonts w:hint="eastAsia"/>
          <w:b/>
        </w:rPr>
        <w:t>响应性评审</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rPr>
      </w:pPr>
      <w:r>
        <w:rPr>
          <w:rFonts w:hint="eastAsia" w:ascii="宋体" w:hAnsi="宋体"/>
        </w:rPr>
        <w:t>评标委员会根据评标办法前附表中规定的评审因素和评审标准，对投标人的投标文件进行响应性评审。</w:t>
      </w:r>
    </w:p>
    <w:p>
      <w:pPr>
        <w:pageBreakBefore w:val="0"/>
        <w:widowControl w:val="0"/>
        <w:kinsoku/>
        <w:wordWrap/>
        <w:overflowPunct/>
        <w:topLinePunct w:val="0"/>
        <w:autoSpaceDE/>
        <w:autoSpaceDN/>
        <w:bidi w:val="0"/>
        <w:adjustRightInd/>
        <w:snapToGrid/>
        <w:spacing w:line="360" w:lineRule="auto"/>
        <w:textAlignment w:val="auto"/>
        <w:rPr>
          <w:b/>
        </w:rPr>
      </w:pPr>
      <w:r>
        <w:rPr>
          <w:b/>
        </w:rPr>
        <w:t>A3.5</w:t>
      </w:r>
      <w:r>
        <w:rPr>
          <w:rFonts w:hint="eastAsia"/>
          <w:b/>
        </w:rPr>
        <w:t>施工组织设计和项目管理机构评审（技术标）</w:t>
      </w:r>
    </w:p>
    <w:p>
      <w:pPr>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评标委员会根据评标办法前附表中规定的评审因素和评审标准，对投标人的施工组织设计和项目管理机构进行评审。</w:t>
      </w:r>
    </w:p>
    <w:p>
      <w:pPr>
        <w:pageBreakBefore w:val="0"/>
        <w:widowControl w:val="0"/>
        <w:kinsoku/>
        <w:wordWrap/>
        <w:overflowPunct/>
        <w:topLinePunct w:val="0"/>
        <w:autoSpaceDE/>
        <w:autoSpaceDN/>
        <w:bidi w:val="0"/>
        <w:adjustRightInd/>
        <w:snapToGrid/>
        <w:spacing w:line="360" w:lineRule="auto"/>
        <w:textAlignment w:val="auto"/>
        <w:rPr>
          <w:b/>
        </w:rPr>
      </w:pPr>
      <w:r>
        <w:rPr>
          <w:b/>
        </w:rPr>
        <w:t xml:space="preserve">A3.6 </w:t>
      </w:r>
      <w:r>
        <w:rPr>
          <w:rFonts w:hint="eastAsia"/>
          <w:b/>
        </w:rPr>
        <w:t>判断投标是否为否决投标</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rPr>
      </w:pPr>
      <w:r>
        <w:rPr>
          <w:rFonts w:ascii="宋体" w:hAnsi="宋体"/>
        </w:rPr>
        <w:t xml:space="preserve">A3.6.1 </w:t>
      </w:r>
      <w:r>
        <w:rPr>
          <w:rFonts w:hint="eastAsia" w:ascii="宋体" w:hAnsi="宋体"/>
        </w:rPr>
        <w:t>判断投标人的投标是否为否决投标的全部条件（包括</w:t>
      </w:r>
      <w:r>
        <w:fldChar w:fldCharType="begin"/>
      </w:r>
      <w:r>
        <w:instrText xml:space="preserve"> HYPERLINK "file:///H:\\泰州招标文件范本\\泰州市房屋建筑和市政工程施工2016.4.docx" \l "_3.2_初步评审" </w:instrText>
      </w:r>
      <w:r>
        <w:fldChar w:fldCharType="separate"/>
      </w:r>
      <w:r>
        <w:rPr>
          <w:rStyle w:val="18"/>
          <w:rFonts w:hint="eastAsia" w:ascii="宋体" w:hAnsi="宋体"/>
          <w:color w:val="auto"/>
        </w:rPr>
        <w:t>本章第</w:t>
      </w:r>
      <w:r>
        <w:rPr>
          <w:rStyle w:val="18"/>
          <w:rFonts w:ascii="宋体" w:hAnsi="宋体"/>
          <w:color w:val="auto"/>
        </w:rPr>
        <w:t>3.2.3</w:t>
      </w:r>
      <w:r>
        <w:rPr>
          <w:rStyle w:val="18"/>
          <w:rFonts w:hint="eastAsia" w:ascii="宋体" w:hAnsi="宋体"/>
          <w:color w:val="auto"/>
        </w:rPr>
        <w:t>项</w:t>
      </w:r>
      <w:r>
        <w:rPr>
          <w:rStyle w:val="18"/>
          <w:rFonts w:hint="eastAsia" w:ascii="宋体" w:hAnsi="宋体"/>
          <w:color w:val="auto"/>
        </w:rPr>
        <w:fldChar w:fldCharType="end"/>
      </w:r>
      <w:r>
        <w:rPr>
          <w:rFonts w:hint="eastAsia" w:ascii="宋体" w:hAnsi="宋体"/>
        </w:rPr>
        <w:t>中规定的条件），在本章附件</w:t>
      </w:r>
      <w:r>
        <w:rPr>
          <w:rFonts w:ascii="宋体" w:hAnsi="宋体"/>
        </w:rPr>
        <w:t>B</w:t>
      </w:r>
      <w:r>
        <w:rPr>
          <w:rFonts w:hint="eastAsia" w:ascii="宋体" w:hAnsi="宋体"/>
        </w:rPr>
        <w:t>中集中列示。</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rPr>
      </w:pPr>
      <w:r>
        <w:rPr>
          <w:rFonts w:ascii="宋体" w:hAnsi="宋体"/>
        </w:rPr>
        <w:t xml:space="preserve">A3.6.2 </w:t>
      </w:r>
      <w:r>
        <w:rPr>
          <w:rFonts w:hint="eastAsia" w:ascii="宋体" w:hAnsi="宋体"/>
        </w:rPr>
        <w:t>本章附件</w:t>
      </w:r>
      <w:r>
        <w:rPr>
          <w:rFonts w:ascii="宋体" w:hAnsi="宋体"/>
        </w:rPr>
        <w:t>B</w:t>
      </w:r>
      <w:r>
        <w:rPr>
          <w:rFonts w:hint="eastAsia" w:ascii="宋体" w:hAnsi="宋体"/>
        </w:rPr>
        <w:t>集中列示的否决投标条件不应与本章正文部分包括的否决投标条件相抵触，如果出现相互矛盾的情况，以第二章“投标人须知”和本章正文部分的规定为准。</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rPr>
      </w:pPr>
      <w:r>
        <w:rPr>
          <w:rFonts w:ascii="宋体" w:hAnsi="宋体"/>
        </w:rPr>
        <w:t xml:space="preserve">A3.6.3 </w:t>
      </w:r>
      <w:r>
        <w:rPr>
          <w:rFonts w:hint="eastAsia" w:ascii="宋体" w:hAnsi="宋体"/>
        </w:rPr>
        <w:t>评标委员会在评标（包括初步评审和详细评审）过程中，依据本章</w:t>
      </w:r>
      <w:r>
        <w:fldChar w:fldCharType="begin"/>
      </w:r>
      <w:r>
        <w:instrText xml:space="preserve"> HYPERLINK "file:///H:\\泰州招标文件范本\\泰州市房屋建筑和市政工程施工2016.4.docx" \l "_附件B：废标条件" </w:instrText>
      </w:r>
      <w:r>
        <w:fldChar w:fldCharType="separate"/>
      </w:r>
      <w:r>
        <w:rPr>
          <w:rStyle w:val="18"/>
          <w:rFonts w:hint="eastAsia" w:ascii="宋体" w:hAnsi="宋体"/>
          <w:color w:val="auto"/>
        </w:rPr>
        <w:t>附件</w:t>
      </w:r>
      <w:r>
        <w:rPr>
          <w:rStyle w:val="18"/>
          <w:rFonts w:ascii="宋体" w:hAnsi="宋体"/>
          <w:color w:val="auto"/>
        </w:rPr>
        <w:t>B</w:t>
      </w:r>
      <w:r>
        <w:rPr>
          <w:rStyle w:val="18"/>
          <w:rFonts w:ascii="宋体" w:hAnsi="宋体"/>
          <w:color w:val="auto"/>
        </w:rPr>
        <w:fldChar w:fldCharType="end"/>
      </w:r>
      <w:r>
        <w:rPr>
          <w:rFonts w:hint="eastAsia" w:ascii="宋体" w:hAnsi="宋体"/>
        </w:rPr>
        <w:t>中规定的否决投标条件判断投标人的投标是否为否决投标。</w:t>
      </w:r>
    </w:p>
    <w:p>
      <w:pPr>
        <w:pageBreakBefore w:val="0"/>
        <w:widowControl w:val="0"/>
        <w:kinsoku/>
        <w:wordWrap/>
        <w:overflowPunct/>
        <w:topLinePunct w:val="0"/>
        <w:autoSpaceDE/>
        <w:autoSpaceDN/>
        <w:bidi w:val="0"/>
        <w:adjustRightInd/>
        <w:snapToGrid/>
        <w:spacing w:line="360" w:lineRule="auto"/>
        <w:textAlignment w:val="auto"/>
        <w:rPr>
          <w:b/>
        </w:rPr>
      </w:pPr>
      <w:r>
        <w:rPr>
          <w:b/>
        </w:rPr>
        <w:t xml:space="preserve">A3.7 </w:t>
      </w:r>
      <w:r>
        <w:rPr>
          <w:rFonts w:hint="eastAsia"/>
          <w:b/>
        </w:rPr>
        <w:t>算术错误修正</w:t>
      </w:r>
    </w:p>
    <w:p>
      <w:pPr>
        <w:pageBreakBefore w:val="0"/>
        <w:widowControl w:val="0"/>
        <w:kinsoku/>
        <w:wordWrap/>
        <w:overflowPunct/>
        <w:topLinePunct w:val="0"/>
        <w:autoSpaceDE/>
        <w:autoSpaceDN/>
        <w:bidi w:val="0"/>
        <w:adjustRightInd/>
        <w:snapToGrid/>
        <w:spacing w:after="120" w:afterLines="50" w:line="360" w:lineRule="auto"/>
        <w:ind w:firstLine="359" w:firstLineChars="171"/>
        <w:textAlignment w:val="auto"/>
        <w:rPr>
          <w:rFonts w:ascii="Arial" w:hAnsi="Arial" w:cs="Arial"/>
          <w:szCs w:val="21"/>
        </w:rPr>
      </w:pPr>
      <w:r>
        <w:rPr>
          <w:rFonts w:hint="eastAsia" w:ascii="Arial" w:hAnsi="Arial" w:cs="Arial"/>
          <w:szCs w:val="21"/>
        </w:rPr>
        <w:t>评标委员会依据本章中规定的相关原则，对投标报价中存在的算术错误进行修正，并根据算术错误修正结果计算评标价。</w:t>
      </w:r>
    </w:p>
    <w:p>
      <w:pPr>
        <w:pageBreakBefore w:val="0"/>
        <w:widowControl w:val="0"/>
        <w:kinsoku/>
        <w:wordWrap/>
        <w:overflowPunct/>
        <w:topLinePunct w:val="0"/>
        <w:autoSpaceDE/>
        <w:autoSpaceDN/>
        <w:bidi w:val="0"/>
        <w:adjustRightInd/>
        <w:snapToGrid/>
        <w:spacing w:line="360" w:lineRule="auto"/>
        <w:textAlignment w:val="auto"/>
        <w:rPr>
          <w:b/>
        </w:rPr>
      </w:pPr>
      <w:r>
        <w:rPr>
          <w:b/>
        </w:rPr>
        <w:t>A3.8</w:t>
      </w:r>
      <w:r>
        <w:rPr>
          <w:rFonts w:hint="eastAsia"/>
          <w:b/>
        </w:rPr>
        <w:t>澄清、说明和补正</w:t>
      </w:r>
    </w:p>
    <w:p>
      <w:pPr>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在初步评审过程中，评标委员会应当就投标文件中不明确的内容，要求投标人进行澄清、说明或者补正。投标人应当根据问题澄清通知要求，以书面形式予以澄清、说明或者补正。澄清、说明和补正根据</w:t>
      </w:r>
      <w:r>
        <w:fldChar w:fldCharType="begin"/>
      </w:r>
      <w:r>
        <w:instrText xml:space="preserve"> HYPERLINK "file:///H:\\泰州招标文件范本\\泰州市房屋建筑和市政工程施工2016.4.docx" \l "_3.3_详细评审" </w:instrText>
      </w:r>
      <w:r>
        <w:fldChar w:fldCharType="separate"/>
      </w:r>
      <w:r>
        <w:rPr>
          <w:rStyle w:val="18"/>
          <w:rFonts w:hint="eastAsia"/>
          <w:color w:val="auto"/>
        </w:rPr>
        <w:t>本章第</w:t>
      </w:r>
      <w:r>
        <w:rPr>
          <w:rStyle w:val="18"/>
          <w:color w:val="auto"/>
        </w:rPr>
        <w:t>3.4</w:t>
      </w:r>
      <w:r>
        <w:rPr>
          <w:rStyle w:val="18"/>
          <w:rFonts w:hint="eastAsia"/>
          <w:color w:val="auto"/>
        </w:rPr>
        <w:t>款</w:t>
      </w:r>
      <w:r>
        <w:rPr>
          <w:rStyle w:val="18"/>
          <w:rFonts w:hint="eastAsia"/>
          <w:color w:val="auto"/>
        </w:rPr>
        <w:fldChar w:fldCharType="end"/>
      </w:r>
      <w:r>
        <w:rPr>
          <w:rFonts w:hint="eastAsia"/>
        </w:rPr>
        <w:t>的规定进行。</w:t>
      </w:r>
    </w:p>
    <w:p>
      <w:pPr>
        <w:pStyle w:val="6"/>
        <w:pageBreakBefore w:val="0"/>
        <w:widowControl w:val="0"/>
        <w:kinsoku/>
        <w:wordWrap/>
        <w:overflowPunct/>
        <w:topLinePunct w:val="0"/>
        <w:autoSpaceDE/>
        <w:autoSpaceDN/>
        <w:bidi w:val="0"/>
        <w:adjustRightInd/>
        <w:snapToGrid/>
        <w:spacing w:line="360" w:lineRule="auto"/>
        <w:textAlignment w:val="auto"/>
      </w:pPr>
      <w:r>
        <w:t xml:space="preserve">A4.  </w:t>
      </w:r>
      <w:r>
        <w:rPr>
          <w:rFonts w:hint="eastAsia"/>
        </w:rPr>
        <w:t>详细评审</w:t>
      </w:r>
    </w:p>
    <w:p>
      <w:pPr>
        <w:pageBreakBefore w:val="0"/>
        <w:widowControl w:val="0"/>
        <w:kinsoku/>
        <w:wordWrap/>
        <w:overflowPunct/>
        <w:topLinePunct w:val="0"/>
        <w:autoSpaceDE/>
        <w:autoSpaceDN/>
        <w:bidi w:val="0"/>
        <w:adjustRightInd/>
        <w:snapToGrid/>
        <w:spacing w:after="120" w:afterLines="50" w:line="360" w:lineRule="auto"/>
        <w:ind w:firstLine="359" w:firstLineChars="171"/>
        <w:textAlignment w:val="auto"/>
        <w:rPr>
          <w:rFonts w:ascii="Arial" w:hAnsi="Arial" w:cs="Arial"/>
          <w:szCs w:val="21"/>
        </w:rPr>
      </w:pPr>
      <w:r>
        <w:rPr>
          <w:rFonts w:hint="eastAsia" w:ascii="Arial" w:hAnsi="Arial" w:cs="Arial"/>
          <w:szCs w:val="21"/>
        </w:rPr>
        <w:t>只有通过了初步评审，被判定为合格的投标方可进入详细评审。</w:t>
      </w:r>
    </w:p>
    <w:p>
      <w:pPr>
        <w:pageBreakBefore w:val="0"/>
        <w:widowControl w:val="0"/>
        <w:kinsoku/>
        <w:wordWrap/>
        <w:overflowPunct/>
        <w:topLinePunct w:val="0"/>
        <w:autoSpaceDE/>
        <w:autoSpaceDN/>
        <w:bidi w:val="0"/>
        <w:adjustRightInd/>
        <w:snapToGrid/>
        <w:spacing w:line="360" w:lineRule="auto"/>
        <w:textAlignment w:val="auto"/>
        <w:rPr>
          <w:b/>
        </w:rPr>
      </w:pPr>
      <w:r>
        <w:rPr>
          <w:b/>
        </w:rPr>
        <w:t>A4.1</w:t>
      </w:r>
      <w:r>
        <w:rPr>
          <w:rFonts w:hint="eastAsia"/>
          <w:b/>
        </w:rPr>
        <w:t>判断投标报价是否低于成本</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rPr>
      </w:pPr>
      <w:r>
        <w:rPr>
          <w:rFonts w:hint="eastAsia" w:ascii="宋体" w:hAnsi="宋体"/>
        </w:rPr>
        <w:t>根据本章第</w:t>
      </w:r>
      <w:r>
        <w:rPr>
          <w:rFonts w:ascii="宋体" w:hAnsi="宋体"/>
        </w:rPr>
        <w:t>3.3.1</w:t>
      </w:r>
      <w:r>
        <w:rPr>
          <w:rFonts w:hint="eastAsia" w:ascii="宋体" w:hAnsi="宋体"/>
        </w:rPr>
        <w:t>项的规定</w:t>
      </w:r>
      <w:r>
        <w:rPr>
          <w:rFonts w:ascii="宋体"/>
        </w:rPr>
        <w:t>,</w:t>
      </w:r>
      <w:r>
        <w:rPr>
          <w:rFonts w:hint="eastAsia" w:ascii="宋体" w:hAnsi="宋体"/>
        </w:rPr>
        <w:t>评标委员会根据本章附件</w:t>
      </w:r>
      <w:r>
        <w:rPr>
          <w:rFonts w:ascii="宋体" w:hAnsi="宋体"/>
        </w:rPr>
        <w:t>C</w:t>
      </w:r>
      <w:r>
        <w:rPr>
          <w:rFonts w:hint="eastAsia" w:ascii="宋体" w:hAnsi="宋体"/>
        </w:rPr>
        <w:t>中规定的程序、标准和方法，判断投标报价是否低于其成本。由评标委员会认定投标人以低于成本竞标的，其投标作否决投标处理。</w:t>
      </w:r>
    </w:p>
    <w:p>
      <w:pPr>
        <w:pageBreakBefore w:val="0"/>
        <w:widowControl w:val="0"/>
        <w:kinsoku/>
        <w:wordWrap/>
        <w:overflowPunct/>
        <w:topLinePunct w:val="0"/>
        <w:autoSpaceDE/>
        <w:autoSpaceDN/>
        <w:bidi w:val="0"/>
        <w:adjustRightInd/>
        <w:snapToGrid/>
        <w:spacing w:line="360" w:lineRule="auto"/>
        <w:textAlignment w:val="auto"/>
        <w:rPr>
          <w:b/>
        </w:rPr>
      </w:pPr>
      <w:r>
        <w:rPr>
          <w:b/>
        </w:rPr>
        <w:t xml:space="preserve">A4.2 </w:t>
      </w:r>
      <w:r>
        <w:rPr>
          <w:rFonts w:hint="eastAsia"/>
          <w:b/>
        </w:rPr>
        <w:t>投标报价</w:t>
      </w:r>
      <w:r>
        <w:rPr>
          <w:rFonts w:hint="eastAsia" w:ascii="Arial" w:hAnsi="Arial" w:cs="Arial"/>
          <w:b/>
          <w:szCs w:val="21"/>
        </w:rPr>
        <w:t>和其他因素</w:t>
      </w:r>
      <w:r>
        <w:rPr>
          <w:rFonts w:hint="eastAsia"/>
          <w:b/>
        </w:rPr>
        <w:t>评审和评分</w:t>
      </w:r>
    </w:p>
    <w:p>
      <w:pPr>
        <w:pageBreakBefore w:val="0"/>
        <w:widowControl w:val="0"/>
        <w:kinsoku/>
        <w:wordWrap/>
        <w:overflowPunct/>
        <w:topLinePunct w:val="0"/>
        <w:autoSpaceDE/>
        <w:autoSpaceDN/>
        <w:bidi w:val="0"/>
        <w:adjustRightInd/>
        <w:snapToGrid/>
        <w:spacing w:line="360" w:lineRule="auto"/>
        <w:ind w:firstLine="315" w:firstLineChars="150"/>
        <w:textAlignment w:val="auto"/>
      </w:pPr>
      <w:r>
        <w:rPr>
          <w:rFonts w:hint="eastAsia"/>
        </w:rPr>
        <w:t>评标委员会根据评标办法前附表中规定的评分标准，对投标报价和其他因素进行评分。</w:t>
      </w:r>
    </w:p>
    <w:p>
      <w:pPr>
        <w:pageBreakBefore w:val="0"/>
        <w:widowControl w:val="0"/>
        <w:kinsoku/>
        <w:wordWrap/>
        <w:overflowPunct/>
        <w:topLinePunct w:val="0"/>
        <w:autoSpaceDE/>
        <w:autoSpaceDN/>
        <w:bidi w:val="0"/>
        <w:adjustRightInd/>
        <w:snapToGrid/>
        <w:spacing w:line="360" w:lineRule="auto"/>
        <w:textAlignment w:val="auto"/>
        <w:rPr>
          <w:b/>
        </w:rPr>
      </w:pPr>
      <w:r>
        <w:rPr>
          <w:b/>
        </w:rPr>
        <w:t xml:space="preserve">A4.3 </w:t>
      </w:r>
      <w:r>
        <w:rPr>
          <w:rFonts w:hint="eastAsia"/>
          <w:b/>
        </w:rPr>
        <w:t>澄清、说明和补正</w:t>
      </w:r>
    </w:p>
    <w:p>
      <w:pPr>
        <w:pageBreakBefore w:val="0"/>
        <w:widowControl w:val="0"/>
        <w:kinsoku/>
        <w:wordWrap/>
        <w:overflowPunct/>
        <w:topLinePunct w:val="0"/>
        <w:autoSpaceDE/>
        <w:autoSpaceDN/>
        <w:bidi w:val="0"/>
        <w:adjustRightInd/>
        <w:snapToGrid/>
        <w:spacing w:after="120" w:afterLines="50" w:line="360" w:lineRule="auto"/>
        <w:ind w:firstLine="359" w:firstLineChars="171"/>
        <w:textAlignment w:val="auto"/>
        <w:rPr>
          <w:rFonts w:ascii="宋体" w:cs="Arial"/>
          <w:szCs w:val="21"/>
        </w:rPr>
      </w:pPr>
      <w:r>
        <w:rPr>
          <w:rFonts w:hint="eastAsia" w:ascii="宋体" w:hAnsi="宋体" w:cs="Arial"/>
          <w:szCs w:val="21"/>
        </w:rPr>
        <w:t>在详细评审过程中，评标委员会应当就投标文件中不明确的内容，要求投标人进行澄清、说明或者补正。投标人应当根据问题澄清通知要求，以书面形式予以澄清、说明或者补正。澄清、说明和补正根据</w:t>
      </w:r>
      <w:r>
        <w:fldChar w:fldCharType="begin"/>
      </w:r>
      <w:r>
        <w:instrText xml:space="preserve"> HYPERLINK "file:///H:\\泰州招标文件范本\\泰州市房屋建筑和市政工程施工2016.4.docx" \l "_3.4_投标文件的澄清和补正" </w:instrText>
      </w:r>
      <w:r>
        <w:fldChar w:fldCharType="separate"/>
      </w:r>
      <w:r>
        <w:rPr>
          <w:rStyle w:val="18"/>
          <w:rFonts w:hint="eastAsia" w:ascii="宋体" w:hAnsi="宋体" w:cs="Arial"/>
          <w:color w:val="auto"/>
          <w:szCs w:val="21"/>
        </w:rPr>
        <w:t>本章第</w:t>
      </w:r>
      <w:r>
        <w:rPr>
          <w:rStyle w:val="18"/>
          <w:rFonts w:ascii="宋体" w:hAnsi="宋体" w:cs="Arial"/>
          <w:color w:val="auto"/>
          <w:szCs w:val="21"/>
        </w:rPr>
        <w:t>3.4</w:t>
      </w:r>
      <w:r>
        <w:rPr>
          <w:rStyle w:val="18"/>
          <w:rFonts w:hint="eastAsia" w:ascii="宋体" w:hAnsi="宋体" w:cs="Arial"/>
          <w:color w:val="auto"/>
          <w:szCs w:val="21"/>
        </w:rPr>
        <w:t>款</w:t>
      </w:r>
      <w:r>
        <w:rPr>
          <w:rStyle w:val="18"/>
          <w:rFonts w:hint="eastAsia" w:ascii="宋体" w:hAnsi="宋体" w:cs="Arial"/>
          <w:color w:val="auto"/>
          <w:szCs w:val="21"/>
        </w:rPr>
        <w:fldChar w:fldCharType="end"/>
      </w:r>
      <w:r>
        <w:rPr>
          <w:rFonts w:hint="eastAsia" w:ascii="宋体" w:hAnsi="宋体" w:cs="Arial"/>
          <w:szCs w:val="21"/>
        </w:rPr>
        <w:t>的规定进行。</w:t>
      </w:r>
    </w:p>
    <w:p>
      <w:pPr>
        <w:pStyle w:val="6"/>
        <w:pageBreakBefore w:val="0"/>
        <w:widowControl w:val="0"/>
        <w:kinsoku/>
        <w:wordWrap/>
        <w:overflowPunct/>
        <w:topLinePunct w:val="0"/>
        <w:autoSpaceDE/>
        <w:autoSpaceDN/>
        <w:bidi w:val="0"/>
        <w:adjustRightInd/>
        <w:snapToGrid/>
        <w:spacing w:line="360" w:lineRule="auto"/>
        <w:textAlignment w:val="auto"/>
      </w:pPr>
      <w:r>
        <w:t xml:space="preserve">A5  </w:t>
      </w:r>
      <w:r>
        <w:rPr>
          <w:rFonts w:hint="eastAsia"/>
        </w:rPr>
        <w:t>推荐中标候选人或者直接确定中标人</w:t>
      </w:r>
    </w:p>
    <w:p>
      <w:pPr>
        <w:pageBreakBefore w:val="0"/>
        <w:widowControl w:val="0"/>
        <w:kinsoku/>
        <w:wordWrap/>
        <w:overflowPunct/>
        <w:topLinePunct w:val="0"/>
        <w:autoSpaceDE/>
        <w:autoSpaceDN/>
        <w:bidi w:val="0"/>
        <w:adjustRightInd/>
        <w:snapToGrid/>
        <w:spacing w:line="360" w:lineRule="auto"/>
        <w:textAlignment w:val="auto"/>
        <w:rPr>
          <w:b/>
        </w:rPr>
      </w:pPr>
      <w:r>
        <w:rPr>
          <w:b/>
        </w:rPr>
        <w:t xml:space="preserve">A5.1 </w:t>
      </w:r>
      <w:r>
        <w:rPr>
          <w:rFonts w:hint="eastAsia"/>
          <w:b/>
        </w:rPr>
        <w:t>汇总评标结果</w:t>
      </w:r>
    </w:p>
    <w:p>
      <w:pPr>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评审工作全部结束后，评标委员会应按照格式填写评标得分汇总表。</w:t>
      </w:r>
    </w:p>
    <w:p>
      <w:pPr>
        <w:pageBreakBefore w:val="0"/>
        <w:widowControl w:val="0"/>
        <w:kinsoku/>
        <w:wordWrap/>
        <w:overflowPunct/>
        <w:topLinePunct w:val="0"/>
        <w:autoSpaceDE/>
        <w:autoSpaceDN/>
        <w:bidi w:val="0"/>
        <w:adjustRightInd/>
        <w:snapToGrid/>
        <w:spacing w:line="360" w:lineRule="auto"/>
        <w:textAlignment w:val="auto"/>
        <w:rPr>
          <w:b/>
        </w:rPr>
      </w:pPr>
      <w:r>
        <w:rPr>
          <w:b/>
        </w:rPr>
        <w:t xml:space="preserve">A5.2 </w:t>
      </w:r>
      <w:r>
        <w:rPr>
          <w:rFonts w:hint="eastAsia"/>
          <w:b/>
        </w:rPr>
        <w:t>推荐中标候选人</w:t>
      </w:r>
    </w:p>
    <w:p>
      <w:pPr>
        <w:pageBreakBefore w:val="0"/>
        <w:widowControl w:val="0"/>
        <w:kinsoku/>
        <w:wordWrap/>
        <w:overflowPunct/>
        <w:topLinePunct w:val="0"/>
        <w:autoSpaceDE/>
        <w:autoSpaceDN/>
        <w:bidi w:val="0"/>
        <w:adjustRightInd/>
        <w:snapToGrid/>
        <w:spacing w:line="360" w:lineRule="auto"/>
        <w:ind w:firstLine="420" w:firstLineChars="200"/>
        <w:textAlignment w:val="auto"/>
      </w:pPr>
      <w:r>
        <w:t>A5.2.1</w:t>
      </w:r>
      <w:r>
        <w:rPr>
          <w:rFonts w:hint="eastAsia"/>
        </w:rPr>
        <w:t>除第二章“</w:t>
      </w:r>
      <w:r>
        <w:fldChar w:fldCharType="begin"/>
      </w:r>
      <w:r>
        <w:instrText xml:space="preserve"> HYPERLINK "file:///H:\\泰州招标文件范本\\泰州市房屋建筑和市政工程施工2016.4.docx" \l "_定标方式" </w:instrText>
      </w:r>
      <w:r>
        <w:fldChar w:fldCharType="separate"/>
      </w:r>
      <w:r>
        <w:rPr>
          <w:rStyle w:val="18"/>
          <w:rFonts w:hint="eastAsia"/>
          <w:color w:val="auto"/>
        </w:rPr>
        <w:t>投标人须知”前附表</w:t>
      </w:r>
      <w:r>
        <w:rPr>
          <w:rStyle w:val="18"/>
          <w:rFonts w:hint="eastAsia"/>
          <w:color w:val="auto"/>
        </w:rPr>
        <w:fldChar w:fldCharType="end"/>
      </w:r>
      <w:r>
        <w:rPr>
          <w:rFonts w:hint="eastAsia"/>
        </w:rPr>
        <w:t>授权直接确定中标人外，评标委员会在推荐中标候选人时，应遵照以下原则：</w:t>
      </w:r>
    </w:p>
    <w:p>
      <w:pPr>
        <w:pageBreakBefore w:val="0"/>
        <w:widowControl w:val="0"/>
        <w:kinsoku/>
        <w:wordWrap/>
        <w:overflowPunct/>
        <w:topLinePunct w:val="0"/>
        <w:autoSpaceDE/>
        <w:autoSpaceDN/>
        <w:bidi w:val="0"/>
        <w:adjustRightInd/>
        <w:snapToGrid/>
        <w:spacing w:line="360" w:lineRule="auto"/>
        <w:ind w:firstLine="210" w:firstLineChars="100"/>
        <w:textAlignment w:val="auto"/>
      </w:pPr>
      <w:r>
        <w:rPr>
          <w:rFonts w:hint="eastAsia"/>
        </w:rPr>
        <w:t>（</w:t>
      </w:r>
      <w:r>
        <w:t>1</w:t>
      </w:r>
      <w:r>
        <w:rPr>
          <w:rFonts w:hint="eastAsia"/>
        </w:rPr>
        <w:t>）评标委员会对有效的投标，按照得分由高至低的次序排列，根据第二章</w:t>
      </w:r>
      <w:r>
        <w:fldChar w:fldCharType="begin"/>
      </w:r>
      <w:r>
        <w:instrText xml:space="preserve"> HYPERLINK "file:///H:\\泰州招标文件范本\\泰州市房屋建筑和市政工程施工2016.4.docx" \l "_7.2_定标方式" </w:instrText>
      </w:r>
      <w:r>
        <w:fldChar w:fldCharType="separate"/>
      </w:r>
      <w:r>
        <w:rPr>
          <w:rStyle w:val="18"/>
          <w:rFonts w:hint="eastAsia"/>
          <w:color w:val="auto"/>
        </w:rPr>
        <w:t>投标人须知前附表</w:t>
      </w:r>
      <w:r>
        <w:rPr>
          <w:rStyle w:val="18"/>
          <w:color w:val="auto"/>
        </w:rPr>
        <w:t>7.1</w:t>
      </w:r>
      <w:r>
        <w:rPr>
          <w:rStyle w:val="18"/>
          <w:rFonts w:hint="eastAsia"/>
          <w:color w:val="auto"/>
        </w:rPr>
        <w:t>项</w:t>
      </w:r>
      <w:r>
        <w:rPr>
          <w:rStyle w:val="18"/>
          <w:rFonts w:hint="eastAsia"/>
          <w:color w:val="auto"/>
        </w:rPr>
        <w:fldChar w:fldCharType="end"/>
      </w:r>
      <w:r>
        <w:rPr>
          <w:rFonts w:hint="eastAsia"/>
        </w:rPr>
        <w:t>的规定推荐中标候选人。</w:t>
      </w:r>
    </w:p>
    <w:p>
      <w:pPr>
        <w:pageBreakBefore w:val="0"/>
        <w:widowControl w:val="0"/>
        <w:kinsoku/>
        <w:wordWrap/>
        <w:overflowPunct/>
        <w:topLinePunct w:val="0"/>
        <w:autoSpaceDE/>
        <w:autoSpaceDN/>
        <w:bidi w:val="0"/>
        <w:adjustRightInd/>
        <w:snapToGrid/>
        <w:spacing w:line="360" w:lineRule="auto"/>
        <w:ind w:firstLine="210" w:firstLineChars="100"/>
        <w:textAlignment w:val="auto"/>
      </w:pPr>
      <w:r>
        <w:rPr>
          <w:rFonts w:hint="eastAsia"/>
        </w:rPr>
        <w:t>（</w:t>
      </w:r>
      <w:r>
        <w:t>2</w:t>
      </w:r>
      <w:r>
        <w:rPr>
          <w:rFonts w:hint="eastAsia"/>
        </w:rPr>
        <w:t>）如果评标委员会根据本章的规定作否决投标处理后，有效投标不足三个，且少于第二章</w:t>
      </w:r>
      <w:r>
        <w:fldChar w:fldCharType="begin"/>
      </w:r>
      <w:r>
        <w:instrText xml:space="preserve"> HYPERLINK "file:///H:\\泰州招标文件范本\\泰州市房屋建筑和市政工程施工2016.4.docx" \l "_定标方式" </w:instrText>
      </w:r>
      <w:r>
        <w:fldChar w:fldCharType="separate"/>
      </w:r>
      <w:r>
        <w:rPr>
          <w:rStyle w:val="18"/>
          <w:rFonts w:hint="eastAsia"/>
          <w:color w:val="auto"/>
        </w:rPr>
        <w:t>投标人须知前附表</w:t>
      </w:r>
      <w:r>
        <w:rPr>
          <w:rStyle w:val="18"/>
          <w:color w:val="auto"/>
        </w:rPr>
        <w:t>7.1</w:t>
      </w:r>
      <w:r>
        <w:rPr>
          <w:rStyle w:val="18"/>
          <w:rFonts w:hint="eastAsia"/>
          <w:color w:val="auto"/>
        </w:rPr>
        <w:t>项</w:t>
      </w:r>
      <w:r>
        <w:rPr>
          <w:rStyle w:val="18"/>
          <w:rFonts w:hint="eastAsia"/>
          <w:color w:val="auto"/>
        </w:rPr>
        <w:fldChar w:fldCharType="end"/>
      </w:r>
      <w:r>
        <w:rPr>
          <w:rFonts w:hint="eastAsia"/>
        </w:rPr>
        <w:t>规定的中标候选人数量的，则评标委员会可以将所有有效投标按得分由高至低的次序作为中标候选人向招标人推荐。如果因有效投标不足三个使得投标明显缺乏竞争的，评标委员会可以建议招标人重新招标。</w:t>
      </w:r>
    </w:p>
    <w:p>
      <w:pPr>
        <w:pageBreakBefore w:val="0"/>
        <w:widowControl w:val="0"/>
        <w:kinsoku/>
        <w:wordWrap/>
        <w:overflowPunct/>
        <w:topLinePunct w:val="0"/>
        <w:autoSpaceDE/>
        <w:autoSpaceDN/>
        <w:bidi w:val="0"/>
        <w:adjustRightInd/>
        <w:snapToGrid/>
        <w:spacing w:line="360" w:lineRule="auto"/>
        <w:ind w:firstLine="525" w:firstLineChars="250"/>
        <w:textAlignment w:val="auto"/>
      </w:pPr>
      <w:r>
        <w:t>A5.2.2</w:t>
      </w:r>
      <w:r>
        <w:rPr>
          <w:rFonts w:hint="eastAsia"/>
        </w:rPr>
        <w:t>投标截止时间前递交投标文件的投标人数量少于三个或者所有投标被否决的，招标人应当依法重新招标。</w:t>
      </w:r>
    </w:p>
    <w:p>
      <w:pPr>
        <w:pageBreakBefore w:val="0"/>
        <w:widowControl w:val="0"/>
        <w:kinsoku/>
        <w:wordWrap/>
        <w:overflowPunct/>
        <w:topLinePunct w:val="0"/>
        <w:autoSpaceDE/>
        <w:autoSpaceDN/>
        <w:bidi w:val="0"/>
        <w:adjustRightInd/>
        <w:snapToGrid/>
        <w:spacing w:line="360" w:lineRule="auto"/>
        <w:textAlignment w:val="auto"/>
        <w:rPr>
          <w:b/>
        </w:rPr>
      </w:pPr>
      <w:r>
        <w:rPr>
          <w:b/>
        </w:rPr>
        <w:t xml:space="preserve">A5.3 </w:t>
      </w:r>
      <w:r>
        <w:rPr>
          <w:rFonts w:hint="eastAsia"/>
          <w:b/>
        </w:rPr>
        <w:t>直接确定中标人</w:t>
      </w:r>
    </w:p>
    <w:p>
      <w:pPr>
        <w:pageBreakBefore w:val="0"/>
        <w:widowControl w:val="0"/>
        <w:kinsoku/>
        <w:wordWrap/>
        <w:overflowPunct/>
        <w:topLinePunct w:val="0"/>
        <w:autoSpaceDE/>
        <w:autoSpaceDN/>
        <w:bidi w:val="0"/>
        <w:adjustRightInd/>
        <w:snapToGrid/>
        <w:spacing w:line="360" w:lineRule="auto"/>
        <w:ind w:firstLine="315" w:firstLineChars="150"/>
        <w:textAlignment w:val="auto"/>
      </w:pPr>
      <w:r>
        <w:rPr>
          <w:rFonts w:hint="eastAsia"/>
        </w:rPr>
        <w:t>第二章“投标人须知”前附表授权评标委员会直接确定中标人的，评标委员会对有效的投标按照得分由高至低的次序排列，并确定排名第一的投标人为中标人。</w:t>
      </w:r>
    </w:p>
    <w:p>
      <w:pPr>
        <w:pageBreakBefore w:val="0"/>
        <w:widowControl w:val="0"/>
        <w:kinsoku/>
        <w:wordWrap/>
        <w:overflowPunct/>
        <w:topLinePunct w:val="0"/>
        <w:autoSpaceDE/>
        <w:autoSpaceDN/>
        <w:bidi w:val="0"/>
        <w:adjustRightInd/>
        <w:snapToGrid/>
        <w:spacing w:line="360" w:lineRule="auto"/>
        <w:textAlignment w:val="auto"/>
      </w:pPr>
      <w:r>
        <w:rPr>
          <w:b/>
        </w:rPr>
        <w:t xml:space="preserve">A5.4 </w:t>
      </w:r>
      <w:r>
        <w:rPr>
          <w:rFonts w:hint="eastAsia"/>
          <w:b/>
        </w:rPr>
        <w:t>编制及提交评标报告</w:t>
      </w:r>
    </w:p>
    <w:p>
      <w:pPr>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评标委员会根据</w:t>
      </w:r>
      <w:r>
        <w:fldChar w:fldCharType="begin"/>
      </w:r>
      <w:r>
        <w:instrText xml:space="preserve"> HYPERLINK "file:///H:\\泰州招标文件范本\\泰州市房屋建筑和市政工程施工2016.4.docx" \l "_3.4_投标文件的澄清和补正" </w:instrText>
      </w:r>
      <w:r>
        <w:fldChar w:fldCharType="separate"/>
      </w:r>
      <w:r>
        <w:rPr>
          <w:rStyle w:val="18"/>
          <w:rFonts w:hint="eastAsia"/>
          <w:color w:val="auto"/>
        </w:rPr>
        <w:t>本章第</w:t>
      </w:r>
      <w:r>
        <w:rPr>
          <w:rStyle w:val="18"/>
          <w:color w:val="auto"/>
        </w:rPr>
        <w:t>3.5.2</w:t>
      </w:r>
      <w:r>
        <w:rPr>
          <w:rStyle w:val="18"/>
          <w:rFonts w:hint="eastAsia"/>
          <w:color w:val="auto"/>
        </w:rPr>
        <w:t>项</w:t>
      </w:r>
      <w:r>
        <w:rPr>
          <w:rStyle w:val="18"/>
          <w:rFonts w:hint="eastAsia"/>
          <w:color w:val="auto"/>
        </w:rPr>
        <w:fldChar w:fldCharType="end"/>
      </w:r>
      <w:r>
        <w:rPr>
          <w:rFonts w:hint="eastAsia"/>
        </w:rPr>
        <w:t>的规定，向招标人提交评标报告。评标报告应当由全体评标委员会成员签字，并于评标结束时抄送有关行政监督部门。评标报告应当包括以下内容：</w:t>
      </w:r>
    </w:p>
    <w:p>
      <w:pPr>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w:t>
      </w:r>
      <w:r>
        <w:t>1</w:t>
      </w:r>
      <w:r>
        <w:rPr>
          <w:rFonts w:hint="eastAsia"/>
        </w:rPr>
        <w:t>）基本情况和数据表；</w:t>
      </w:r>
    </w:p>
    <w:p>
      <w:pPr>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w:t>
      </w:r>
      <w:r>
        <w:t>2</w:t>
      </w:r>
      <w:r>
        <w:rPr>
          <w:rFonts w:hint="eastAsia"/>
        </w:rPr>
        <w:t>）评标委员会成员名单；</w:t>
      </w:r>
    </w:p>
    <w:p>
      <w:pPr>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w:t>
      </w:r>
      <w:r>
        <w:t>3</w:t>
      </w:r>
      <w:r>
        <w:rPr>
          <w:rFonts w:hint="eastAsia"/>
        </w:rPr>
        <w:t>）开标记录；</w:t>
      </w:r>
    </w:p>
    <w:p>
      <w:pPr>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w:t>
      </w:r>
      <w:r>
        <w:t>4</w:t>
      </w:r>
      <w:r>
        <w:rPr>
          <w:rFonts w:hint="eastAsia"/>
        </w:rPr>
        <w:t>）符合要求的投标人一览表；</w:t>
      </w:r>
    </w:p>
    <w:p>
      <w:pPr>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w:t>
      </w:r>
      <w:r>
        <w:t>5</w:t>
      </w:r>
      <w:r>
        <w:rPr>
          <w:rFonts w:hint="eastAsia"/>
        </w:rPr>
        <w:t>）否决投标情况说明；</w:t>
      </w:r>
    </w:p>
    <w:p>
      <w:pPr>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w:t>
      </w:r>
      <w:r>
        <w:t>6</w:t>
      </w:r>
      <w:r>
        <w:rPr>
          <w:rFonts w:hint="eastAsia"/>
        </w:rPr>
        <w:t>）评标标准、评标方法或者评标因素一览表；</w:t>
      </w:r>
    </w:p>
    <w:p>
      <w:pPr>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w:t>
      </w:r>
      <w:r>
        <w:t>7</w:t>
      </w:r>
      <w:r>
        <w:rPr>
          <w:rFonts w:hint="eastAsia"/>
        </w:rPr>
        <w:t>）经评审的价格一览表（包括评标委员会在评标过程中所形成的所有记载评标结果、结论的表格、清标报告、说明、记录等文件）；</w:t>
      </w:r>
    </w:p>
    <w:p>
      <w:pPr>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w:t>
      </w:r>
      <w:r>
        <w:t>8</w:t>
      </w:r>
      <w:r>
        <w:rPr>
          <w:rFonts w:hint="eastAsia"/>
        </w:rPr>
        <w:t>）经评审的投标人排序；</w:t>
      </w:r>
    </w:p>
    <w:p>
      <w:pPr>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w:t>
      </w:r>
      <w:r>
        <w:t>9</w:t>
      </w:r>
      <w:r>
        <w:rPr>
          <w:rFonts w:hint="eastAsia"/>
        </w:rPr>
        <w:t>）推荐的中标候选人名单（如果第二章“投标人须知前附表”授权评标委员会直接确定中标人，则为“确定的中标人”）与签订合同前要处理的事宜；</w:t>
      </w:r>
    </w:p>
    <w:p>
      <w:pPr>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w:t>
      </w:r>
      <w:r>
        <w:t>10</w:t>
      </w:r>
      <w:r>
        <w:rPr>
          <w:rFonts w:hint="eastAsia"/>
        </w:rPr>
        <w:t>）澄清、说明和补正事项纪要。</w:t>
      </w:r>
    </w:p>
    <w:p>
      <w:pPr>
        <w:pStyle w:val="6"/>
        <w:pageBreakBefore w:val="0"/>
        <w:widowControl w:val="0"/>
        <w:kinsoku/>
        <w:wordWrap/>
        <w:overflowPunct/>
        <w:topLinePunct w:val="0"/>
        <w:autoSpaceDE/>
        <w:autoSpaceDN/>
        <w:bidi w:val="0"/>
        <w:adjustRightInd/>
        <w:snapToGrid/>
        <w:spacing w:line="360" w:lineRule="auto"/>
        <w:textAlignment w:val="auto"/>
      </w:pPr>
      <w:r>
        <w:t xml:space="preserve">A6. </w:t>
      </w:r>
      <w:r>
        <w:rPr>
          <w:rFonts w:hint="eastAsia"/>
        </w:rPr>
        <w:t>特殊情况的处置程序</w:t>
      </w:r>
    </w:p>
    <w:p>
      <w:pPr>
        <w:pageBreakBefore w:val="0"/>
        <w:widowControl w:val="0"/>
        <w:kinsoku/>
        <w:wordWrap/>
        <w:overflowPunct/>
        <w:topLinePunct w:val="0"/>
        <w:autoSpaceDE/>
        <w:autoSpaceDN/>
        <w:bidi w:val="0"/>
        <w:adjustRightInd/>
        <w:snapToGrid/>
        <w:spacing w:line="360" w:lineRule="auto"/>
        <w:ind w:firstLine="420" w:firstLineChars="200"/>
        <w:textAlignment w:val="auto"/>
      </w:pPr>
      <w:r>
        <w:t>A6.1</w:t>
      </w:r>
      <w:r>
        <w:rPr>
          <w:rFonts w:hint="eastAsia"/>
        </w:rPr>
        <w:t>关于评标活动暂停</w:t>
      </w:r>
    </w:p>
    <w:p>
      <w:pPr>
        <w:pageBreakBefore w:val="0"/>
        <w:widowControl w:val="0"/>
        <w:kinsoku/>
        <w:wordWrap/>
        <w:overflowPunct/>
        <w:topLinePunct w:val="0"/>
        <w:autoSpaceDE/>
        <w:autoSpaceDN/>
        <w:bidi w:val="0"/>
        <w:adjustRightInd/>
        <w:snapToGrid/>
        <w:spacing w:line="360" w:lineRule="auto"/>
        <w:ind w:firstLine="420" w:firstLineChars="200"/>
        <w:textAlignment w:val="auto"/>
      </w:pPr>
      <w:r>
        <w:t xml:space="preserve">A6.1.1 </w:t>
      </w:r>
      <w:r>
        <w:rPr>
          <w:rFonts w:hint="eastAsia"/>
        </w:rPr>
        <w:t>评标委员会应当执行连续评标的原则，按评标办法中规定的程序、内容、方法、标准完成全部评标工作。只有发生不可抗力导致评标工作无法继续时，评标活动方可暂停。</w:t>
      </w:r>
    </w:p>
    <w:p>
      <w:pPr>
        <w:pageBreakBefore w:val="0"/>
        <w:widowControl w:val="0"/>
        <w:kinsoku/>
        <w:wordWrap/>
        <w:overflowPunct/>
        <w:topLinePunct w:val="0"/>
        <w:autoSpaceDE/>
        <w:autoSpaceDN/>
        <w:bidi w:val="0"/>
        <w:adjustRightInd/>
        <w:snapToGrid/>
        <w:spacing w:line="360" w:lineRule="auto"/>
        <w:ind w:firstLine="420" w:firstLineChars="200"/>
        <w:textAlignment w:val="auto"/>
      </w:pPr>
      <w:r>
        <w:t xml:space="preserve">A6.1.2 </w:t>
      </w:r>
      <w:r>
        <w:rPr>
          <w:rFonts w:hint="eastAsia"/>
        </w:rPr>
        <w:t>发生评标暂停情况时，评标委员会应当封存全部投标文件和评标记录，待不可抗力的影响结束且具备继续评标的条件时，由原评标委员会继续评标。</w:t>
      </w:r>
    </w:p>
    <w:p>
      <w:pPr>
        <w:pageBreakBefore w:val="0"/>
        <w:widowControl w:val="0"/>
        <w:kinsoku/>
        <w:wordWrap/>
        <w:overflowPunct/>
        <w:topLinePunct w:val="0"/>
        <w:autoSpaceDE/>
        <w:autoSpaceDN/>
        <w:bidi w:val="0"/>
        <w:adjustRightInd/>
        <w:snapToGrid/>
        <w:spacing w:line="360" w:lineRule="auto"/>
        <w:ind w:firstLine="413" w:firstLineChars="196"/>
        <w:textAlignment w:val="auto"/>
        <w:rPr>
          <w:b/>
        </w:rPr>
      </w:pPr>
      <w:r>
        <w:rPr>
          <w:b/>
        </w:rPr>
        <w:t xml:space="preserve">A6.2  </w:t>
      </w:r>
      <w:r>
        <w:rPr>
          <w:rFonts w:hint="eastAsia"/>
          <w:b/>
        </w:rPr>
        <w:t>关于评标中途更换评标委员会成员</w:t>
      </w:r>
    </w:p>
    <w:p>
      <w:pPr>
        <w:pageBreakBefore w:val="0"/>
        <w:widowControl w:val="0"/>
        <w:kinsoku/>
        <w:wordWrap/>
        <w:overflowPunct/>
        <w:topLinePunct w:val="0"/>
        <w:autoSpaceDE/>
        <w:autoSpaceDN/>
        <w:bidi w:val="0"/>
        <w:adjustRightInd/>
        <w:snapToGrid/>
        <w:spacing w:line="360" w:lineRule="auto"/>
        <w:ind w:firstLine="420" w:firstLineChars="200"/>
        <w:textAlignment w:val="auto"/>
      </w:pPr>
      <w:r>
        <w:t xml:space="preserve">A6.2.1  </w:t>
      </w:r>
      <w:r>
        <w:rPr>
          <w:rFonts w:hint="eastAsia"/>
        </w:rPr>
        <w:t>除非发生下列情况之一，评标委员会成员不得在评标中途更换：</w:t>
      </w:r>
    </w:p>
    <w:p>
      <w:pPr>
        <w:pageBreakBefore w:val="0"/>
        <w:widowControl w:val="0"/>
        <w:kinsoku/>
        <w:wordWrap/>
        <w:overflowPunct/>
        <w:topLinePunct w:val="0"/>
        <w:autoSpaceDE/>
        <w:autoSpaceDN/>
        <w:bidi w:val="0"/>
        <w:adjustRightInd/>
        <w:snapToGrid/>
        <w:spacing w:line="360" w:lineRule="auto"/>
        <w:ind w:firstLine="315" w:firstLineChars="150"/>
        <w:textAlignment w:val="auto"/>
      </w:pPr>
      <w:r>
        <w:rPr>
          <w:rFonts w:hint="eastAsia"/>
        </w:rPr>
        <w:t>（</w:t>
      </w:r>
      <w:r>
        <w:t>1</w:t>
      </w:r>
      <w:r>
        <w:rPr>
          <w:rFonts w:hint="eastAsia"/>
        </w:rPr>
        <w:t>）因不可抗拒的客观原因，不能到场或需在评标中途退出评标活动；</w:t>
      </w:r>
    </w:p>
    <w:p>
      <w:pPr>
        <w:pageBreakBefore w:val="0"/>
        <w:widowControl w:val="0"/>
        <w:kinsoku/>
        <w:wordWrap/>
        <w:overflowPunct/>
        <w:topLinePunct w:val="0"/>
        <w:autoSpaceDE/>
        <w:autoSpaceDN/>
        <w:bidi w:val="0"/>
        <w:adjustRightInd/>
        <w:snapToGrid/>
        <w:spacing w:line="360" w:lineRule="auto"/>
        <w:ind w:firstLine="315" w:firstLineChars="150"/>
        <w:textAlignment w:val="auto"/>
      </w:pPr>
      <w:r>
        <w:rPr>
          <w:rFonts w:hint="eastAsia"/>
        </w:rPr>
        <w:t>（</w:t>
      </w:r>
      <w:r>
        <w:t>2</w:t>
      </w:r>
      <w:r>
        <w:rPr>
          <w:rFonts w:hint="eastAsia"/>
        </w:rPr>
        <w:t>）根据法律法规规定，某个或某几个评标委员会成员需要回避。</w:t>
      </w:r>
    </w:p>
    <w:p>
      <w:pPr>
        <w:pageBreakBefore w:val="0"/>
        <w:widowControl w:val="0"/>
        <w:kinsoku/>
        <w:wordWrap/>
        <w:overflowPunct/>
        <w:topLinePunct w:val="0"/>
        <w:autoSpaceDE/>
        <w:autoSpaceDN/>
        <w:bidi w:val="0"/>
        <w:adjustRightInd/>
        <w:snapToGrid/>
        <w:spacing w:line="360" w:lineRule="auto"/>
        <w:ind w:firstLine="420" w:firstLineChars="200"/>
        <w:textAlignment w:val="auto"/>
      </w:pPr>
      <w:r>
        <w:t xml:space="preserve">A6.2.2  </w:t>
      </w:r>
      <w:r>
        <w:rPr>
          <w:rFonts w:hint="eastAsia"/>
        </w:rPr>
        <w:t>退出评标的评标委员会成员，其已完成的评标行为无效。由招标人根据本招标文件规定的评标委员会成员产生方式另行抽取评标专家进行评标。</w:t>
      </w:r>
    </w:p>
    <w:p>
      <w:pPr>
        <w:pageBreakBefore w:val="0"/>
        <w:widowControl w:val="0"/>
        <w:kinsoku/>
        <w:wordWrap/>
        <w:overflowPunct/>
        <w:topLinePunct w:val="0"/>
        <w:autoSpaceDE/>
        <w:autoSpaceDN/>
        <w:bidi w:val="0"/>
        <w:adjustRightInd/>
        <w:snapToGrid/>
        <w:spacing w:line="360" w:lineRule="auto"/>
        <w:textAlignment w:val="auto"/>
        <w:rPr>
          <w:b/>
        </w:rPr>
      </w:pPr>
      <w:r>
        <w:rPr>
          <w:b/>
        </w:rPr>
        <w:t xml:space="preserve">A6.3  </w:t>
      </w:r>
      <w:r>
        <w:rPr>
          <w:rFonts w:hint="eastAsia"/>
          <w:b/>
        </w:rPr>
        <w:t>记名投票</w:t>
      </w:r>
    </w:p>
    <w:p>
      <w:pPr>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在任何评标环节中，需评标委员会就某项定性的评审结论做出表决的，由评标委员会全体成员按照少数服从多数的原则，以记名投票方式表决。</w:t>
      </w:r>
    </w:p>
    <w:p>
      <w:pPr>
        <w:pageBreakBefore w:val="0"/>
        <w:widowControl w:val="0"/>
        <w:kinsoku/>
        <w:wordWrap/>
        <w:overflowPunct/>
        <w:topLinePunct w:val="0"/>
        <w:autoSpaceDE/>
        <w:autoSpaceDN/>
        <w:bidi w:val="0"/>
        <w:adjustRightInd/>
        <w:snapToGrid/>
        <w:spacing w:line="360" w:lineRule="auto"/>
        <w:textAlignment w:val="auto"/>
        <w:rPr>
          <w:b/>
        </w:rPr>
      </w:pPr>
      <w:r>
        <w:rPr>
          <w:b/>
        </w:rPr>
        <w:t xml:space="preserve">A7. </w:t>
      </w:r>
      <w:r>
        <w:rPr>
          <w:rFonts w:hint="eastAsia"/>
          <w:b/>
        </w:rPr>
        <w:t>补充条款</w:t>
      </w:r>
    </w:p>
    <w:p>
      <w:pPr>
        <w:pStyle w:val="2"/>
      </w:pPr>
    </w:p>
    <w:p>
      <w:pPr>
        <w:pStyle w:val="2"/>
      </w:pPr>
    </w:p>
    <w:p>
      <w:pPr>
        <w:pStyle w:val="5"/>
        <w:pageBreakBefore w:val="0"/>
        <w:kinsoku/>
        <w:wordWrap/>
        <w:overflowPunct/>
        <w:topLinePunct w:val="0"/>
        <w:bidi w:val="0"/>
        <w:snapToGrid/>
        <w:spacing w:line="360" w:lineRule="auto"/>
        <w:textAlignment w:val="auto"/>
      </w:pPr>
      <w:bookmarkStart w:id="232" w:name="_附件B：废标条件"/>
      <w:bookmarkEnd w:id="232"/>
      <w:bookmarkStart w:id="233" w:name="_Toc241459643"/>
      <w:bookmarkStart w:id="234" w:name="_Toc241484539"/>
      <w:bookmarkStart w:id="235" w:name="_Toc275956127"/>
      <w:r>
        <w:rPr>
          <w:rFonts w:hint="eastAsia"/>
        </w:rPr>
        <w:t>附件</w:t>
      </w:r>
      <w:r>
        <w:t>B</w:t>
      </w:r>
      <w:r>
        <w:rPr>
          <w:rFonts w:hint="eastAsia"/>
        </w:rPr>
        <w:t>：否决投标条件</w:t>
      </w:r>
      <w:bookmarkEnd w:id="233"/>
      <w:bookmarkEnd w:id="234"/>
      <w:bookmarkEnd w:id="235"/>
    </w:p>
    <w:p>
      <w:pPr>
        <w:pageBreakBefore w:val="0"/>
        <w:kinsoku/>
        <w:wordWrap/>
        <w:overflowPunct/>
        <w:topLinePunct w:val="0"/>
        <w:bidi w:val="0"/>
        <w:snapToGrid/>
        <w:spacing w:after="120" w:afterLines="50" w:line="360" w:lineRule="auto"/>
        <w:jc w:val="center"/>
        <w:textAlignment w:val="auto"/>
        <w:rPr>
          <w:rFonts w:ascii="黑体" w:hAnsi="宋体" w:eastAsia="黑体" w:cs="Arial"/>
          <w:bCs/>
          <w:sz w:val="28"/>
          <w:szCs w:val="28"/>
        </w:rPr>
      </w:pPr>
      <w:r>
        <w:rPr>
          <w:rFonts w:hint="eastAsia" w:ascii="黑体" w:hAnsi="宋体" w:eastAsia="黑体" w:cs="Arial"/>
          <w:bCs/>
          <w:sz w:val="28"/>
          <w:szCs w:val="28"/>
        </w:rPr>
        <w:t>否决投标条件</w:t>
      </w:r>
    </w:p>
    <w:p>
      <w:pPr>
        <w:pStyle w:val="6"/>
        <w:pageBreakBefore w:val="0"/>
        <w:kinsoku/>
        <w:wordWrap/>
        <w:overflowPunct/>
        <w:topLinePunct w:val="0"/>
        <w:bidi w:val="0"/>
        <w:snapToGrid/>
        <w:spacing w:line="360" w:lineRule="auto"/>
        <w:textAlignment w:val="auto"/>
      </w:pPr>
      <w:r>
        <w:t xml:space="preserve">B0. </w:t>
      </w:r>
      <w:r>
        <w:rPr>
          <w:rFonts w:hint="eastAsia"/>
        </w:rPr>
        <w:t>总则</w:t>
      </w:r>
    </w:p>
    <w:p>
      <w:pPr>
        <w:pageBreakBefore w:val="0"/>
        <w:kinsoku/>
        <w:wordWrap/>
        <w:overflowPunct/>
        <w:topLinePunct w:val="0"/>
        <w:bidi w:val="0"/>
        <w:snapToGrid/>
        <w:spacing w:after="120" w:afterLines="50" w:line="360" w:lineRule="auto"/>
        <w:ind w:firstLine="420" w:firstLineChars="200"/>
        <w:textAlignment w:val="auto"/>
        <w:rPr>
          <w:rFonts w:ascii="宋体" w:cs="Arial"/>
          <w:szCs w:val="21"/>
        </w:rPr>
      </w:pPr>
      <w:r>
        <w:rPr>
          <w:rFonts w:hint="eastAsia"/>
        </w:rPr>
        <w:t>本附件所集中列示的否决投标条件，是本章“评标办法”的组成部分，是对</w:t>
      </w:r>
      <w:r>
        <w:rPr>
          <w:rFonts w:hint="eastAsia" w:ascii="Arial" w:hAnsi="Arial" w:cs="Arial"/>
          <w:szCs w:val="21"/>
        </w:rPr>
        <w:t>第二章“投标人须知”和本章正文部分所规定的否决投标条件的总结和补充，如果出现相互矛盾的情况，以第二章“投标人须知”和本章正文部分的规定为准。</w:t>
      </w:r>
    </w:p>
    <w:p>
      <w:pPr>
        <w:pStyle w:val="6"/>
        <w:pageBreakBefore w:val="0"/>
        <w:kinsoku/>
        <w:wordWrap/>
        <w:overflowPunct/>
        <w:topLinePunct w:val="0"/>
        <w:bidi w:val="0"/>
        <w:snapToGrid/>
        <w:spacing w:line="360" w:lineRule="auto"/>
        <w:textAlignment w:val="auto"/>
      </w:pPr>
      <w:r>
        <w:t xml:space="preserve">B1. </w:t>
      </w:r>
      <w:r>
        <w:rPr>
          <w:rFonts w:hint="eastAsia"/>
        </w:rPr>
        <w:t>否决投标条件</w:t>
      </w:r>
    </w:p>
    <w:p>
      <w:pPr>
        <w:pageBreakBefore w:val="0"/>
        <w:kinsoku/>
        <w:wordWrap/>
        <w:overflowPunct/>
        <w:topLinePunct w:val="0"/>
        <w:bidi w:val="0"/>
        <w:snapToGrid/>
        <w:spacing w:line="360" w:lineRule="auto"/>
        <w:ind w:firstLine="420" w:firstLineChars="200"/>
        <w:textAlignment w:val="auto"/>
      </w:pPr>
      <w:r>
        <w:rPr>
          <w:rFonts w:hint="eastAsia"/>
        </w:rPr>
        <w:t>投标人或其投标文件有下列情形之一的，其投标作否决投标处理：</w:t>
      </w:r>
    </w:p>
    <w:p>
      <w:pPr>
        <w:pStyle w:val="29"/>
        <w:pageBreakBefore w:val="0"/>
        <w:kinsoku/>
        <w:wordWrap/>
        <w:overflowPunct/>
        <w:topLinePunct w:val="0"/>
        <w:bidi w:val="0"/>
        <w:snapToGrid/>
        <w:spacing w:line="360" w:lineRule="auto"/>
        <w:ind w:firstLine="420" w:firstLineChars="200"/>
        <w:textAlignment w:val="auto"/>
        <w:rPr>
          <w:rFonts w:ascii="宋体" w:hAnsi="宋体" w:eastAsia="宋体" w:cs="宋体e眠副浡渀."/>
          <w:color w:val="auto"/>
          <w:sz w:val="21"/>
          <w:szCs w:val="21"/>
        </w:rPr>
      </w:pPr>
      <w:r>
        <w:rPr>
          <w:rFonts w:ascii="宋体" w:hAnsi="宋体" w:eastAsia="宋体"/>
          <w:color w:val="auto"/>
          <w:sz w:val="21"/>
          <w:szCs w:val="21"/>
        </w:rPr>
        <w:t xml:space="preserve">B1.1 </w:t>
      </w:r>
      <w:r>
        <w:rPr>
          <w:rFonts w:hint="eastAsia" w:ascii="宋体" w:hAnsi="宋体" w:eastAsia="宋体" w:cs="宋体e眠副浡渀."/>
          <w:color w:val="auto"/>
          <w:sz w:val="21"/>
          <w:szCs w:val="21"/>
        </w:rPr>
        <w:t>有第二章“投标人须知”第</w:t>
      </w:r>
      <w:r>
        <w:rPr>
          <w:rFonts w:ascii="宋体" w:hAnsi="宋体" w:eastAsia="宋体"/>
          <w:color w:val="auto"/>
          <w:sz w:val="21"/>
          <w:szCs w:val="21"/>
        </w:rPr>
        <w:t>1.4.3</w:t>
      </w:r>
      <w:r>
        <w:rPr>
          <w:rFonts w:hint="eastAsia" w:ascii="宋体" w:hAnsi="宋体" w:eastAsia="宋体" w:cs="宋体e眠副浡渀."/>
          <w:color w:val="auto"/>
          <w:sz w:val="21"/>
          <w:szCs w:val="21"/>
        </w:rPr>
        <w:t>项、第</w:t>
      </w:r>
      <w:r>
        <w:rPr>
          <w:rFonts w:ascii="宋体" w:hAnsi="宋体" w:eastAsia="宋体" w:cs="宋体e眠副浡渀."/>
          <w:color w:val="auto"/>
          <w:sz w:val="21"/>
          <w:szCs w:val="21"/>
        </w:rPr>
        <w:t>1.4.4</w:t>
      </w:r>
      <w:r>
        <w:rPr>
          <w:rFonts w:hint="eastAsia" w:ascii="宋体" w:hAnsi="宋体" w:eastAsia="宋体" w:cs="宋体e眠副浡渀."/>
          <w:color w:val="auto"/>
          <w:sz w:val="21"/>
          <w:szCs w:val="21"/>
        </w:rPr>
        <w:t>项规定的任何一种情形的。</w:t>
      </w:r>
    </w:p>
    <w:p>
      <w:pPr>
        <w:pStyle w:val="29"/>
        <w:pageBreakBefore w:val="0"/>
        <w:kinsoku/>
        <w:wordWrap/>
        <w:overflowPunct/>
        <w:topLinePunct w:val="0"/>
        <w:bidi w:val="0"/>
        <w:snapToGrid/>
        <w:spacing w:line="360" w:lineRule="auto"/>
        <w:ind w:firstLine="420" w:firstLineChars="200"/>
        <w:textAlignment w:val="auto"/>
        <w:rPr>
          <w:rFonts w:ascii="宋体" w:hAnsi="宋体" w:eastAsia="宋体" w:cs="宋体e眠副浡渀."/>
          <w:color w:val="auto"/>
          <w:sz w:val="21"/>
          <w:szCs w:val="21"/>
        </w:rPr>
      </w:pPr>
      <w:r>
        <w:rPr>
          <w:rFonts w:ascii="宋体" w:hAnsi="宋体" w:eastAsia="宋体"/>
          <w:color w:val="auto"/>
          <w:sz w:val="21"/>
          <w:szCs w:val="21"/>
        </w:rPr>
        <w:t xml:space="preserve">B1.2 </w:t>
      </w:r>
      <w:r>
        <w:rPr>
          <w:rFonts w:hint="eastAsia" w:ascii="宋体" w:hAnsi="宋体" w:eastAsia="宋体" w:cs="宋体e眠副浡渀."/>
          <w:color w:val="auto"/>
          <w:sz w:val="21"/>
          <w:szCs w:val="21"/>
        </w:rPr>
        <w:t>有串通投标或弄虚作假或有其他违法行为的。</w:t>
      </w:r>
    </w:p>
    <w:p>
      <w:pPr>
        <w:pStyle w:val="29"/>
        <w:pageBreakBefore w:val="0"/>
        <w:kinsoku/>
        <w:wordWrap/>
        <w:overflowPunct/>
        <w:topLinePunct w:val="0"/>
        <w:bidi w:val="0"/>
        <w:snapToGrid/>
        <w:spacing w:line="360" w:lineRule="auto"/>
        <w:ind w:firstLine="420" w:firstLineChars="200"/>
        <w:textAlignment w:val="auto"/>
        <w:rPr>
          <w:rFonts w:ascii="宋体" w:hAnsi="宋体" w:eastAsia="宋体" w:cs="宋体e眠副浡渀."/>
          <w:color w:val="auto"/>
          <w:sz w:val="21"/>
          <w:szCs w:val="21"/>
        </w:rPr>
      </w:pPr>
      <w:r>
        <w:rPr>
          <w:rFonts w:ascii="宋体" w:hAnsi="宋体" w:eastAsia="宋体"/>
          <w:color w:val="auto"/>
          <w:sz w:val="21"/>
          <w:szCs w:val="21"/>
        </w:rPr>
        <w:t xml:space="preserve">B1.3 </w:t>
      </w:r>
      <w:r>
        <w:rPr>
          <w:rFonts w:hint="eastAsia" w:ascii="宋体" w:hAnsi="宋体" w:eastAsia="宋体" w:cs="宋体e眠副浡渀."/>
          <w:color w:val="auto"/>
          <w:sz w:val="21"/>
          <w:szCs w:val="21"/>
        </w:rPr>
        <w:t>不按评标委员会要求澄清、说明或补正的。</w:t>
      </w:r>
    </w:p>
    <w:p>
      <w:pPr>
        <w:pStyle w:val="29"/>
        <w:pageBreakBefore w:val="0"/>
        <w:kinsoku/>
        <w:wordWrap/>
        <w:overflowPunct/>
        <w:topLinePunct w:val="0"/>
        <w:bidi w:val="0"/>
        <w:snapToGrid/>
        <w:spacing w:line="360" w:lineRule="auto"/>
        <w:ind w:firstLine="420" w:firstLineChars="200"/>
        <w:textAlignment w:val="auto"/>
        <w:rPr>
          <w:rFonts w:ascii="宋体" w:hAnsi="宋体" w:eastAsia="宋体" w:cs="宋体e眠副浡渀."/>
          <w:color w:val="auto"/>
          <w:sz w:val="21"/>
          <w:szCs w:val="21"/>
        </w:rPr>
      </w:pPr>
      <w:r>
        <w:rPr>
          <w:rFonts w:ascii="宋体" w:hAnsi="宋体" w:eastAsia="宋体"/>
          <w:color w:val="auto"/>
          <w:sz w:val="21"/>
          <w:szCs w:val="21"/>
        </w:rPr>
        <w:t xml:space="preserve">B1.4 </w:t>
      </w:r>
      <w:r>
        <w:rPr>
          <w:rFonts w:hint="eastAsia" w:ascii="宋体" w:hAnsi="宋体" w:eastAsia="宋体" w:cs="宋体e眠副浡渀."/>
          <w:color w:val="auto"/>
          <w:sz w:val="21"/>
          <w:szCs w:val="21"/>
        </w:rPr>
        <w:t>在形式评审、资格评审（适用于未进行资格预审的）、响应性评审中，评标委员会认定投标人的投标文件不符合评标办法前附表中规定的任何一项评审标准的。</w:t>
      </w:r>
    </w:p>
    <w:p>
      <w:pPr>
        <w:pStyle w:val="29"/>
        <w:pageBreakBefore w:val="0"/>
        <w:kinsoku/>
        <w:wordWrap/>
        <w:overflowPunct/>
        <w:topLinePunct w:val="0"/>
        <w:bidi w:val="0"/>
        <w:snapToGrid/>
        <w:spacing w:line="360" w:lineRule="auto"/>
        <w:ind w:firstLine="420" w:firstLineChars="200"/>
        <w:textAlignment w:val="auto"/>
        <w:rPr>
          <w:rFonts w:ascii="宋体" w:hAnsi="宋体" w:eastAsia="宋体" w:cs="宋体e眠副浡渀."/>
          <w:color w:val="auto"/>
          <w:sz w:val="21"/>
          <w:szCs w:val="21"/>
        </w:rPr>
      </w:pPr>
      <w:r>
        <w:rPr>
          <w:rFonts w:ascii="宋体" w:hAnsi="宋体" w:eastAsia="宋体"/>
          <w:color w:val="auto"/>
          <w:sz w:val="21"/>
          <w:szCs w:val="21"/>
        </w:rPr>
        <w:t xml:space="preserve">B1.5 </w:t>
      </w:r>
      <w:r>
        <w:rPr>
          <w:rFonts w:hint="eastAsia" w:ascii="宋体" w:hAnsi="宋体" w:eastAsia="宋体" w:cs="宋体e眠副浡渀."/>
          <w:color w:val="auto"/>
          <w:sz w:val="21"/>
          <w:szCs w:val="21"/>
        </w:rPr>
        <w:t>当投标人资格预审申请文件的其他内容发生重大变化时，其在投标文件中更新的资料，未能通过资格评审的（适用于已进行资格预审的）。</w:t>
      </w:r>
    </w:p>
    <w:p>
      <w:pPr>
        <w:pStyle w:val="29"/>
        <w:pageBreakBefore w:val="0"/>
        <w:kinsoku/>
        <w:wordWrap/>
        <w:overflowPunct/>
        <w:topLinePunct w:val="0"/>
        <w:bidi w:val="0"/>
        <w:snapToGrid/>
        <w:spacing w:line="360" w:lineRule="auto"/>
        <w:ind w:firstLine="420" w:firstLineChars="200"/>
        <w:textAlignment w:val="auto"/>
        <w:rPr>
          <w:rFonts w:ascii="宋体" w:hAnsi="宋体" w:eastAsia="宋体"/>
          <w:color w:val="auto"/>
          <w:sz w:val="21"/>
          <w:szCs w:val="21"/>
        </w:rPr>
      </w:pPr>
      <w:r>
        <w:rPr>
          <w:rFonts w:ascii="宋体" w:hAnsi="宋体" w:eastAsia="宋体"/>
          <w:color w:val="auto"/>
          <w:sz w:val="21"/>
          <w:szCs w:val="21"/>
        </w:rPr>
        <w:t xml:space="preserve">B1.6 </w:t>
      </w:r>
      <w:r>
        <w:rPr>
          <w:rFonts w:hint="eastAsia" w:ascii="宋体" w:hAnsi="宋体" w:eastAsia="宋体" w:cs="宋体"/>
          <w:color w:val="auto"/>
          <w:sz w:val="21"/>
          <w:szCs w:val="21"/>
        </w:rPr>
        <w:t>除在投标截止时间前经招标人书面同意外，项目经理与资格预审时不一致的。</w:t>
      </w:r>
    </w:p>
    <w:p>
      <w:pPr>
        <w:pStyle w:val="29"/>
        <w:pageBreakBefore w:val="0"/>
        <w:kinsoku/>
        <w:wordWrap/>
        <w:overflowPunct/>
        <w:topLinePunct w:val="0"/>
        <w:bidi w:val="0"/>
        <w:snapToGrid/>
        <w:spacing w:line="360" w:lineRule="auto"/>
        <w:ind w:firstLine="420" w:firstLineChars="200"/>
        <w:textAlignment w:val="auto"/>
        <w:rPr>
          <w:rFonts w:ascii="宋体" w:hAnsi="宋体" w:eastAsia="宋体" w:cs="宋体e眠副浡渀."/>
          <w:color w:val="auto"/>
          <w:sz w:val="21"/>
          <w:szCs w:val="21"/>
        </w:rPr>
      </w:pPr>
      <w:r>
        <w:rPr>
          <w:rFonts w:ascii="宋体" w:hAnsi="宋体" w:eastAsia="宋体"/>
          <w:color w:val="auto"/>
          <w:sz w:val="21"/>
          <w:szCs w:val="21"/>
        </w:rPr>
        <w:t xml:space="preserve">B1.7 </w:t>
      </w:r>
      <w:r>
        <w:rPr>
          <w:rFonts w:hint="eastAsia" w:ascii="宋体" w:hAnsi="宋体" w:eastAsia="宋体" w:cs="宋体e眠副浡渀."/>
          <w:color w:val="auto"/>
          <w:sz w:val="21"/>
          <w:szCs w:val="21"/>
        </w:rPr>
        <w:t>在施工组织设计和项目管理机构评审中，评标委员会认定投标人的投标未能通过此项评审的。</w:t>
      </w:r>
    </w:p>
    <w:p>
      <w:pPr>
        <w:pStyle w:val="29"/>
        <w:pageBreakBefore w:val="0"/>
        <w:kinsoku/>
        <w:wordWrap/>
        <w:overflowPunct/>
        <w:topLinePunct w:val="0"/>
        <w:bidi w:val="0"/>
        <w:snapToGrid/>
        <w:spacing w:line="360" w:lineRule="auto"/>
        <w:ind w:firstLine="420" w:firstLineChars="200"/>
        <w:textAlignment w:val="auto"/>
        <w:rPr>
          <w:rFonts w:ascii="宋体" w:hAnsi="宋体" w:eastAsia="宋体" w:cs="宋体e眠副浡渀."/>
          <w:color w:val="auto"/>
          <w:sz w:val="21"/>
          <w:szCs w:val="21"/>
        </w:rPr>
      </w:pPr>
      <w:r>
        <w:rPr>
          <w:rFonts w:ascii="宋体" w:hAnsi="宋体" w:eastAsia="宋体"/>
          <w:color w:val="auto"/>
          <w:sz w:val="21"/>
          <w:szCs w:val="21"/>
        </w:rPr>
        <w:t xml:space="preserve">B1.8 </w:t>
      </w:r>
      <w:r>
        <w:rPr>
          <w:rFonts w:hint="eastAsia" w:ascii="宋体" w:hAnsi="宋体" w:eastAsia="宋体" w:cs="宋体e眠副浡渀."/>
          <w:color w:val="auto"/>
          <w:sz w:val="21"/>
          <w:szCs w:val="21"/>
        </w:rPr>
        <w:t>评标委员会认定投标人以低于成本报价竞标的。</w:t>
      </w:r>
    </w:p>
    <w:p>
      <w:pPr>
        <w:pageBreakBefore w:val="0"/>
        <w:kinsoku/>
        <w:wordWrap/>
        <w:overflowPunct/>
        <w:topLinePunct w:val="0"/>
        <w:bidi w:val="0"/>
        <w:snapToGrid/>
        <w:spacing w:line="360" w:lineRule="auto"/>
        <w:ind w:firstLine="420" w:firstLineChars="200"/>
        <w:textAlignment w:val="auto"/>
        <w:rPr>
          <w:rFonts w:ascii="宋体"/>
        </w:rPr>
      </w:pPr>
      <w:r>
        <w:rPr>
          <w:rFonts w:ascii="宋体" w:hAnsi="宋体"/>
          <w:szCs w:val="21"/>
        </w:rPr>
        <w:t xml:space="preserve">B1.9 </w:t>
      </w:r>
      <w:r>
        <w:rPr>
          <w:rFonts w:hint="eastAsia" w:ascii="宋体" w:hAnsi="宋体" w:cs="宋体e眠副浡渀."/>
          <w:szCs w:val="21"/>
        </w:rPr>
        <w:t>投标人未按第二章</w:t>
      </w:r>
      <w:r>
        <w:rPr>
          <w:rFonts w:hint="eastAsia" w:ascii="宋体" w:hAnsi="宋体" w:cs="宋体e眠副浡渀."/>
          <w:szCs w:val="21"/>
          <w:u w:val="single"/>
        </w:rPr>
        <w:t>“投标人须知</w:t>
      </w:r>
      <w:r>
        <w:rPr>
          <w:rFonts w:hint="eastAsia"/>
          <w:u w:val="single"/>
        </w:rPr>
        <w:t>前附表</w:t>
      </w:r>
      <w:r>
        <w:rPr>
          <w:rFonts w:hint="eastAsia" w:ascii="宋体" w:hAnsi="宋体" w:cs="宋体e眠副浡渀."/>
          <w:szCs w:val="21"/>
          <w:u w:val="single"/>
        </w:rPr>
        <w:t>”第</w:t>
      </w:r>
      <w:r>
        <w:rPr>
          <w:rFonts w:ascii="宋体" w:hAnsi="宋体"/>
          <w:szCs w:val="21"/>
          <w:u w:val="single"/>
        </w:rPr>
        <w:t>10.5</w:t>
      </w:r>
      <w:r>
        <w:rPr>
          <w:rFonts w:hint="eastAsia" w:ascii="宋体" w:hAnsi="宋体" w:cs="宋体e眠副浡渀."/>
          <w:szCs w:val="21"/>
        </w:rPr>
        <w:t>项规定出席开标会的。</w:t>
      </w:r>
    </w:p>
    <w:p>
      <w:pPr>
        <w:pageBreakBefore w:val="0"/>
        <w:widowControl/>
        <w:shd w:val="clear" w:color="auto" w:fill="FFFFFF"/>
        <w:kinsoku/>
        <w:wordWrap/>
        <w:overflowPunct/>
        <w:topLinePunct w:val="0"/>
        <w:bidi w:val="0"/>
        <w:snapToGrid/>
        <w:spacing w:line="360" w:lineRule="auto"/>
        <w:ind w:firstLine="420" w:firstLineChars="200"/>
        <w:jc w:val="left"/>
        <w:textAlignment w:val="auto"/>
        <w:rPr>
          <w:rFonts w:ascii="宋体" w:cs="宋体"/>
          <w:kern w:val="0"/>
          <w:szCs w:val="21"/>
        </w:rPr>
      </w:pPr>
      <w:r>
        <w:rPr>
          <w:rFonts w:ascii="宋体" w:hAnsi="宋体"/>
        </w:rPr>
        <w:t>B1.10</w:t>
      </w:r>
      <w:r>
        <w:rPr>
          <w:rFonts w:hint="eastAsia" w:ascii="宋体" w:hAnsi="宋体" w:cs="宋体"/>
          <w:kern w:val="0"/>
          <w:szCs w:val="21"/>
        </w:rPr>
        <w:t>改变</w:t>
      </w:r>
      <w:r>
        <w:rPr>
          <w:rFonts w:hint="eastAsia" w:ascii="宋体" w:hAnsi="宋体"/>
        </w:rPr>
        <w:t>招标工程量清单</w:t>
      </w:r>
      <w:r>
        <w:rPr>
          <w:rFonts w:hint="eastAsia" w:ascii="宋体" w:hAnsi="宋体" w:cs="宋体"/>
          <w:kern w:val="0"/>
          <w:szCs w:val="21"/>
        </w:rPr>
        <w:t>中单项工程编号或单位工程编号的。</w:t>
      </w:r>
    </w:p>
    <w:p>
      <w:pPr>
        <w:pageBreakBefore w:val="0"/>
        <w:widowControl/>
        <w:shd w:val="clear" w:color="auto" w:fill="FFFFFF"/>
        <w:kinsoku/>
        <w:wordWrap/>
        <w:overflowPunct/>
        <w:topLinePunct w:val="0"/>
        <w:bidi w:val="0"/>
        <w:snapToGrid/>
        <w:spacing w:line="360" w:lineRule="auto"/>
        <w:ind w:firstLine="420" w:firstLineChars="200"/>
        <w:jc w:val="left"/>
        <w:textAlignment w:val="auto"/>
        <w:rPr>
          <w:rFonts w:ascii="宋体" w:cs="宋体"/>
          <w:kern w:val="0"/>
          <w:szCs w:val="21"/>
        </w:rPr>
      </w:pPr>
      <w:r>
        <w:rPr>
          <w:rFonts w:ascii="宋体" w:hAnsi="宋体"/>
        </w:rPr>
        <w:t>B1.11</w:t>
      </w:r>
      <w:r>
        <w:rPr>
          <w:rFonts w:hint="eastAsia" w:ascii="宋体" w:hAnsi="宋体" w:cs="宋体"/>
          <w:kern w:val="0"/>
          <w:szCs w:val="21"/>
        </w:rPr>
        <w:t>未按招标文件要求提供投标文件的。</w:t>
      </w:r>
    </w:p>
    <w:p>
      <w:pPr>
        <w:pageBreakBefore w:val="0"/>
        <w:widowControl/>
        <w:shd w:val="clear" w:color="auto" w:fill="FFFFFF"/>
        <w:kinsoku/>
        <w:wordWrap/>
        <w:overflowPunct/>
        <w:topLinePunct w:val="0"/>
        <w:bidi w:val="0"/>
        <w:snapToGrid/>
        <w:spacing w:line="360" w:lineRule="auto"/>
        <w:ind w:firstLine="420" w:firstLineChars="200"/>
        <w:jc w:val="left"/>
        <w:textAlignment w:val="auto"/>
        <w:rPr>
          <w:rFonts w:ascii="宋体" w:cs="宋体"/>
          <w:kern w:val="0"/>
          <w:szCs w:val="21"/>
        </w:rPr>
      </w:pPr>
      <w:r>
        <w:rPr>
          <w:rFonts w:ascii="宋体" w:hAnsi="宋体"/>
        </w:rPr>
        <w:t>B1.12</w:t>
      </w:r>
      <w:r>
        <w:rPr>
          <w:rFonts w:hint="eastAsia" w:ascii="宋体" w:hAnsi="宋体" w:cs="宋体"/>
          <w:kern w:val="0"/>
          <w:szCs w:val="21"/>
        </w:rPr>
        <w:t>明显不符合技术规范、技术标准要求的。</w:t>
      </w:r>
    </w:p>
    <w:p>
      <w:pPr>
        <w:pageBreakBefore w:val="0"/>
        <w:widowControl/>
        <w:shd w:val="clear" w:color="auto" w:fill="FFFFFF"/>
        <w:kinsoku/>
        <w:wordWrap/>
        <w:overflowPunct/>
        <w:topLinePunct w:val="0"/>
        <w:bidi w:val="0"/>
        <w:snapToGrid/>
        <w:spacing w:line="360" w:lineRule="auto"/>
        <w:ind w:firstLine="420" w:firstLineChars="200"/>
        <w:jc w:val="left"/>
        <w:textAlignment w:val="auto"/>
        <w:rPr>
          <w:rFonts w:ascii="宋体" w:cs="宋体"/>
          <w:kern w:val="0"/>
          <w:szCs w:val="21"/>
        </w:rPr>
      </w:pPr>
      <w:r>
        <w:rPr>
          <w:rFonts w:ascii="宋体" w:hAnsi="宋体"/>
        </w:rPr>
        <w:t>B1.13</w:t>
      </w:r>
      <w:r>
        <w:rPr>
          <w:rFonts w:hint="eastAsia" w:ascii="宋体" w:hAnsi="宋体" w:cs="宋体"/>
          <w:kern w:val="0"/>
          <w:szCs w:val="21"/>
        </w:rPr>
        <w:t>投标文件载明的货物包装方式、检验标准和方法等不符合招标文件的要求的。</w:t>
      </w:r>
    </w:p>
    <w:p>
      <w:pPr>
        <w:pageBreakBefore w:val="0"/>
        <w:widowControl/>
        <w:shd w:val="clear" w:color="auto" w:fill="FFFFFF"/>
        <w:kinsoku/>
        <w:wordWrap/>
        <w:overflowPunct/>
        <w:topLinePunct w:val="0"/>
        <w:bidi w:val="0"/>
        <w:snapToGrid/>
        <w:spacing w:line="360" w:lineRule="auto"/>
        <w:ind w:firstLine="420" w:firstLineChars="200"/>
        <w:jc w:val="left"/>
        <w:textAlignment w:val="auto"/>
        <w:rPr>
          <w:rFonts w:ascii="宋体" w:cs="宋体"/>
          <w:kern w:val="0"/>
          <w:szCs w:val="21"/>
        </w:rPr>
      </w:pPr>
      <w:r>
        <w:rPr>
          <w:rFonts w:ascii="宋体" w:hAnsi="宋体"/>
        </w:rPr>
        <w:t>B1.14</w:t>
      </w:r>
      <w:r>
        <w:rPr>
          <w:rFonts w:hint="eastAsia" w:ascii="宋体" w:hAnsi="宋体" w:cs="宋体"/>
          <w:kern w:val="0"/>
          <w:szCs w:val="21"/>
        </w:rPr>
        <w:t>投标文件提出了不能满足招标文件要求或招标人不能接受的工程验收、计量、价款结算和支付办法的。</w:t>
      </w:r>
    </w:p>
    <w:p>
      <w:pPr>
        <w:pageBreakBefore w:val="0"/>
        <w:kinsoku/>
        <w:wordWrap/>
        <w:overflowPunct/>
        <w:topLinePunct w:val="0"/>
        <w:bidi w:val="0"/>
        <w:snapToGrid/>
        <w:spacing w:line="360" w:lineRule="auto"/>
        <w:ind w:firstLine="420" w:firstLineChars="200"/>
        <w:textAlignment w:val="auto"/>
      </w:pPr>
      <w:r>
        <w:rPr>
          <w:rFonts w:ascii="宋体" w:hAnsi="宋体"/>
        </w:rPr>
        <w:t>B1.15</w:t>
      </w:r>
      <w:r>
        <w:rPr>
          <w:rFonts w:hint="eastAsia"/>
        </w:rPr>
        <w:t>由委托代理人签字或盖章，但投标文件中无有效的“授权委托书”原件的；</w:t>
      </w:r>
    </w:p>
    <w:p>
      <w:pPr>
        <w:pageBreakBefore w:val="0"/>
        <w:kinsoku/>
        <w:wordWrap/>
        <w:overflowPunct/>
        <w:topLinePunct w:val="0"/>
        <w:bidi w:val="0"/>
        <w:snapToGrid/>
        <w:spacing w:line="360" w:lineRule="auto"/>
        <w:ind w:firstLine="420" w:firstLineChars="200"/>
        <w:textAlignment w:val="auto"/>
      </w:pPr>
      <w:r>
        <w:rPr>
          <w:rFonts w:ascii="宋体" w:hAnsi="宋体"/>
        </w:rPr>
        <w:t>B1.16</w:t>
      </w:r>
      <w:r>
        <w:rPr>
          <w:rFonts w:hint="eastAsia" w:ascii="宋体" w:hAnsi="宋体"/>
        </w:rPr>
        <w:t>法律、</w:t>
      </w:r>
      <w:r>
        <w:rPr>
          <w:rFonts w:hint="eastAsia"/>
        </w:rPr>
        <w:t>法规规定的其他否决投标条款。</w:t>
      </w:r>
    </w:p>
    <w:p>
      <w:pPr>
        <w:pageBreakBefore w:val="0"/>
        <w:kinsoku/>
        <w:wordWrap/>
        <w:overflowPunct/>
        <w:topLinePunct w:val="0"/>
        <w:bidi w:val="0"/>
        <w:snapToGrid/>
        <w:spacing w:line="360" w:lineRule="auto"/>
        <w:ind w:firstLine="718" w:firstLineChars="342"/>
        <w:textAlignment w:val="auto"/>
        <w:rPr>
          <w:rFonts w:ascii="宋体" w:cs="Arial"/>
          <w:szCs w:val="21"/>
        </w:rPr>
      </w:pPr>
      <w:r>
        <w:rPr>
          <w:rFonts w:hint="eastAsia" w:ascii="宋体" w:hAnsi="宋体" w:cs="Arial"/>
          <w:szCs w:val="21"/>
        </w:rPr>
        <w:t>……</w:t>
      </w:r>
    </w:p>
    <w:p>
      <w:pPr>
        <w:pageBreakBefore w:val="0"/>
        <w:kinsoku/>
        <w:wordWrap/>
        <w:overflowPunct/>
        <w:topLinePunct w:val="0"/>
        <w:bidi w:val="0"/>
        <w:snapToGrid/>
        <w:spacing w:line="360" w:lineRule="auto"/>
        <w:textAlignment w:val="auto"/>
      </w:pPr>
      <w:r>
        <w:rPr>
          <w:kern w:val="0"/>
        </w:rPr>
        <w:br w:type="page"/>
      </w:r>
      <w:bookmarkStart w:id="236" w:name="_Toc241484540"/>
      <w:bookmarkStart w:id="237" w:name="_Toc241459644"/>
    </w:p>
    <w:bookmarkEnd w:id="236"/>
    <w:bookmarkEnd w:id="237"/>
    <w:p>
      <w:pPr>
        <w:pStyle w:val="5"/>
        <w:pageBreakBefore w:val="0"/>
        <w:widowControl w:val="0"/>
        <w:kinsoku/>
        <w:wordWrap/>
        <w:overflowPunct/>
        <w:topLinePunct w:val="0"/>
        <w:autoSpaceDE/>
        <w:autoSpaceDN/>
        <w:bidi w:val="0"/>
        <w:adjustRightInd/>
        <w:snapToGrid/>
        <w:spacing w:line="360" w:lineRule="auto"/>
        <w:textAlignment w:val="auto"/>
      </w:pPr>
      <w:bookmarkStart w:id="238" w:name="_附件C：评标价计算方法"/>
      <w:bookmarkEnd w:id="238"/>
      <w:bookmarkStart w:id="239" w:name="_附件D：备选投标方案的评审和比较办法"/>
      <w:bookmarkEnd w:id="239"/>
      <w:bookmarkStart w:id="240" w:name="_附件D：投标人成本评审办法"/>
      <w:bookmarkEnd w:id="240"/>
      <w:bookmarkStart w:id="241" w:name="_Toc241459645"/>
      <w:bookmarkStart w:id="242" w:name="_Toc275956129"/>
      <w:bookmarkStart w:id="243" w:name="_Toc241484541"/>
      <w:bookmarkStart w:id="244" w:name="_Toc241484542"/>
      <w:bookmarkStart w:id="245" w:name="_Toc241459646"/>
      <w:r>
        <w:rPr>
          <w:rFonts w:hint="eastAsia"/>
        </w:rPr>
        <w:t>附件</w:t>
      </w:r>
      <w:r>
        <w:t>C</w:t>
      </w:r>
      <w:r>
        <w:rPr>
          <w:rFonts w:hint="eastAsia"/>
        </w:rPr>
        <w:t>：</w:t>
      </w:r>
      <w:bookmarkEnd w:id="241"/>
      <w:bookmarkEnd w:id="242"/>
      <w:bookmarkEnd w:id="243"/>
      <w:r>
        <w:rPr>
          <w:rFonts w:hint="eastAsia"/>
        </w:rPr>
        <w:t>投标人成本评审办法</w:t>
      </w:r>
    </w:p>
    <w:p>
      <w:pPr>
        <w:pStyle w:val="6"/>
        <w:pageBreakBefore w:val="0"/>
        <w:widowControl w:val="0"/>
        <w:kinsoku/>
        <w:wordWrap/>
        <w:overflowPunct/>
        <w:topLinePunct w:val="0"/>
        <w:autoSpaceDE/>
        <w:autoSpaceDN/>
        <w:bidi w:val="0"/>
        <w:adjustRightInd/>
        <w:snapToGrid/>
        <w:spacing w:line="360" w:lineRule="auto"/>
        <w:textAlignment w:val="auto"/>
      </w:pPr>
      <w:r>
        <w:t>C0.</w:t>
      </w:r>
      <w:r>
        <w:rPr>
          <w:rFonts w:hint="eastAsia"/>
        </w:rPr>
        <w:t>总则</w:t>
      </w:r>
    </w:p>
    <w:p>
      <w:pPr>
        <w:pageBreakBefore w:val="0"/>
        <w:widowControl w:val="0"/>
        <w:kinsoku/>
        <w:wordWrap/>
        <w:overflowPunct/>
        <w:topLinePunct w:val="0"/>
        <w:autoSpaceDE/>
        <w:autoSpaceDN/>
        <w:bidi w:val="0"/>
        <w:adjustRightInd/>
        <w:snapToGrid/>
        <w:spacing w:line="360" w:lineRule="auto"/>
        <w:ind w:firstLine="430" w:firstLineChars="205"/>
        <w:textAlignment w:val="auto"/>
      </w:pPr>
      <w:r>
        <w:rPr>
          <w:rFonts w:hint="eastAsia"/>
        </w:rPr>
        <w:t>本附件是本章“评标办法”的组成部分，评标委员会按照</w:t>
      </w:r>
      <w:r>
        <w:fldChar w:fldCharType="begin"/>
      </w:r>
      <w:r>
        <w:instrText xml:space="preserve"> HYPERLINK "file:///H:\\泰州招标文件范本\\泰州市房屋建筑和市政工程施工2016.4.docx" \l "_3.2_初步评审" </w:instrText>
      </w:r>
      <w:r>
        <w:fldChar w:fldCharType="separate"/>
      </w:r>
      <w:r>
        <w:rPr>
          <w:rStyle w:val="18"/>
          <w:rFonts w:hint="eastAsia"/>
          <w:color w:val="auto"/>
        </w:rPr>
        <w:t>本章第</w:t>
      </w:r>
      <w:r>
        <w:rPr>
          <w:rStyle w:val="18"/>
          <w:color w:val="auto"/>
        </w:rPr>
        <w:t>3.3.1</w:t>
      </w:r>
      <w:r>
        <w:rPr>
          <w:rStyle w:val="18"/>
          <w:rFonts w:hint="eastAsia"/>
          <w:color w:val="auto"/>
        </w:rPr>
        <w:t>项</w:t>
      </w:r>
      <w:r>
        <w:rPr>
          <w:rStyle w:val="18"/>
          <w:rFonts w:hint="eastAsia"/>
          <w:color w:val="auto"/>
        </w:rPr>
        <w:fldChar w:fldCharType="end"/>
      </w:r>
      <w:r>
        <w:rPr>
          <w:rFonts w:hint="eastAsia"/>
        </w:rPr>
        <w:t>的规定，对投标人投标报价是否低于其成本进行评审和判断时，适用本附件所规定的办法。</w:t>
      </w:r>
    </w:p>
    <w:p>
      <w:pPr>
        <w:pStyle w:val="6"/>
        <w:pageBreakBefore w:val="0"/>
        <w:widowControl w:val="0"/>
        <w:kinsoku/>
        <w:wordWrap/>
        <w:overflowPunct/>
        <w:topLinePunct w:val="0"/>
        <w:autoSpaceDE/>
        <w:autoSpaceDN/>
        <w:bidi w:val="0"/>
        <w:adjustRightInd/>
        <w:snapToGrid/>
        <w:spacing w:line="360" w:lineRule="auto"/>
        <w:textAlignment w:val="auto"/>
      </w:pPr>
      <w:r>
        <w:t>C1.</w:t>
      </w:r>
      <w:r>
        <w:rPr>
          <w:rFonts w:hint="eastAsia"/>
        </w:rPr>
        <w:t>评审程序</w:t>
      </w:r>
    </w:p>
    <w:p>
      <w:pPr>
        <w:pageBreakBefore w:val="0"/>
        <w:widowControl w:val="0"/>
        <w:kinsoku/>
        <w:wordWrap/>
        <w:overflowPunct/>
        <w:topLinePunct w:val="0"/>
        <w:autoSpaceDE/>
        <w:autoSpaceDN/>
        <w:bidi w:val="0"/>
        <w:adjustRightInd/>
        <w:snapToGrid/>
        <w:spacing w:line="360" w:lineRule="auto"/>
        <w:ind w:firstLine="420" w:firstLineChars="200"/>
        <w:textAlignment w:val="auto"/>
      </w:pPr>
      <w:r>
        <w:t xml:space="preserve">C1.1 </w:t>
      </w:r>
      <w:r>
        <w:rPr>
          <w:rFonts w:hint="eastAsia"/>
        </w:rPr>
        <w:t>启动成本评审工作的前提条件</w:t>
      </w:r>
    </w:p>
    <w:p>
      <w:pPr>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在满足下列条件的前提下，评标委员会应当启动并进行本办法所规定的评审，以判别投标人的投标报价是否低于其成本：</w:t>
      </w:r>
    </w:p>
    <w:p>
      <w:pPr>
        <w:pageBreakBefore w:val="0"/>
        <w:widowControl w:val="0"/>
        <w:kinsoku/>
        <w:wordWrap/>
        <w:overflowPunct/>
        <w:topLinePunct w:val="0"/>
        <w:autoSpaceDE/>
        <w:autoSpaceDN/>
        <w:bidi w:val="0"/>
        <w:adjustRightInd/>
        <w:snapToGrid/>
        <w:spacing w:line="360" w:lineRule="auto"/>
        <w:ind w:firstLine="420" w:firstLineChars="200"/>
        <w:textAlignment w:val="auto"/>
      </w:pPr>
      <w:r>
        <w:t xml:space="preserve">C1.1.1 </w:t>
      </w:r>
      <w:r>
        <w:rPr>
          <w:rFonts w:hint="eastAsia"/>
        </w:rPr>
        <w:t>投标人的投标文件已经通过本章“评标办法”规定的“初步评审”，不存在应当否决投标的情形；</w:t>
      </w:r>
    </w:p>
    <w:p>
      <w:pPr>
        <w:pStyle w:val="6"/>
        <w:pageBreakBefore w:val="0"/>
        <w:widowControl w:val="0"/>
        <w:kinsoku/>
        <w:wordWrap/>
        <w:overflowPunct/>
        <w:topLinePunct w:val="0"/>
        <w:autoSpaceDE/>
        <w:autoSpaceDN/>
        <w:bidi w:val="0"/>
        <w:adjustRightInd/>
        <w:snapToGrid/>
        <w:spacing w:line="360" w:lineRule="auto"/>
        <w:textAlignment w:val="auto"/>
      </w:pPr>
      <w:r>
        <w:t xml:space="preserve">C2. </w:t>
      </w:r>
      <w:r>
        <w:rPr>
          <w:rFonts w:hint="eastAsia"/>
        </w:rPr>
        <w:t>评审的依据</w:t>
      </w:r>
    </w:p>
    <w:p>
      <w:pPr>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评标委员会判断投标人的投标报价是否低于其成本，所参考的评审依据包括</w:t>
      </w:r>
      <w:r>
        <w:t>:</w:t>
      </w:r>
    </w:p>
    <w:p>
      <w:pPr>
        <w:pageBreakBefore w:val="0"/>
        <w:widowControl w:val="0"/>
        <w:kinsoku/>
        <w:wordWrap/>
        <w:overflowPunct/>
        <w:topLinePunct w:val="0"/>
        <w:autoSpaceDE/>
        <w:autoSpaceDN/>
        <w:bidi w:val="0"/>
        <w:adjustRightInd/>
        <w:snapToGrid/>
        <w:spacing w:line="360" w:lineRule="auto"/>
        <w:ind w:firstLine="525" w:firstLineChars="250"/>
        <w:textAlignment w:val="auto"/>
      </w:pPr>
      <w:r>
        <w:rPr>
          <w:rFonts w:hint="eastAsia"/>
        </w:rPr>
        <w:t>（</w:t>
      </w:r>
      <w:r>
        <w:t>1</w:t>
      </w:r>
      <w:r>
        <w:rPr>
          <w:rFonts w:hint="eastAsia"/>
        </w:rPr>
        <w:t>）招标文件；</w:t>
      </w:r>
    </w:p>
    <w:p>
      <w:pPr>
        <w:pageBreakBefore w:val="0"/>
        <w:widowControl w:val="0"/>
        <w:kinsoku/>
        <w:wordWrap/>
        <w:overflowPunct/>
        <w:topLinePunct w:val="0"/>
        <w:autoSpaceDE/>
        <w:autoSpaceDN/>
        <w:bidi w:val="0"/>
        <w:adjustRightInd/>
        <w:snapToGrid/>
        <w:spacing w:line="360" w:lineRule="auto"/>
        <w:ind w:firstLine="525" w:firstLineChars="250"/>
        <w:textAlignment w:val="auto"/>
      </w:pPr>
      <w:r>
        <w:rPr>
          <w:rFonts w:hint="eastAsia"/>
        </w:rPr>
        <w:t>（</w:t>
      </w:r>
      <w:r>
        <w:t>2</w:t>
      </w:r>
      <w:r>
        <w:rPr>
          <w:rFonts w:hint="eastAsia"/>
        </w:rPr>
        <w:t>）标底或招标控制价（如果有）；</w:t>
      </w:r>
    </w:p>
    <w:p>
      <w:pPr>
        <w:pageBreakBefore w:val="0"/>
        <w:widowControl w:val="0"/>
        <w:kinsoku/>
        <w:wordWrap/>
        <w:overflowPunct/>
        <w:topLinePunct w:val="0"/>
        <w:autoSpaceDE/>
        <w:autoSpaceDN/>
        <w:bidi w:val="0"/>
        <w:adjustRightInd/>
        <w:snapToGrid/>
        <w:spacing w:line="360" w:lineRule="auto"/>
        <w:ind w:firstLine="525" w:firstLineChars="250"/>
        <w:textAlignment w:val="auto"/>
      </w:pPr>
      <w:r>
        <w:rPr>
          <w:rFonts w:hint="eastAsia"/>
        </w:rPr>
        <w:t>（</w:t>
      </w:r>
      <w:r>
        <w:t>3</w:t>
      </w:r>
      <w:r>
        <w:rPr>
          <w:rFonts w:hint="eastAsia"/>
        </w:rPr>
        <w:t>）投标人已标价的工程量清单；</w:t>
      </w:r>
    </w:p>
    <w:p>
      <w:pPr>
        <w:pStyle w:val="6"/>
        <w:pageBreakBefore w:val="0"/>
        <w:widowControl w:val="0"/>
        <w:kinsoku/>
        <w:wordWrap/>
        <w:overflowPunct/>
        <w:topLinePunct w:val="0"/>
        <w:autoSpaceDE/>
        <w:autoSpaceDN/>
        <w:bidi w:val="0"/>
        <w:adjustRightInd/>
        <w:snapToGrid/>
        <w:spacing w:line="360" w:lineRule="auto"/>
        <w:textAlignment w:val="auto"/>
      </w:pPr>
      <w:r>
        <w:t xml:space="preserve">C3. </w:t>
      </w:r>
      <w:r>
        <w:rPr>
          <w:rFonts w:hint="eastAsia"/>
        </w:rPr>
        <w:t>算术性错误分析和修正</w:t>
      </w:r>
    </w:p>
    <w:p>
      <w:pPr>
        <w:pageBreakBefore w:val="0"/>
        <w:widowControl w:val="0"/>
        <w:kinsoku/>
        <w:wordWrap/>
        <w:overflowPunct/>
        <w:topLinePunct w:val="0"/>
        <w:autoSpaceDE/>
        <w:autoSpaceDN/>
        <w:bidi w:val="0"/>
        <w:adjustRightInd/>
        <w:snapToGrid/>
        <w:spacing w:after="120" w:afterLines="50" w:line="360" w:lineRule="auto"/>
        <w:ind w:firstLine="472" w:firstLineChars="225"/>
        <w:textAlignment w:val="auto"/>
        <w:rPr>
          <w:rFonts w:ascii="宋体" w:cs="Arial"/>
          <w:szCs w:val="21"/>
        </w:rPr>
      </w:pPr>
      <w:r>
        <w:rPr>
          <w:rFonts w:hint="eastAsia" w:ascii="宋体" w:hAnsi="宋体" w:cs="Arial"/>
          <w:szCs w:val="21"/>
        </w:rPr>
        <w:t>评标委员会对已标价工程量清单进行逐项分析，根据</w:t>
      </w:r>
      <w:r>
        <w:fldChar w:fldCharType="begin"/>
      </w:r>
      <w:r>
        <w:instrText xml:space="preserve"> HYPERLINK "file:///H:\\泰州招标文件范本\\泰州市房屋建筑和市政工程施工2016.4.docx" \l "_3.1_评标准备" </w:instrText>
      </w:r>
      <w:r>
        <w:fldChar w:fldCharType="separate"/>
      </w:r>
      <w:r>
        <w:rPr>
          <w:rStyle w:val="18"/>
          <w:rFonts w:hint="eastAsia" w:ascii="宋体" w:hAnsi="宋体" w:cs="Arial"/>
          <w:color w:val="auto"/>
          <w:szCs w:val="21"/>
        </w:rPr>
        <w:t>本章第</w:t>
      </w:r>
      <w:r>
        <w:rPr>
          <w:rStyle w:val="18"/>
          <w:rFonts w:ascii="宋体" w:hAnsi="宋体" w:cs="Arial"/>
          <w:color w:val="auto"/>
          <w:szCs w:val="21"/>
        </w:rPr>
        <w:t>3.2.4</w:t>
      </w:r>
      <w:r>
        <w:rPr>
          <w:rStyle w:val="18"/>
          <w:rFonts w:hint="eastAsia" w:ascii="宋体" w:hAnsi="宋体" w:cs="Arial"/>
          <w:color w:val="auto"/>
          <w:szCs w:val="21"/>
        </w:rPr>
        <w:t>项</w:t>
      </w:r>
      <w:r>
        <w:rPr>
          <w:rStyle w:val="18"/>
          <w:rFonts w:hint="eastAsia" w:ascii="宋体" w:hAnsi="宋体" w:cs="Arial"/>
          <w:color w:val="auto"/>
          <w:szCs w:val="21"/>
        </w:rPr>
        <w:fldChar w:fldCharType="end"/>
      </w:r>
      <w:r>
        <w:rPr>
          <w:rFonts w:hint="eastAsia" w:ascii="宋体" w:hAnsi="宋体" w:cs="Arial"/>
          <w:szCs w:val="21"/>
        </w:rPr>
        <w:t>规定的原则，对投标报价中的算术性错误进行修正。</w:t>
      </w:r>
    </w:p>
    <w:p>
      <w:pPr>
        <w:pStyle w:val="6"/>
        <w:pageBreakBefore w:val="0"/>
        <w:widowControl w:val="0"/>
        <w:kinsoku/>
        <w:wordWrap/>
        <w:overflowPunct/>
        <w:topLinePunct w:val="0"/>
        <w:autoSpaceDE/>
        <w:autoSpaceDN/>
        <w:bidi w:val="0"/>
        <w:adjustRightInd/>
        <w:snapToGrid/>
        <w:spacing w:line="360" w:lineRule="auto"/>
        <w:textAlignment w:val="auto"/>
      </w:pPr>
      <w:r>
        <w:t>C4</w:t>
      </w:r>
      <w:r>
        <w:rPr>
          <w:rFonts w:hint="eastAsia"/>
        </w:rPr>
        <w:t>判断投标报价是否低于成本</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szCs w:val="21"/>
        </w:rPr>
      </w:pPr>
      <w:r>
        <w:t xml:space="preserve">C4.1 </w:t>
      </w:r>
      <w:r>
        <w:rPr>
          <w:rFonts w:hint="eastAsia" w:ascii="宋体" w:hAnsi="宋体"/>
          <w:szCs w:val="21"/>
        </w:rPr>
        <w:t>投标报价总价低于</w:t>
      </w:r>
      <w:r>
        <w:rPr>
          <w:rFonts w:hint="eastAsia"/>
        </w:rPr>
        <w:t>投标成本预警价</w:t>
      </w:r>
      <w:r>
        <w:rPr>
          <w:rFonts w:hint="eastAsia" w:ascii="宋体" w:hAnsi="宋体" w:cs="TimesNewRomanPSMT"/>
          <w:kern w:val="0"/>
          <w:szCs w:val="21"/>
        </w:rPr>
        <w:t>且低于</w:t>
      </w:r>
      <w:r>
        <w:rPr>
          <w:rFonts w:hint="eastAsia" w:ascii="宋体" w:hAnsi="宋体"/>
          <w:szCs w:val="21"/>
        </w:rPr>
        <w:t>投标报价平均值下浮</w:t>
      </w:r>
      <w:r>
        <w:rPr>
          <w:rFonts w:ascii="宋体" w:hAnsi="宋体"/>
          <w:b/>
          <w:szCs w:val="21"/>
        </w:rPr>
        <w:t>A%</w:t>
      </w:r>
      <w:r>
        <w:rPr>
          <w:rFonts w:hint="eastAsia" w:ascii="宋体" w:hAnsi="宋体"/>
          <w:szCs w:val="21"/>
        </w:rPr>
        <w:t>的</w:t>
      </w:r>
      <w:r>
        <w:rPr>
          <w:rFonts w:ascii="宋体"/>
          <w:szCs w:val="21"/>
        </w:rPr>
        <w:t>,</w:t>
      </w:r>
      <w:r>
        <w:rPr>
          <w:rFonts w:hint="eastAsia" w:ascii="宋体" w:hAnsi="宋体"/>
          <w:szCs w:val="21"/>
        </w:rPr>
        <w:t>评标委员会应直接判定其投标报价低于成本价投标。资格预审项目</w:t>
      </w:r>
      <w:r>
        <w:rPr>
          <w:rFonts w:ascii="宋体" w:hAnsi="宋体"/>
          <w:b/>
          <w:szCs w:val="21"/>
        </w:rPr>
        <w:t>A=</w:t>
      </w:r>
      <w:r>
        <w:rPr>
          <w:rFonts w:hint="eastAsia" w:ascii="宋体" w:hAnsi="宋体"/>
          <w:b/>
          <w:szCs w:val="21"/>
        </w:rPr>
        <w:t>6</w:t>
      </w:r>
      <w:r>
        <w:rPr>
          <w:rFonts w:hint="eastAsia" w:ascii="宋体" w:hAnsi="宋体"/>
          <w:szCs w:val="21"/>
        </w:rPr>
        <w:t>，资格后审项目</w:t>
      </w:r>
      <w:r>
        <w:rPr>
          <w:rFonts w:ascii="宋体" w:hAnsi="宋体"/>
          <w:b/>
          <w:szCs w:val="21"/>
        </w:rPr>
        <w:t>A=</w:t>
      </w:r>
      <w:r>
        <w:rPr>
          <w:rFonts w:hint="eastAsia" w:ascii="宋体" w:hAnsi="宋体"/>
          <w:b/>
          <w:szCs w:val="21"/>
        </w:rPr>
        <w:t>5</w:t>
      </w:r>
      <w:r>
        <w:rPr>
          <w:rFonts w:hint="eastAsia" w:ascii="宋体" w:hAnsi="宋体"/>
          <w:szCs w:val="21"/>
        </w:rPr>
        <w:t>。</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szCs w:val="21"/>
        </w:rPr>
      </w:pPr>
      <w:r>
        <w:rPr>
          <w:szCs w:val="21"/>
        </w:rPr>
        <w:t>C4.2</w:t>
      </w:r>
      <w:r>
        <w:rPr>
          <w:rFonts w:hint="eastAsia" w:ascii="宋体" w:hAnsi="宋体"/>
          <w:szCs w:val="21"/>
        </w:rPr>
        <w:t>投标报价平均值是指经初步评审合格的</w:t>
      </w:r>
      <w:r>
        <w:rPr>
          <w:rFonts w:hint="eastAsia" w:ascii="宋体" w:hAnsi="宋体"/>
          <w:szCs w:val="21"/>
          <w:lang w:val="en-US" w:eastAsia="zh-CN"/>
        </w:rPr>
        <w:t>所有</w:t>
      </w:r>
      <w:r>
        <w:rPr>
          <w:rFonts w:hint="eastAsia" w:ascii="宋体" w:hAnsi="宋体"/>
          <w:szCs w:val="21"/>
        </w:rPr>
        <w:t>投标人的投标报价算术平均值。</w:t>
      </w:r>
    </w:p>
    <w:p>
      <w:pPr>
        <w:spacing w:line="480" w:lineRule="exact"/>
        <w:ind w:firstLine="420" w:firstLineChars="200"/>
        <w:rPr>
          <w:rFonts w:ascii="宋体"/>
          <w:szCs w:val="21"/>
        </w:rPr>
      </w:pPr>
    </w:p>
    <w:p>
      <w:pPr>
        <w:rPr>
          <w:rFonts w:ascii="仿宋_GB2312" w:hAnsi="仿宋" w:eastAsia="仿宋_GB2312" w:cs="宋体"/>
          <w:kern w:val="0"/>
          <w:sz w:val="32"/>
          <w:szCs w:val="32"/>
        </w:rPr>
      </w:pPr>
    </w:p>
    <w:p>
      <w:r>
        <w:rPr>
          <w:rFonts w:ascii="宋体" w:cs="Arial"/>
          <w:kern w:val="0"/>
          <w:szCs w:val="21"/>
        </w:rPr>
        <w:br w:type="page"/>
      </w:r>
      <w:bookmarkEnd w:id="244"/>
      <w:bookmarkEnd w:id="245"/>
      <w:bookmarkStart w:id="246" w:name="_附件E：备选投标方案的评审和比较办法"/>
      <w:bookmarkEnd w:id="246"/>
    </w:p>
    <w:bookmarkEnd w:id="209"/>
    <w:p/>
    <w:p>
      <w:pPr>
        <w:pStyle w:val="4"/>
        <w:rPr>
          <w:rFonts w:ascii="黑体" w:hAnsi="宋体"/>
          <w:b w:val="0"/>
        </w:rPr>
      </w:pPr>
      <w:bookmarkStart w:id="247" w:name="_Toc275956142"/>
      <w:r>
        <w:rPr>
          <w:rFonts w:hint="eastAsia"/>
        </w:rPr>
        <w:t>第四章</w:t>
      </w:r>
      <w:r>
        <w:rPr>
          <w:rFonts w:hint="eastAsia" w:ascii="黑体" w:hAnsi="宋体"/>
          <w:b w:val="0"/>
        </w:rPr>
        <w:t>合同条款</w:t>
      </w:r>
      <w:bookmarkEnd w:id="247"/>
      <w:r>
        <w:rPr>
          <w:rFonts w:hint="eastAsia" w:ascii="黑体" w:hAnsi="宋体"/>
          <w:b w:val="0"/>
        </w:rPr>
        <w:t>及格式</w:t>
      </w:r>
    </w:p>
    <w:p>
      <w:pPr>
        <w:pStyle w:val="4"/>
        <w:rPr>
          <w:rFonts w:ascii="黑体"/>
          <w:b w:val="0"/>
          <w:bCs w:val="0"/>
        </w:rPr>
      </w:pPr>
      <w:r>
        <w:rPr>
          <w:rFonts w:hint="eastAsia" w:ascii="黑体" w:hAnsi="黑体"/>
          <w:b w:val="0"/>
          <w:bCs w:val="0"/>
        </w:rPr>
        <w:t>第一节通用合同条款</w:t>
      </w:r>
    </w:p>
    <w:p>
      <w:pPr>
        <w:spacing w:line="400" w:lineRule="exact"/>
        <w:ind w:firstLine="420" w:firstLineChars="200"/>
        <w:rPr>
          <w:rFonts w:ascii="黑体" w:hAnsi="黑体" w:eastAsia="黑体"/>
          <w:b/>
          <w:bCs/>
          <w:szCs w:val="21"/>
        </w:rPr>
      </w:pPr>
      <w:r>
        <w:rPr>
          <w:rFonts w:hint="eastAsia" w:ascii="宋体" w:hAnsi="宋体"/>
          <w:szCs w:val="21"/>
        </w:rPr>
        <w:t>详见《建设工程施工合同》（示范文本）（</w:t>
      </w:r>
      <w:r>
        <w:rPr>
          <w:rFonts w:ascii="宋体" w:hAnsi="宋体"/>
          <w:szCs w:val="21"/>
        </w:rPr>
        <w:t>GF-201</w:t>
      </w:r>
      <w:r>
        <w:rPr>
          <w:rFonts w:hint="eastAsia" w:ascii="宋体" w:hAnsi="宋体"/>
          <w:szCs w:val="21"/>
        </w:rPr>
        <w:t>7</w:t>
      </w:r>
      <w:r>
        <w:rPr>
          <w:rFonts w:ascii="宋体" w:hAnsi="宋体"/>
          <w:szCs w:val="21"/>
        </w:rPr>
        <w:t>-0201</w:t>
      </w:r>
      <w:r>
        <w:rPr>
          <w:rFonts w:hint="eastAsia" w:ascii="宋体" w:hAnsi="宋体"/>
          <w:szCs w:val="21"/>
        </w:rPr>
        <w:t>）第二部分通用合同条款</w:t>
      </w:r>
    </w:p>
    <w:p>
      <w:pPr>
        <w:pStyle w:val="4"/>
      </w:pPr>
      <w:r>
        <w:rPr>
          <w:rFonts w:hint="eastAsia"/>
        </w:rPr>
        <w:t>第二节专用合同条款</w:t>
      </w:r>
    </w:p>
    <w:tbl>
      <w:tblPr>
        <w:tblStyle w:val="15"/>
        <w:tblW w:w="9885" w:type="dxa"/>
        <w:tblInd w:w="-74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30"/>
        <w:gridCol w:w="105"/>
        <w:gridCol w:w="105"/>
        <w:gridCol w:w="2430"/>
        <w:gridCol w:w="66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885" w:type="dxa"/>
            <w:gridSpan w:val="5"/>
            <w:tcBorders>
              <w:top w:val="single" w:color="auto" w:sz="4" w:space="0"/>
              <w:bottom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黑体" w:hAnsi="宋体" w:eastAsia="黑体" w:cs="黑体"/>
                <w:kern w:val="0"/>
                <w:sz w:val="24"/>
              </w:rPr>
            </w:pPr>
            <w:r>
              <w:rPr>
                <w:rFonts w:ascii="黑体" w:hAnsi="宋体" w:eastAsia="黑体" w:cs="黑体"/>
                <w:kern w:val="0"/>
                <w:sz w:val="24"/>
              </w:rPr>
              <w:t>1.13</w:t>
            </w:r>
            <w:r>
              <w:rPr>
                <w:rFonts w:hint="eastAsia" w:ascii="黑体" w:hAnsi="宋体" w:eastAsia="黑体" w:cs="黑体"/>
                <w:kern w:val="0"/>
                <w:sz w:val="24"/>
              </w:rPr>
              <w:t>工程量清单错误的修正</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70" w:type="dxa"/>
            <w:gridSpan w:val="4"/>
            <w:vMerge w:val="restart"/>
            <w:tcBorders>
              <w:top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出现工程量清单错误时，是否调整合同价格</w:t>
            </w:r>
          </w:p>
        </w:tc>
        <w:tc>
          <w:tcPr>
            <w:tcW w:w="6615" w:type="dxa"/>
            <w:tcBorders>
              <w:top w:val="single" w:color="000000" w:sz="4" w:space="0"/>
              <w:left w:val="single" w:color="000000" w:sz="4" w:space="0"/>
              <w:bottom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sym w:font="Wingdings 2" w:char="0052"/>
            </w:r>
            <w:r>
              <w:rPr>
                <w:rFonts w:hint="eastAsia" w:ascii="宋体" w:hAnsi="宋体" w:cs="宋体"/>
                <w:kern w:val="0"/>
                <w:sz w:val="20"/>
              </w:rPr>
              <w:t>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70" w:type="dxa"/>
            <w:gridSpan w:val="4"/>
            <w:vMerge w:val="continue"/>
            <w:tcBorders>
              <w:top w:val="single" w:color="000000" w:sz="4" w:space="0"/>
              <w:bottom w:val="single" w:color="000000" w:sz="4" w:space="0"/>
              <w:right w:val="single" w:color="000000" w:sz="4" w:space="0"/>
            </w:tcBorders>
            <w:vAlign w:val="center"/>
          </w:tcPr>
          <w:p>
            <w:pPr>
              <w:widowControl/>
              <w:jc w:val="left"/>
              <w:rPr>
                <w:rFonts w:ascii="宋体" w:cs="宋体"/>
                <w:kern w:val="0"/>
                <w:sz w:val="20"/>
              </w:rPr>
            </w:pPr>
          </w:p>
        </w:tc>
        <w:tc>
          <w:tcPr>
            <w:tcW w:w="6615" w:type="dxa"/>
            <w:tcBorders>
              <w:top w:val="single" w:color="000000" w:sz="4" w:space="0"/>
              <w:left w:val="single" w:color="000000" w:sz="4" w:space="0"/>
              <w:bottom w:val="single" w:color="auto"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sym w:font="Wingdings 2" w:char="00A3"/>
            </w:r>
            <w:r>
              <w:rPr>
                <w:rFonts w:hint="eastAsia" w:ascii="宋体" w:hAnsi="宋体" w:cs="宋体"/>
                <w:kern w:val="0"/>
                <w:sz w:val="20"/>
              </w:rPr>
              <w:t>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70" w:type="dxa"/>
            <w:gridSpan w:val="4"/>
            <w:vMerge w:val="restart"/>
            <w:tcBorders>
              <w:top w:val="single" w:color="000000" w:sz="4" w:space="0"/>
              <w:bottom w:val="single" w:color="000000" w:sz="4" w:space="0"/>
              <w:right w:val="single" w:color="auto"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允许调整合同价格的工程量偏差范围</w:t>
            </w:r>
          </w:p>
        </w:tc>
        <w:tc>
          <w:tcPr>
            <w:tcW w:w="6615" w:type="dxa"/>
            <w:tcBorders>
              <w:top w:val="single" w:color="auto" w:sz="4" w:space="0"/>
              <w:left w:val="single" w:color="auto" w:sz="4" w:space="0"/>
              <w:bottom w:val="single" w:color="auto"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MS Mincho" w:hAnsi="MS Mincho" w:cs="MS Mincho"/>
                <w:szCs w:val="21"/>
              </w:rPr>
              <w:t>□</w:t>
            </w:r>
            <w:r>
              <w:rPr>
                <w:rFonts w:hint="eastAsia" w:ascii="宋体" w:hAnsi="宋体" w:cs="宋体"/>
                <w:kern w:val="0"/>
                <w:sz w:val="20"/>
              </w:rPr>
              <w:t>按实调整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70" w:type="dxa"/>
            <w:gridSpan w:val="4"/>
            <w:vMerge w:val="continue"/>
            <w:tcBorders>
              <w:top w:val="single" w:color="000000" w:sz="4" w:space="0"/>
              <w:bottom w:val="single" w:color="000000" w:sz="4" w:space="0"/>
              <w:right w:val="single" w:color="auto" w:sz="4" w:space="0"/>
            </w:tcBorders>
            <w:vAlign w:val="center"/>
          </w:tcPr>
          <w:p>
            <w:pPr>
              <w:widowControl/>
              <w:jc w:val="left"/>
              <w:rPr>
                <w:rFonts w:ascii="宋体" w:cs="宋体"/>
                <w:kern w:val="0"/>
                <w:sz w:val="20"/>
              </w:rPr>
            </w:pPr>
          </w:p>
        </w:tc>
        <w:tc>
          <w:tcPr>
            <w:tcW w:w="6615" w:type="dxa"/>
            <w:tcBorders>
              <w:top w:val="single" w:color="auto" w:sz="4" w:space="0"/>
              <w:left w:val="single" w:color="auto" w:sz="4" w:space="0"/>
              <w:bottom w:val="single" w:color="auto" w:sz="4" w:space="0"/>
            </w:tcBorders>
            <w:tcMar>
              <w:top w:w="15" w:type="dxa"/>
              <w:left w:w="15" w:type="dxa"/>
              <w:bottom w:w="15" w:type="dxa"/>
              <w:right w:w="15" w:type="dxa"/>
            </w:tcMar>
            <w:vAlign w:val="center"/>
          </w:tcPr>
          <w:p>
            <w:pPr>
              <w:widowControl/>
              <w:adjustRightInd w:val="0"/>
              <w:snapToGrid w:val="0"/>
              <w:jc w:val="left"/>
              <w:textAlignment w:val="center"/>
              <w:rPr>
                <w:rFonts w:ascii="黑体" w:hAnsi="宋体" w:eastAsia="黑体" w:cs="黑体"/>
                <w:kern w:val="0"/>
                <w:sz w:val="24"/>
              </w:rPr>
            </w:pPr>
            <w:r>
              <w:rPr>
                <w:rFonts w:hint="eastAsia" w:ascii="宋体" w:hAnsi="宋体" w:cs="宋体"/>
                <w:kern w:val="0"/>
                <w:sz w:val="20"/>
              </w:rPr>
              <w:sym w:font="Wingdings 2" w:char="0052"/>
            </w:r>
            <w:r>
              <w:rPr>
                <w:rFonts w:hint="eastAsia" w:ascii="宋体" w:hAnsi="宋体" w:cs="宋体"/>
                <w:kern w:val="0"/>
                <w:sz w:val="20"/>
              </w:rPr>
              <w:t>其它：</w:t>
            </w:r>
            <w:r>
              <w:rPr>
                <w:rFonts w:ascii="宋体" w:hAnsi="宋体" w:cs="宋体"/>
                <w:kern w:val="0"/>
                <w:sz w:val="20"/>
                <w:u w:val="single"/>
              </w:rPr>
              <w:t>_</w:t>
            </w:r>
            <w:r>
              <w:rPr>
                <w:rFonts w:hint="eastAsia" w:ascii="宋体" w:hAnsi="宋体" w:cs="宋体"/>
                <w:kern w:val="0"/>
                <w:sz w:val="20"/>
                <w:u w:val="single"/>
              </w:rPr>
              <w:t>/</w:t>
            </w:r>
            <w:r>
              <w:rPr>
                <w:rFonts w:ascii="宋体" w:hAnsi="宋体" w:cs="宋体"/>
                <w:kern w:val="0"/>
                <w:sz w:val="20"/>
                <w:u w:val="single"/>
              </w:rPr>
              <w:t>_</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885" w:type="dxa"/>
            <w:gridSpan w:val="5"/>
            <w:tcBorders>
              <w:top w:val="single" w:color="000000" w:sz="4" w:space="0"/>
              <w:bottom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黑体" w:hAnsi="宋体" w:eastAsia="黑体" w:cs="黑体"/>
                <w:kern w:val="0"/>
                <w:sz w:val="24"/>
              </w:rPr>
            </w:pPr>
            <w:r>
              <w:rPr>
                <w:rFonts w:ascii="黑体" w:hAnsi="宋体" w:eastAsia="黑体" w:cs="黑体"/>
                <w:kern w:val="0"/>
                <w:sz w:val="24"/>
              </w:rPr>
              <w:t>2.5</w:t>
            </w:r>
            <w:r>
              <w:rPr>
                <w:rFonts w:hint="eastAsia" w:ascii="黑体" w:hAnsi="宋体" w:eastAsia="黑体" w:cs="黑体"/>
                <w:kern w:val="0"/>
                <w:sz w:val="24"/>
              </w:rPr>
              <w:t>资金来源证明及支付担保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70" w:type="dxa"/>
            <w:gridSpan w:val="4"/>
            <w:vMerge w:val="restart"/>
            <w:tcBorders>
              <w:top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发包人是否提供支付担保</w:t>
            </w:r>
          </w:p>
        </w:tc>
        <w:tc>
          <w:tcPr>
            <w:tcW w:w="6615" w:type="dxa"/>
            <w:tcBorders>
              <w:top w:val="single" w:color="000000" w:sz="4" w:space="0"/>
              <w:left w:val="single" w:color="000000" w:sz="4" w:space="0"/>
              <w:bottom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70" w:type="dxa"/>
            <w:gridSpan w:val="4"/>
            <w:vMerge w:val="continue"/>
            <w:tcBorders>
              <w:top w:val="single" w:color="000000" w:sz="4" w:space="0"/>
              <w:bottom w:val="single" w:color="000000" w:sz="4" w:space="0"/>
              <w:right w:val="single" w:color="000000" w:sz="4" w:space="0"/>
            </w:tcBorders>
            <w:vAlign w:val="center"/>
          </w:tcPr>
          <w:p>
            <w:pPr>
              <w:widowControl/>
              <w:jc w:val="left"/>
              <w:rPr>
                <w:rFonts w:ascii="宋体" w:cs="宋体"/>
                <w:kern w:val="0"/>
                <w:sz w:val="20"/>
              </w:rPr>
            </w:pPr>
          </w:p>
        </w:tc>
        <w:tc>
          <w:tcPr>
            <w:tcW w:w="6615" w:type="dxa"/>
            <w:tcBorders>
              <w:top w:val="single" w:color="000000" w:sz="4" w:space="0"/>
              <w:left w:val="single" w:color="000000" w:sz="4" w:space="0"/>
              <w:bottom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MS Mincho" w:hAnsi="MS Mincho" w:eastAsia="MS Mincho" w:cs="MS Mincho"/>
                <w:szCs w:val="21"/>
              </w:rPr>
              <w:t>☑</w:t>
            </w:r>
            <w:r>
              <w:rPr>
                <w:rFonts w:hint="eastAsia" w:ascii="宋体" w:hAnsi="宋体" w:cs="宋体"/>
                <w:kern w:val="0"/>
                <w:sz w:val="20"/>
              </w:rPr>
              <w:t>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70" w:type="dxa"/>
            <w:gridSpan w:val="4"/>
            <w:vMerge w:val="restart"/>
            <w:tcBorders>
              <w:top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发包人提供支付担保的形式</w:t>
            </w:r>
          </w:p>
        </w:tc>
        <w:tc>
          <w:tcPr>
            <w:tcW w:w="6615" w:type="dxa"/>
            <w:tcBorders>
              <w:top w:val="single" w:color="000000" w:sz="4" w:space="0"/>
              <w:left w:val="single" w:color="000000" w:sz="4" w:space="0"/>
              <w:bottom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□银行保函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70" w:type="dxa"/>
            <w:gridSpan w:val="4"/>
            <w:vMerge w:val="continue"/>
            <w:tcBorders>
              <w:top w:val="single" w:color="000000" w:sz="4" w:space="0"/>
              <w:bottom w:val="single" w:color="000000" w:sz="4" w:space="0"/>
              <w:right w:val="single" w:color="000000" w:sz="4" w:space="0"/>
            </w:tcBorders>
            <w:vAlign w:val="center"/>
          </w:tcPr>
          <w:p>
            <w:pPr>
              <w:widowControl/>
              <w:jc w:val="left"/>
              <w:rPr>
                <w:rFonts w:ascii="宋体" w:cs="宋体"/>
                <w:kern w:val="0"/>
                <w:sz w:val="20"/>
              </w:rPr>
            </w:pPr>
          </w:p>
        </w:tc>
        <w:tc>
          <w:tcPr>
            <w:tcW w:w="6615" w:type="dxa"/>
            <w:tcBorders>
              <w:top w:val="single" w:color="000000" w:sz="4" w:space="0"/>
              <w:left w:val="single" w:color="000000" w:sz="4" w:space="0"/>
              <w:bottom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□担保公司担保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270" w:type="dxa"/>
            <w:gridSpan w:val="4"/>
            <w:vMerge w:val="continue"/>
            <w:tcBorders>
              <w:top w:val="single" w:color="000000" w:sz="4" w:space="0"/>
              <w:bottom w:val="single" w:color="000000" w:sz="4" w:space="0"/>
              <w:right w:val="single" w:color="000000" w:sz="4" w:space="0"/>
            </w:tcBorders>
            <w:vAlign w:val="center"/>
          </w:tcPr>
          <w:p>
            <w:pPr>
              <w:widowControl/>
              <w:jc w:val="left"/>
              <w:rPr>
                <w:rFonts w:ascii="宋体" w:cs="宋体"/>
                <w:kern w:val="0"/>
                <w:sz w:val="20"/>
              </w:rPr>
            </w:pPr>
          </w:p>
        </w:tc>
        <w:tc>
          <w:tcPr>
            <w:tcW w:w="6615" w:type="dxa"/>
            <w:tcBorders>
              <w:top w:val="single" w:color="000000" w:sz="4" w:space="0"/>
              <w:left w:val="single" w:color="000000" w:sz="4" w:space="0"/>
              <w:bottom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□其它形式：</w:t>
            </w:r>
            <w:r>
              <w:rPr>
                <w:rFonts w:hint="eastAsia" w:asciiTheme="minorEastAsia" w:hAnsiTheme="minorEastAsia" w:eastAsiaTheme="minorEastAsia"/>
                <w:u w:val="single"/>
              </w:rPr>
              <w:t xml:space="preserve">  /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885" w:type="dxa"/>
            <w:gridSpan w:val="5"/>
            <w:tcBorders>
              <w:top w:val="single" w:color="000000" w:sz="4" w:space="0"/>
              <w:bottom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黑体" w:hAnsi="宋体" w:eastAsia="黑体" w:cs="黑体"/>
                <w:kern w:val="0"/>
                <w:sz w:val="24"/>
              </w:rPr>
            </w:pPr>
            <w:r>
              <w:rPr>
                <w:rFonts w:ascii="黑体" w:hAnsi="宋体" w:eastAsia="黑体" w:cs="黑体"/>
                <w:kern w:val="0"/>
                <w:sz w:val="24"/>
              </w:rPr>
              <w:t>3.2</w:t>
            </w:r>
            <w:r>
              <w:rPr>
                <w:rFonts w:hint="eastAsia" w:ascii="黑体" w:hAnsi="宋体" w:eastAsia="黑体" w:cs="黑体"/>
                <w:kern w:val="0"/>
                <w:sz w:val="24"/>
              </w:rPr>
              <w:t>项目经理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30" w:type="dxa"/>
            <w:vMerge w:val="restart"/>
            <w:tcBorders>
              <w:top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adjustRightInd w:val="0"/>
              <w:snapToGrid w:val="0"/>
              <w:jc w:val="center"/>
              <w:textAlignment w:val="center"/>
              <w:rPr>
                <w:rFonts w:ascii="宋体" w:cs="宋体"/>
                <w:sz w:val="20"/>
              </w:rPr>
            </w:pPr>
            <w:r>
              <w:rPr>
                <w:rFonts w:ascii="宋体" w:hAnsi="宋体" w:cs="宋体"/>
                <w:kern w:val="0"/>
                <w:sz w:val="20"/>
              </w:rPr>
              <w:t>3.2.1</w:t>
            </w:r>
          </w:p>
        </w:tc>
        <w:tc>
          <w:tcPr>
            <w:tcW w:w="2640" w:type="dxa"/>
            <w:gridSpan w:val="3"/>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关于项目经理每月在施工现场的时间要求</w:t>
            </w:r>
          </w:p>
        </w:tc>
        <w:tc>
          <w:tcPr>
            <w:tcW w:w="6615" w:type="dxa"/>
            <w:tcBorders>
              <w:top w:val="single" w:color="000000" w:sz="4" w:space="0"/>
              <w:left w:val="single" w:color="000000" w:sz="4" w:space="0"/>
              <w:bottom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MS Mincho" w:hAnsi="MS Mincho" w:eastAsia="MS Mincho" w:cs="MS Mincho"/>
                <w:szCs w:val="21"/>
              </w:rPr>
              <w:t>☑</w:t>
            </w:r>
            <w:r>
              <w:rPr>
                <w:rFonts w:hint="eastAsia" w:ascii="宋体" w:hAnsi="宋体" w:cs="宋体"/>
                <w:kern w:val="0"/>
                <w:sz w:val="20"/>
              </w:rPr>
              <w:t>项目经理每月带班生产时间不得少于本月施工时间的</w:t>
            </w:r>
            <w:r>
              <w:rPr>
                <w:rFonts w:ascii="宋体" w:hAnsi="宋体" w:cs="宋体"/>
                <w:kern w:val="0"/>
                <w:sz w:val="20"/>
              </w:rPr>
              <w:t>80%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630" w:type="dxa"/>
            <w:vMerge w:val="continue"/>
            <w:tcBorders>
              <w:top w:val="single" w:color="000000" w:sz="4" w:space="0"/>
              <w:bottom w:val="single" w:color="000000" w:sz="4" w:space="0"/>
              <w:right w:val="single" w:color="000000" w:sz="4" w:space="0"/>
            </w:tcBorders>
            <w:vAlign w:val="center"/>
          </w:tcPr>
          <w:p>
            <w:pPr>
              <w:widowControl/>
              <w:jc w:val="left"/>
              <w:rPr>
                <w:rFonts w:ascii="宋体" w:cs="宋体"/>
                <w:sz w:val="20"/>
              </w:rPr>
            </w:pPr>
          </w:p>
        </w:tc>
        <w:tc>
          <w:tcPr>
            <w:tcW w:w="264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kern w:val="0"/>
                <w:sz w:val="20"/>
              </w:rPr>
            </w:pPr>
          </w:p>
        </w:tc>
        <w:tc>
          <w:tcPr>
            <w:tcW w:w="6615" w:type="dxa"/>
            <w:tcBorders>
              <w:top w:val="single" w:color="000000" w:sz="4" w:space="0"/>
              <w:left w:val="single" w:color="000000" w:sz="4" w:space="0"/>
              <w:bottom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□其它：</w:t>
            </w:r>
            <w:r>
              <w:rPr>
                <w:rFonts w:hint="eastAsia" w:asciiTheme="minorEastAsia" w:hAnsiTheme="minorEastAsia" w:eastAsiaTheme="minorEastAsia"/>
                <w:u w:val="single"/>
              </w:rPr>
              <w:t xml:space="preserve">  /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0" w:type="dxa"/>
            <w:vMerge w:val="continue"/>
            <w:tcBorders>
              <w:top w:val="single" w:color="000000" w:sz="4" w:space="0"/>
              <w:bottom w:val="single" w:color="000000" w:sz="4" w:space="0"/>
              <w:right w:val="single" w:color="000000" w:sz="4" w:space="0"/>
            </w:tcBorders>
            <w:vAlign w:val="center"/>
          </w:tcPr>
          <w:p>
            <w:pPr>
              <w:widowControl/>
              <w:jc w:val="left"/>
              <w:rPr>
                <w:rFonts w:ascii="宋体" w:cs="宋体"/>
                <w:sz w:val="20"/>
              </w:rPr>
            </w:pPr>
          </w:p>
        </w:tc>
        <w:tc>
          <w:tcPr>
            <w:tcW w:w="2640" w:type="dxa"/>
            <w:gridSpan w:val="3"/>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承包人未提交劳动合同，以及没有为项目经理缴纳社会保险证明的违约责任</w:t>
            </w:r>
          </w:p>
        </w:tc>
        <w:tc>
          <w:tcPr>
            <w:tcW w:w="6615" w:type="dxa"/>
            <w:tcBorders>
              <w:top w:val="single" w:color="000000" w:sz="4" w:space="0"/>
              <w:left w:val="single" w:color="000000" w:sz="4" w:space="0"/>
              <w:bottom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MS Mincho" w:hAnsi="MS Mincho" w:eastAsia="MS Mincho" w:cs="MS Mincho"/>
                <w:szCs w:val="21"/>
              </w:rPr>
              <w:t>☑</w:t>
            </w:r>
            <w:r>
              <w:rPr>
                <w:rFonts w:hint="eastAsia" w:ascii="宋体" w:hAnsi="宋体" w:cs="宋体"/>
                <w:kern w:val="0"/>
                <w:sz w:val="20"/>
              </w:rPr>
              <w:t>由承包人承担违约责任，责令限期提交劳动合同并补缴社会保险，并扣除履约保证金的</w:t>
            </w:r>
            <w:r>
              <w:rPr>
                <w:rFonts w:hint="eastAsia" w:ascii="宋体" w:hAnsi="宋体" w:cs="宋体"/>
                <w:kern w:val="0"/>
                <w:sz w:val="20"/>
                <w:u w:val="single"/>
              </w:rPr>
              <w:t>10</w:t>
            </w:r>
            <w:r>
              <w:rPr>
                <w:rFonts w:ascii="宋体" w:hAnsi="宋体" w:cs="宋体"/>
                <w:kern w:val="0"/>
                <w:sz w:val="20"/>
              </w:rPr>
              <w:t>_%</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30" w:type="dxa"/>
            <w:vMerge w:val="continue"/>
            <w:tcBorders>
              <w:top w:val="single" w:color="000000" w:sz="4" w:space="0"/>
              <w:bottom w:val="single" w:color="000000" w:sz="4" w:space="0"/>
              <w:right w:val="single" w:color="000000" w:sz="4" w:space="0"/>
            </w:tcBorders>
            <w:vAlign w:val="center"/>
          </w:tcPr>
          <w:p>
            <w:pPr>
              <w:widowControl/>
              <w:jc w:val="left"/>
              <w:rPr>
                <w:rFonts w:ascii="宋体" w:cs="宋体"/>
                <w:sz w:val="20"/>
              </w:rPr>
            </w:pPr>
          </w:p>
        </w:tc>
        <w:tc>
          <w:tcPr>
            <w:tcW w:w="264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kern w:val="0"/>
                <w:sz w:val="20"/>
              </w:rPr>
            </w:pPr>
          </w:p>
        </w:tc>
        <w:tc>
          <w:tcPr>
            <w:tcW w:w="6615" w:type="dxa"/>
            <w:tcBorders>
              <w:top w:val="single" w:color="000000" w:sz="4" w:space="0"/>
              <w:left w:val="single" w:color="000000" w:sz="4" w:space="0"/>
              <w:bottom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□其它：</w:t>
            </w:r>
            <w:r>
              <w:rPr>
                <w:rFonts w:hint="eastAsia" w:asciiTheme="minorEastAsia" w:hAnsiTheme="minorEastAsia" w:eastAsiaTheme="minorEastAsia"/>
                <w:u w:val="single"/>
              </w:rPr>
              <w:t xml:space="preserve">  /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0" w:type="dxa"/>
            <w:vMerge w:val="continue"/>
            <w:tcBorders>
              <w:top w:val="single" w:color="000000" w:sz="4" w:space="0"/>
              <w:bottom w:val="single" w:color="000000" w:sz="4" w:space="0"/>
              <w:right w:val="single" w:color="000000" w:sz="4" w:space="0"/>
            </w:tcBorders>
            <w:vAlign w:val="center"/>
          </w:tcPr>
          <w:p>
            <w:pPr>
              <w:widowControl/>
              <w:jc w:val="left"/>
              <w:rPr>
                <w:rFonts w:ascii="宋体" w:cs="宋体"/>
                <w:sz w:val="20"/>
              </w:rPr>
            </w:pPr>
          </w:p>
        </w:tc>
        <w:tc>
          <w:tcPr>
            <w:tcW w:w="2640" w:type="dxa"/>
            <w:gridSpan w:val="3"/>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项目经理未经批准，擅自离开施工现场的违约责任</w:t>
            </w:r>
          </w:p>
        </w:tc>
        <w:tc>
          <w:tcPr>
            <w:tcW w:w="6615" w:type="dxa"/>
            <w:tcBorders>
              <w:top w:val="single" w:color="000000" w:sz="4" w:space="0"/>
              <w:left w:val="single" w:color="000000" w:sz="4" w:space="0"/>
              <w:bottom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□由承包人承担违约责任，并扣除履约保证金的</w:t>
            </w:r>
            <w:r>
              <w:rPr>
                <w:rFonts w:hint="eastAsia" w:ascii="宋体" w:hAnsi="宋体" w:cs="宋体"/>
                <w:kern w:val="0"/>
                <w:sz w:val="20"/>
                <w:u w:val="single"/>
              </w:rPr>
              <w:t>10</w:t>
            </w:r>
            <w:r>
              <w:rPr>
                <w:rFonts w:ascii="宋体" w:hAnsi="宋体" w:cs="宋体"/>
                <w:kern w:val="0"/>
                <w:sz w:val="20"/>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0" w:type="dxa"/>
            <w:vMerge w:val="continue"/>
            <w:tcBorders>
              <w:top w:val="single" w:color="000000" w:sz="4" w:space="0"/>
              <w:bottom w:val="single" w:color="000000" w:sz="4" w:space="0"/>
              <w:right w:val="single" w:color="000000" w:sz="4" w:space="0"/>
            </w:tcBorders>
            <w:vAlign w:val="center"/>
          </w:tcPr>
          <w:p>
            <w:pPr>
              <w:widowControl/>
              <w:jc w:val="left"/>
              <w:rPr>
                <w:rFonts w:ascii="宋体" w:cs="宋体"/>
                <w:sz w:val="20"/>
              </w:rPr>
            </w:pPr>
          </w:p>
        </w:tc>
        <w:tc>
          <w:tcPr>
            <w:tcW w:w="264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kern w:val="0"/>
                <w:sz w:val="20"/>
              </w:rPr>
            </w:pPr>
          </w:p>
        </w:tc>
        <w:tc>
          <w:tcPr>
            <w:tcW w:w="6615" w:type="dxa"/>
            <w:tcBorders>
              <w:top w:val="single" w:color="000000" w:sz="4" w:space="0"/>
              <w:left w:val="single" w:color="000000" w:sz="4" w:space="0"/>
              <w:bottom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sz w:val="20"/>
              </w:rPr>
            </w:pPr>
            <w:r>
              <w:rPr>
                <w:rFonts w:hint="eastAsia" w:ascii="MS Mincho" w:hAnsi="MS Mincho" w:eastAsia="MS Mincho" w:cs="MS Mincho"/>
                <w:szCs w:val="21"/>
              </w:rPr>
              <w:t>☑</w:t>
            </w:r>
            <w:r>
              <w:rPr>
                <w:rFonts w:hint="eastAsia" w:ascii="宋体" w:hAnsi="宋体" w:cs="宋体"/>
                <w:kern w:val="0"/>
                <w:sz w:val="20"/>
              </w:rPr>
              <w:t>由承包人承担违约责任</w:t>
            </w:r>
            <w:r>
              <w:rPr>
                <w:rFonts w:hint="eastAsia" w:hAnsi="宋体"/>
                <w:sz w:val="20"/>
              </w:rPr>
              <w:t>，发包人有权处违约金</w:t>
            </w:r>
            <w:r>
              <w:rPr>
                <w:rFonts w:hint="eastAsia" w:hAnsi="宋体"/>
                <w:sz w:val="20"/>
                <w:u w:val="single"/>
              </w:rPr>
              <w:t>1000</w:t>
            </w:r>
            <w:r>
              <w:rPr>
                <w:rFonts w:hint="eastAsia" w:hAnsi="宋体"/>
                <w:sz w:val="20"/>
              </w:rPr>
              <w:t>元</w:t>
            </w:r>
            <w:r>
              <w:rPr>
                <w:sz w:val="20"/>
              </w:rPr>
              <w:t>/</w:t>
            </w:r>
            <w:r>
              <w:rPr>
                <w:rFonts w:hint="eastAsia" w:hAnsi="宋体"/>
                <w:sz w:val="20"/>
              </w:rPr>
              <w:t>人</w:t>
            </w:r>
            <w:r>
              <w:rPr>
                <w:sz w:val="20"/>
              </w:rPr>
              <w:t>•</w:t>
            </w:r>
            <w:r>
              <w:rPr>
                <w:rFonts w:hint="eastAsia" w:hAnsi="宋体"/>
                <w:sz w:val="20"/>
              </w:rPr>
              <w:t>次</w:t>
            </w:r>
            <w:r>
              <w:rPr>
                <w:sz w:val="20"/>
              </w:rPr>
              <w:t>(</w:t>
            </w:r>
            <w:r>
              <w:rPr>
                <w:rFonts w:hint="eastAsia" w:hAnsi="宋体"/>
                <w:sz w:val="20"/>
              </w:rPr>
              <w:t>人民币</w:t>
            </w:r>
            <w:r>
              <w:rPr>
                <w:sz w:val="20"/>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0" w:type="dxa"/>
            <w:vMerge w:val="restart"/>
            <w:tcBorders>
              <w:top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adjustRightInd w:val="0"/>
              <w:snapToGrid w:val="0"/>
              <w:jc w:val="center"/>
              <w:textAlignment w:val="center"/>
              <w:rPr>
                <w:rFonts w:ascii="宋体" w:cs="宋体"/>
                <w:sz w:val="20"/>
              </w:rPr>
            </w:pPr>
            <w:r>
              <w:rPr>
                <w:rFonts w:ascii="宋体" w:hAnsi="宋体" w:cs="宋体"/>
                <w:kern w:val="0"/>
                <w:sz w:val="20"/>
              </w:rPr>
              <w:t>3.2.3</w:t>
            </w:r>
          </w:p>
        </w:tc>
        <w:tc>
          <w:tcPr>
            <w:tcW w:w="2640" w:type="dxa"/>
            <w:gridSpan w:val="3"/>
            <w:vMerge w:val="restart"/>
            <w:tcBorders>
              <w:top w:val="single" w:color="000000" w:sz="4" w:space="0"/>
              <w:left w:val="nil"/>
              <w:bottom w:val="single" w:color="000000" w:sz="4" w:space="0"/>
              <w:right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承包人擅自更换项目经理的违约责任</w:t>
            </w:r>
          </w:p>
        </w:tc>
        <w:tc>
          <w:tcPr>
            <w:tcW w:w="6615" w:type="dxa"/>
            <w:tcBorders>
              <w:top w:val="single" w:color="000000" w:sz="4" w:space="0"/>
              <w:left w:val="single" w:color="000000" w:sz="4" w:space="0"/>
              <w:bottom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MS Mincho" w:hAnsi="MS Mincho" w:eastAsia="MS Mincho" w:cs="MS Mincho"/>
                <w:szCs w:val="21"/>
              </w:rPr>
              <w:t>☑</w:t>
            </w:r>
            <w:r>
              <w:rPr>
                <w:rFonts w:hint="eastAsia" w:ascii="宋体" w:hAnsi="宋体" w:cs="宋体"/>
                <w:kern w:val="0"/>
                <w:sz w:val="20"/>
              </w:rPr>
              <w:t>由承包人承担违约责任，并扣除履约保证金的</w:t>
            </w:r>
            <w:r>
              <w:rPr>
                <w:rFonts w:hint="eastAsia" w:ascii="宋体" w:hAnsi="宋体" w:cs="宋体"/>
                <w:kern w:val="0"/>
                <w:sz w:val="20"/>
                <w:u w:val="single"/>
              </w:rPr>
              <w:t>10</w:t>
            </w:r>
            <w:r>
              <w:rPr>
                <w:rFonts w:ascii="宋体" w:hAnsi="宋体" w:cs="宋体"/>
                <w:kern w:val="0"/>
                <w:sz w:val="20"/>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0" w:type="dxa"/>
            <w:vMerge w:val="continue"/>
            <w:tcBorders>
              <w:top w:val="single" w:color="000000" w:sz="4" w:space="0"/>
              <w:bottom w:val="single" w:color="000000" w:sz="4" w:space="0"/>
              <w:right w:val="single" w:color="000000" w:sz="4" w:space="0"/>
            </w:tcBorders>
            <w:vAlign w:val="center"/>
          </w:tcPr>
          <w:p>
            <w:pPr>
              <w:widowControl/>
              <w:jc w:val="left"/>
              <w:rPr>
                <w:rFonts w:ascii="宋体" w:cs="宋体"/>
                <w:sz w:val="20"/>
              </w:rPr>
            </w:pPr>
          </w:p>
        </w:tc>
        <w:tc>
          <w:tcPr>
            <w:tcW w:w="2640" w:type="dxa"/>
            <w:gridSpan w:val="3"/>
            <w:vMerge w:val="continue"/>
            <w:tcBorders>
              <w:top w:val="single" w:color="000000" w:sz="4" w:space="0"/>
              <w:left w:val="nil"/>
              <w:bottom w:val="single" w:color="000000" w:sz="4" w:space="0"/>
              <w:right w:val="single" w:color="000000" w:sz="4" w:space="0"/>
            </w:tcBorders>
            <w:vAlign w:val="center"/>
          </w:tcPr>
          <w:p>
            <w:pPr>
              <w:widowControl/>
              <w:jc w:val="left"/>
              <w:rPr>
                <w:rFonts w:ascii="宋体" w:cs="宋体"/>
                <w:kern w:val="0"/>
                <w:sz w:val="20"/>
              </w:rPr>
            </w:pPr>
          </w:p>
        </w:tc>
        <w:tc>
          <w:tcPr>
            <w:tcW w:w="6615" w:type="dxa"/>
            <w:tcBorders>
              <w:top w:val="single" w:color="000000" w:sz="4" w:space="0"/>
              <w:left w:val="single" w:color="000000" w:sz="4" w:space="0"/>
              <w:bottom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□其它：</w:t>
            </w:r>
            <w:r>
              <w:rPr>
                <w:rFonts w:hint="eastAsia" w:asciiTheme="minorEastAsia" w:hAnsiTheme="minorEastAsia" w:eastAsiaTheme="minorEastAsia"/>
                <w:u w:val="single"/>
              </w:rPr>
              <w:t xml:space="preserve">  /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0" w:type="dxa"/>
            <w:vMerge w:val="restart"/>
            <w:tcBorders>
              <w:top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adjustRightInd w:val="0"/>
              <w:snapToGrid w:val="0"/>
              <w:jc w:val="center"/>
              <w:textAlignment w:val="center"/>
              <w:rPr>
                <w:rFonts w:ascii="宋体" w:cs="宋体"/>
                <w:sz w:val="20"/>
              </w:rPr>
            </w:pPr>
            <w:r>
              <w:rPr>
                <w:rFonts w:ascii="宋体" w:hAnsi="宋体" w:cs="宋体"/>
                <w:kern w:val="0"/>
                <w:sz w:val="20"/>
              </w:rPr>
              <w:t>3.2.4</w:t>
            </w:r>
          </w:p>
        </w:tc>
        <w:tc>
          <w:tcPr>
            <w:tcW w:w="2640" w:type="dxa"/>
            <w:gridSpan w:val="3"/>
            <w:vMerge w:val="restart"/>
            <w:tcBorders>
              <w:top w:val="single" w:color="000000" w:sz="4" w:space="0"/>
              <w:left w:val="nil"/>
              <w:bottom w:val="single" w:color="000000" w:sz="4" w:space="0"/>
              <w:right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承包人无正当理由拒绝更换项目经理的违约责任</w:t>
            </w:r>
          </w:p>
        </w:tc>
        <w:tc>
          <w:tcPr>
            <w:tcW w:w="6615" w:type="dxa"/>
            <w:tcBorders>
              <w:top w:val="single" w:color="000000" w:sz="4" w:space="0"/>
              <w:left w:val="single" w:color="000000" w:sz="4" w:space="0"/>
              <w:bottom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MS Mincho" w:hAnsi="MS Mincho" w:eastAsia="MS Mincho" w:cs="MS Mincho"/>
                <w:szCs w:val="21"/>
              </w:rPr>
              <w:t>☑</w:t>
            </w:r>
            <w:r>
              <w:rPr>
                <w:rFonts w:hint="eastAsia" w:ascii="宋体" w:hAnsi="宋体" w:cs="宋体"/>
                <w:kern w:val="0"/>
                <w:sz w:val="20"/>
              </w:rPr>
              <w:t>由承包人承担违约责任，并扣除履约保证金的</w:t>
            </w:r>
            <w:r>
              <w:rPr>
                <w:rFonts w:hint="eastAsia" w:ascii="宋体" w:hAnsi="宋体" w:cs="宋体"/>
                <w:kern w:val="0"/>
                <w:sz w:val="20"/>
                <w:u w:val="single"/>
              </w:rPr>
              <w:t>10</w:t>
            </w:r>
            <w:r>
              <w:rPr>
                <w:rFonts w:ascii="宋体" w:hAnsi="宋体" w:cs="宋体"/>
                <w:kern w:val="0"/>
                <w:sz w:val="20"/>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0" w:type="dxa"/>
            <w:vMerge w:val="continue"/>
            <w:tcBorders>
              <w:top w:val="single" w:color="000000" w:sz="4" w:space="0"/>
              <w:bottom w:val="single" w:color="000000" w:sz="4" w:space="0"/>
              <w:right w:val="single" w:color="000000" w:sz="4" w:space="0"/>
            </w:tcBorders>
            <w:vAlign w:val="center"/>
          </w:tcPr>
          <w:p>
            <w:pPr>
              <w:widowControl/>
              <w:jc w:val="left"/>
              <w:rPr>
                <w:rFonts w:ascii="宋体" w:cs="宋体"/>
                <w:sz w:val="20"/>
              </w:rPr>
            </w:pPr>
          </w:p>
        </w:tc>
        <w:tc>
          <w:tcPr>
            <w:tcW w:w="2640" w:type="dxa"/>
            <w:gridSpan w:val="3"/>
            <w:vMerge w:val="continue"/>
            <w:tcBorders>
              <w:top w:val="single" w:color="000000" w:sz="4" w:space="0"/>
              <w:left w:val="nil"/>
              <w:bottom w:val="single" w:color="000000" w:sz="4" w:space="0"/>
              <w:right w:val="single" w:color="000000" w:sz="4" w:space="0"/>
            </w:tcBorders>
            <w:vAlign w:val="center"/>
          </w:tcPr>
          <w:p>
            <w:pPr>
              <w:widowControl/>
              <w:jc w:val="left"/>
              <w:rPr>
                <w:rFonts w:ascii="宋体" w:cs="宋体"/>
                <w:kern w:val="0"/>
                <w:sz w:val="20"/>
              </w:rPr>
            </w:pPr>
          </w:p>
        </w:tc>
        <w:tc>
          <w:tcPr>
            <w:tcW w:w="6615" w:type="dxa"/>
            <w:tcBorders>
              <w:top w:val="single" w:color="000000" w:sz="4" w:space="0"/>
              <w:left w:val="single" w:color="000000" w:sz="4" w:space="0"/>
              <w:bottom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□其它：</w:t>
            </w:r>
            <w:r>
              <w:rPr>
                <w:rFonts w:hint="eastAsia" w:asciiTheme="minorEastAsia" w:hAnsiTheme="minorEastAsia" w:eastAsiaTheme="minorEastAsia"/>
                <w:u w:val="single"/>
              </w:rPr>
              <w:t xml:space="preserve">  /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885" w:type="dxa"/>
            <w:gridSpan w:val="5"/>
            <w:tcBorders>
              <w:top w:val="single" w:color="000000" w:sz="4" w:space="0"/>
              <w:bottom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黑体" w:hAnsi="宋体" w:eastAsia="黑体" w:cs="黑体"/>
                <w:kern w:val="0"/>
                <w:sz w:val="24"/>
              </w:rPr>
            </w:pPr>
            <w:r>
              <w:rPr>
                <w:rFonts w:ascii="黑体" w:hAnsi="宋体" w:eastAsia="黑体" w:cs="黑体"/>
                <w:kern w:val="0"/>
                <w:sz w:val="24"/>
              </w:rPr>
              <w:t>3.3</w:t>
            </w:r>
            <w:r>
              <w:rPr>
                <w:rFonts w:hint="eastAsia" w:ascii="黑体" w:hAnsi="宋体" w:eastAsia="黑体" w:cs="黑体"/>
                <w:kern w:val="0"/>
                <w:sz w:val="24"/>
              </w:rPr>
              <w:t>承包人人员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0" w:type="dxa"/>
            <w:vMerge w:val="restart"/>
            <w:tcBorders>
              <w:top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adjustRightInd w:val="0"/>
              <w:snapToGrid w:val="0"/>
              <w:jc w:val="center"/>
              <w:textAlignment w:val="center"/>
              <w:rPr>
                <w:rFonts w:ascii="宋体" w:cs="宋体"/>
                <w:sz w:val="20"/>
              </w:rPr>
            </w:pPr>
            <w:r>
              <w:rPr>
                <w:rFonts w:ascii="宋体" w:hAnsi="宋体" w:cs="宋体"/>
                <w:kern w:val="0"/>
                <w:sz w:val="20"/>
              </w:rPr>
              <w:t>3.3.3</w:t>
            </w:r>
          </w:p>
        </w:tc>
        <w:tc>
          <w:tcPr>
            <w:tcW w:w="2640" w:type="dxa"/>
            <w:gridSpan w:val="3"/>
            <w:vMerge w:val="restart"/>
            <w:tcBorders>
              <w:top w:val="single" w:color="000000" w:sz="4" w:space="0"/>
              <w:left w:val="nil"/>
              <w:bottom w:val="single" w:color="000000" w:sz="4" w:space="0"/>
              <w:right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承包人无正当理由拒绝撤换主要施工管理人员的违约责任</w:t>
            </w:r>
          </w:p>
        </w:tc>
        <w:tc>
          <w:tcPr>
            <w:tcW w:w="6615" w:type="dxa"/>
            <w:tcBorders>
              <w:top w:val="single" w:color="000000" w:sz="4" w:space="0"/>
              <w:left w:val="single" w:color="000000" w:sz="4" w:space="0"/>
              <w:bottom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MS Mincho" w:hAnsi="MS Mincho" w:eastAsia="MS Mincho" w:cs="MS Mincho"/>
                <w:szCs w:val="21"/>
              </w:rPr>
              <w:t>☑</w:t>
            </w:r>
            <w:r>
              <w:rPr>
                <w:rFonts w:hint="eastAsia" w:ascii="宋体" w:hAnsi="宋体" w:cs="宋体"/>
                <w:kern w:val="0"/>
                <w:sz w:val="20"/>
              </w:rPr>
              <w:t>由承包人承担违约责任，并扣除履约保证金的</w:t>
            </w:r>
            <w:r>
              <w:rPr>
                <w:rFonts w:hint="eastAsia" w:ascii="宋体" w:hAnsi="宋体" w:cs="宋体"/>
                <w:kern w:val="0"/>
                <w:sz w:val="20"/>
                <w:u w:val="single"/>
              </w:rPr>
              <w:t xml:space="preserve"> 5 </w:t>
            </w:r>
            <w:r>
              <w:rPr>
                <w:rFonts w:ascii="宋体" w:hAnsi="宋体" w:cs="宋体"/>
                <w:kern w:val="0"/>
                <w:sz w:val="20"/>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0" w:type="dxa"/>
            <w:vMerge w:val="continue"/>
            <w:tcBorders>
              <w:top w:val="single" w:color="000000" w:sz="4" w:space="0"/>
              <w:bottom w:val="single" w:color="000000" w:sz="4" w:space="0"/>
              <w:right w:val="single" w:color="000000" w:sz="4" w:space="0"/>
            </w:tcBorders>
            <w:vAlign w:val="center"/>
          </w:tcPr>
          <w:p>
            <w:pPr>
              <w:widowControl/>
              <w:jc w:val="left"/>
              <w:rPr>
                <w:rFonts w:ascii="宋体" w:cs="宋体"/>
                <w:sz w:val="20"/>
              </w:rPr>
            </w:pPr>
          </w:p>
        </w:tc>
        <w:tc>
          <w:tcPr>
            <w:tcW w:w="2640" w:type="dxa"/>
            <w:gridSpan w:val="3"/>
            <w:vMerge w:val="continue"/>
            <w:tcBorders>
              <w:top w:val="single" w:color="000000" w:sz="4" w:space="0"/>
              <w:left w:val="nil"/>
              <w:bottom w:val="single" w:color="000000" w:sz="4" w:space="0"/>
              <w:right w:val="single" w:color="000000" w:sz="4" w:space="0"/>
            </w:tcBorders>
            <w:vAlign w:val="center"/>
          </w:tcPr>
          <w:p>
            <w:pPr>
              <w:widowControl/>
              <w:jc w:val="left"/>
              <w:rPr>
                <w:rFonts w:ascii="宋体" w:cs="宋体"/>
                <w:kern w:val="0"/>
                <w:sz w:val="20"/>
              </w:rPr>
            </w:pPr>
          </w:p>
        </w:tc>
        <w:tc>
          <w:tcPr>
            <w:tcW w:w="6615" w:type="dxa"/>
            <w:tcBorders>
              <w:top w:val="single" w:color="000000" w:sz="4" w:space="0"/>
              <w:left w:val="single" w:color="000000" w:sz="4" w:space="0"/>
              <w:bottom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□其它：</w:t>
            </w:r>
            <w:r>
              <w:rPr>
                <w:rFonts w:hint="eastAsia" w:asciiTheme="minorEastAsia" w:hAnsiTheme="minorEastAsia" w:eastAsiaTheme="minorEastAsia"/>
                <w:u w:val="single"/>
              </w:rPr>
              <w:t xml:space="preserve">  /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0" w:type="dxa"/>
            <w:vMerge w:val="restart"/>
            <w:tcBorders>
              <w:top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adjustRightInd w:val="0"/>
              <w:snapToGrid w:val="0"/>
              <w:jc w:val="center"/>
              <w:textAlignment w:val="center"/>
              <w:rPr>
                <w:rFonts w:ascii="宋体" w:cs="宋体"/>
                <w:sz w:val="20"/>
              </w:rPr>
            </w:pPr>
            <w:r>
              <w:rPr>
                <w:rFonts w:ascii="宋体" w:hAnsi="宋体" w:cs="宋体"/>
                <w:kern w:val="0"/>
                <w:sz w:val="20"/>
              </w:rPr>
              <w:t>3.3.5</w:t>
            </w:r>
          </w:p>
        </w:tc>
        <w:tc>
          <w:tcPr>
            <w:tcW w:w="2640" w:type="dxa"/>
            <w:gridSpan w:val="3"/>
            <w:vMerge w:val="restart"/>
            <w:tcBorders>
              <w:top w:val="single" w:color="000000" w:sz="4" w:space="0"/>
              <w:left w:val="nil"/>
              <w:bottom w:val="single" w:color="000000" w:sz="4" w:space="0"/>
              <w:right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承包人擅自更换主要施工管理人员的违约责任</w:t>
            </w:r>
          </w:p>
        </w:tc>
        <w:tc>
          <w:tcPr>
            <w:tcW w:w="6615" w:type="dxa"/>
            <w:tcBorders>
              <w:top w:val="single" w:color="000000" w:sz="4" w:space="0"/>
              <w:left w:val="single" w:color="000000" w:sz="4" w:space="0"/>
              <w:bottom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MS Mincho" w:hAnsi="MS Mincho" w:eastAsia="MS Mincho" w:cs="MS Mincho"/>
                <w:szCs w:val="21"/>
              </w:rPr>
              <w:t>☑</w:t>
            </w:r>
            <w:r>
              <w:rPr>
                <w:rFonts w:hint="eastAsia" w:ascii="宋体" w:hAnsi="宋体" w:cs="宋体"/>
                <w:kern w:val="0"/>
                <w:sz w:val="20"/>
              </w:rPr>
              <w:t>由承包人承担违约责任，并扣除履约保证金的</w:t>
            </w:r>
            <w:r>
              <w:rPr>
                <w:rFonts w:hint="eastAsia" w:ascii="宋体" w:hAnsi="宋体" w:cs="宋体"/>
                <w:kern w:val="0"/>
                <w:sz w:val="20"/>
                <w:u w:val="single"/>
              </w:rPr>
              <w:t xml:space="preserve">5 </w:t>
            </w:r>
            <w:r>
              <w:rPr>
                <w:rFonts w:ascii="宋体" w:hAnsi="宋体" w:cs="宋体"/>
                <w:kern w:val="0"/>
                <w:sz w:val="20"/>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630" w:type="dxa"/>
            <w:vMerge w:val="continue"/>
            <w:tcBorders>
              <w:top w:val="single" w:color="000000" w:sz="4" w:space="0"/>
              <w:bottom w:val="single" w:color="000000" w:sz="4" w:space="0"/>
              <w:right w:val="single" w:color="000000" w:sz="4" w:space="0"/>
            </w:tcBorders>
            <w:vAlign w:val="center"/>
          </w:tcPr>
          <w:p>
            <w:pPr>
              <w:widowControl/>
              <w:jc w:val="left"/>
              <w:rPr>
                <w:rFonts w:ascii="宋体" w:cs="宋体"/>
                <w:sz w:val="20"/>
              </w:rPr>
            </w:pPr>
          </w:p>
        </w:tc>
        <w:tc>
          <w:tcPr>
            <w:tcW w:w="2640" w:type="dxa"/>
            <w:gridSpan w:val="3"/>
            <w:vMerge w:val="continue"/>
            <w:tcBorders>
              <w:top w:val="single" w:color="000000" w:sz="4" w:space="0"/>
              <w:left w:val="nil"/>
              <w:bottom w:val="single" w:color="000000" w:sz="4" w:space="0"/>
              <w:right w:val="single" w:color="000000" w:sz="4" w:space="0"/>
            </w:tcBorders>
            <w:vAlign w:val="center"/>
          </w:tcPr>
          <w:p>
            <w:pPr>
              <w:widowControl/>
              <w:jc w:val="left"/>
              <w:rPr>
                <w:rFonts w:ascii="宋体" w:cs="宋体"/>
                <w:kern w:val="0"/>
                <w:sz w:val="20"/>
              </w:rPr>
            </w:pPr>
          </w:p>
        </w:tc>
        <w:tc>
          <w:tcPr>
            <w:tcW w:w="6615" w:type="dxa"/>
            <w:tcBorders>
              <w:top w:val="single" w:color="000000" w:sz="4" w:space="0"/>
              <w:left w:val="single" w:color="000000" w:sz="4" w:space="0"/>
              <w:bottom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□其它：</w:t>
            </w:r>
            <w:r>
              <w:rPr>
                <w:rFonts w:hint="eastAsia" w:asciiTheme="minorEastAsia" w:hAnsiTheme="minorEastAsia" w:eastAsiaTheme="minorEastAsia"/>
                <w:u w:val="single"/>
              </w:rPr>
              <w:t xml:space="preserve">  /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0" w:type="dxa"/>
            <w:vMerge w:val="continue"/>
            <w:tcBorders>
              <w:top w:val="single" w:color="000000" w:sz="4" w:space="0"/>
              <w:bottom w:val="single" w:color="000000" w:sz="4" w:space="0"/>
              <w:right w:val="single" w:color="000000" w:sz="4" w:space="0"/>
            </w:tcBorders>
            <w:vAlign w:val="center"/>
          </w:tcPr>
          <w:p>
            <w:pPr>
              <w:widowControl/>
              <w:jc w:val="left"/>
              <w:rPr>
                <w:rFonts w:ascii="宋体" w:cs="宋体"/>
                <w:sz w:val="20"/>
              </w:rPr>
            </w:pPr>
          </w:p>
        </w:tc>
        <w:tc>
          <w:tcPr>
            <w:tcW w:w="2640" w:type="dxa"/>
            <w:gridSpan w:val="3"/>
            <w:vMerge w:val="restart"/>
            <w:tcBorders>
              <w:top w:val="single" w:color="000000" w:sz="4" w:space="0"/>
              <w:left w:val="nil"/>
              <w:bottom w:val="single" w:color="000000" w:sz="4" w:space="0"/>
              <w:right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承包人主要施工管理人员擅自离开施工现场的违约责任</w:t>
            </w:r>
          </w:p>
        </w:tc>
        <w:tc>
          <w:tcPr>
            <w:tcW w:w="6615" w:type="dxa"/>
            <w:tcBorders>
              <w:top w:val="single" w:color="000000" w:sz="4" w:space="0"/>
              <w:left w:val="single" w:color="000000" w:sz="4" w:space="0"/>
              <w:bottom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□由承包人承担违约责任，并扣除履约保证金的</w:t>
            </w:r>
            <w:r>
              <w:rPr>
                <w:rFonts w:hint="eastAsia" w:ascii="宋体" w:hAnsi="宋体" w:cs="宋体"/>
                <w:kern w:val="0"/>
                <w:sz w:val="20"/>
                <w:u w:val="single"/>
              </w:rPr>
              <w:t xml:space="preserve">5 </w:t>
            </w:r>
            <w:r>
              <w:rPr>
                <w:rFonts w:ascii="宋体" w:hAnsi="宋体" w:cs="宋体"/>
                <w:kern w:val="0"/>
                <w:sz w:val="20"/>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0" w:type="dxa"/>
            <w:vMerge w:val="continue"/>
            <w:tcBorders>
              <w:top w:val="single" w:color="000000" w:sz="4" w:space="0"/>
              <w:bottom w:val="single" w:color="000000" w:sz="4" w:space="0"/>
              <w:right w:val="single" w:color="000000" w:sz="4" w:space="0"/>
            </w:tcBorders>
            <w:vAlign w:val="center"/>
          </w:tcPr>
          <w:p>
            <w:pPr>
              <w:widowControl/>
              <w:jc w:val="left"/>
              <w:rPr>
                <w:rFonts w:ascii="宋体" w:cs="宋体"/>
                <w:sz w:val="20"/>
              </w:rPr>
            </w:pPr>
          </w:p>
        </w:tc>
        <w:tc>
          <w:tcPr>
            <w:tcW w:w="2640" w:type="dxa"/>
            <w:gridSpan w:val="3"/>
            <w:vMerge w:val="continue"/>
            <w:tcBorders>
              <w:top w:val="single" w:color="000000" w:sz="4" w:space="0"/>
              <w:left w:val="nil"/>
              <w:bottom w:val="single" w:color="000000" w:sz="4" w:space="0"/>
              <w:right w:val="single" w:color="000000" w:sz="4" w:space="0"/>
            </w:tcBorders>
            <w:vAlign w:val="center"/>
          </w:tcPr>
          <w:p>
            <w:pPr>
              <w:widowControl/>
              <w:jc w:val="left"/>
              <w:rPr>
                <w:rFonts w:ascii="宋体" w:cs="宋体"/>
                <w:kern w:val="0"/>
                <w:sz w:val="20"/>
              </w:rPr>
            </w:pPr>
          </w:p>
        </w:tc>
        <w:tc>
          <w:tcPr>
            <w:tcW w:w="6615" w:type="dxa"/>
            <w:tcBorders>
              <w:top w:val="single" w:color="000000" w:sz="4" w:space="0"/>
              <w:left w:val="single" w:color="000000" w:sz="4" w:space="0"/>
              <w:bottom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MS Mincho" w:hAnsi="MS Mincho" w:eastAsia="MS Mincho" w:cs="MS Mincho"/>
                <w:szCs w:val="21"/>
              </w:rPr>
              <w:t>☑</w:t>
            </w:r>
            <w:r>
              <w:rPr>
                <w:rFonts w:hint="eastAsia" w:ascii="宋体" w:hAnsi="宋体" w:cs="宋体"/>
                <w:kern w:val="0"/>
                <w:sz w:val="20"/>
              </w:rPr>
              <w:t>由承包人承担违约责任，发包人有权处违约金</w:t>
            </w:r>
            <w:r>
              <w:rPr>
                <w:rFonts w:hint="eastAsia" w:ascii="宋体" w:hAnsi="宋体" w:cs="宋体"/>
                <w:kern w:val="0"/>
                <w:sz w:val="20"/>
                <w:u w:val="single"/>
              </w:rPr>
              <w:t>500</w:t>
            </w:r>
            <w:r>
              <w:rPr>
                <w:rFonts w:hint="eastAsia" w:ascii="宋体" w:hAnsi="宋体" w:cs="宋体"/>
                <w:kern w:val="0"/>
                <w:sz w:val="20"/>
              </w:rPr>
              <w:t>元</w:t>
            </w:r>
            <w:r>
              <w:rPr>
                <w:rFonts w:ascii="宋体" w:hAnsi="宋体" w:cs="宋体"/>
                <w:kern w:val="0"/>
                <w:sz w:val="20"/>
              </w:rPr>
              <w:t>/</w:t>
            </w:r>
            <w:r>
              <w:rPr>
                <w:rFonts w:hint="eastAsia" w:ascii="宋体" w:hAnsi="宋体" w:cs="宋体"/>
                <w:kern w:val="0"/>
                <w:sz w:val="20"/>
              </w:rPr>
              <w:t>人</w:t>
            </w:r>
            <w:r>
              <w:rPr>
                <w:rFonts w:ascii="宋体" w:cs="宋体"/>
                <w:kern w:val="0"/>
                <w:sz w:val="20"/>
              </w:rPr>
              <w:t>•</w:t>
            </w:r>
            <w:r>
              <w:rPr>
                <w:rFonts w:hint="eastAsia" w:ascii="宋体" w:hAnsi="宋体" w:cs="宋体"/>
                <w:kern w:val="0"/>
                <w:sz w:val="20"/>
              </w:rPr>
              <w:t>次</w:t>
            </w:r>
            <w:r>
              <w:rPr>
                <w:rFonts w:ascii="宋体" w:hAnsi="宋体" w:cs="宋体"/>
                <w:kern w:val="0"/>
                <w:sz w:val="20"/>
              </w:rPr>
              <w:t>(</w:t>
            </w:r>
            <w:r>
              <w:rPr>
                <w:rFonts w:hint="eastAsia" w:ascii="宋体" w:hAnsi="宋体" w:cs="宋体"/>
                <w:kern w:val="0"/>
                <w:sz w:val="20"/>
              </w:rPr>
              <w:t>人民币</w:t>
            </w:r>
            <w:r>
              <w:rPr>
                <w:rFonts w:ascii="宋体" w:hAnsi="宋体" w:cs="宋体"/>
                <w:kern w:val="0"/>
                <w:sz w:val="20"/>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2" w:hRule="atLeast"/>
        </w:trPr>
        <w:tc>
          <w:tcPr>
            <w:tcW w:w="9885" w:type="dxa"/>
            <w:gridSpan w:val="5"/>
            <w:tcBorders>
              <w:top w:val="single" w:color="000000" w:sz="4" w:space="0"/>
              <w:bottom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黑体" w:hAnsi="宋体" w:eastAsia="黑体" w:cs="黑体"/>
                <w:kern w:val="0"/>
                <w:sz w:val="24"/>
              </w:rPr>
            </w:pPr>
            <w:r>
              <w:rPr>
                <w:rFonts w:ascii="黑体" w:hAnsi="宋体" w:eastAsia="黑体" w:cs="黑体"/>
                <w:kern w:val="0"/>
                <w:sz w:val="24"/>
              </w:rPr>
              <w:t>3.5</w:t>
            </w:r>
            <w:r>
              <w:rPr>
                <w:rFonts w:hint="eastAsia" w:ascii="黑体" w:hAnsi="宋体" w:eastAsia="黑体" w:cs="黑体"/>
                <w:kern w:val="0"/>
                <w:sz w:val="24"/>
              </w:rPr>
              <w:t>分包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0" w:type="dxa"/>
            <w:vMerge w:val="restart"/>
            <w:tcBorders>
              <w:top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adjustRightInd w:val="0"/>
              <w:snapToGrid w:val="0"/>
              <w:jc w:val="center"/>
              <w:textAlignment w:val="center"/>
              <w:rPr>
                <w:rFonts w:ascii="宋体" w:cs="宋体"/>
                <w:sz w:val="20"/>
              </w:rPr>
            </w:pPr>
            <w:r>
              <w:rPr>
                <w:rFonts w:ascii="宋体" w:hAnsi="宋体" w:cs="宋体"/>
                <w:kern w:val="0"/>
                <w:sz w:val="20"/>
              </w:rPr>
              <w:t>3.5.1</w:t>
            </w:r>
          </w:p>
        </w:tc>
        <w:tc>
          <w:tcPr>
            <w:tcW w:w="2640" w:type="dxa"/>
            <w:gridSpan w:val="3"/>
            <w:vMerge w:val="restart"/>
            <w:tcBorders>
              <w:top w:val="single" w:color="000000" w:sz="4" w:space="0"/>
              <w:left w:val="nil"/>
              <w:bottom w:val="single" w:color="000000" w:sz="4" w:space="0"/>
              <w:right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禁止分包的工程包括</w:t>
            </w:r>
          </w:p>
        </w:tc>
        <w:tc>
          <w:tcPr>
            <w:tcW w:w="6615" w:type="dxa"/>
            <w:tcBorders>
              <w:top w:val="single" w:color="000000" w:sz="4" w:space="0"/>
              <w:left w:val="single" w:color="000000" w:sz="4" w:space="0"/>
              <w:bottom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MS Mincho" w:hAnsi="MS Mincho" w:eastAsia="MS Mincho" w:cs="MS Mincho"/>
                <w:szCs w:val="21"/>
              </w:rPr>
              <w:t>☑</w:t>
            </w:r>
            <w:r>
              <w:rPr>
                <w:rFonts w:hint="eastAsia" w:ascii="宋体" w:hAnsi="宋体" w:cs="宋体"/>
                <w:kern w:val="0"/>
                <w:sz w:val="20"/>
              </w:rPr>
              <w:t>法律法规禁止分包的工程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0" w:type="dxa"/>
            <w:vMerge w:val="continue"/>
            <w:tcBorders>
              <w:top w:val="single" w:color="000000" w:sz="4" w:space="0"/>
              <w:bottom w:val="single" w:color="000000" w:sz="4" w:space="0"/>
              <w:right w:val="single" w:color="000000" w:sz="4" w:space="0"/>
            </w:tcBorders>
            <w:vAlign w:val="center"/>
          </w:tcPr>
          <w:p>
            <w:pPr>
              <w:widowControl/>
              <w:jc w:val="left"/>
              <w:rPr>
                <w:rFonts w:ascii="宋体" w:cs="宋体"/>
                <w:sz w:val="20"/>
              </w:rPr>
            </w:pPr>
          </w:p>
        </w:tc>
        <w:tc>
          <w:tcPr>
            <w:tcW w:w="2640" w:type="dxa"/>
            <w:gridSpan w:val="3"/>
            <w:vMerge w:val="continue"/>
            <w:tcBorders>
              <w:top w:val="single" w:color="000000" w:sz="4" w:space="0"/>
              <w:left w:val="nil"/>
              <w:bottom w:val="single" w:color="000000" w:sz="4" w:space="0"/>
              <w:right w:val="single" w:color="000000" w:sz="4" w:space="0"/>
            </w:tcBorders>
            <w:vAlign w:val="center"/>
          </w:tcPr>
          <w:p>
            <w:pPr>
              <w:widowControl/>
              <w:jc w:val="left"/>
              <w:rPr>
                <w:rFonts w:ascii="宋体" w:cs="宋体"/>
                <w:kern w:val="0"/>
                <w:sz w:val="20"/>
              </w:rPr>
            </w:pPr>
          </w:p>
        </w:tc>
        <w:tc>
          <w:tcPr>
            <w:tcW w:w="6615" w:type="dxa"/>
            <w:tcBorders>
              <w:top w:val="single" w:color="000000" w:sz="4" w:space="0"/>
              <w:left w:val="single" w:color="000000" w:sz="4" w:space="0"/>
              <w:bottom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□其它：</w:t>
            </w:r>
            <w:r>
              <w:rPr>
                <w:rFonts w:hint="eastAsia" w:asciiTheme="minorEastAsia" w:hAnsiTheme="minorEastAsia" w:eastAsiaTheme="minorEastAsia"/>
                <w:u w:val="single"/>
              </w:rPr>
              <w:t xml:space="preserve">  /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0" w:type="dxa"/>
            <w:vMerge w:val="continue"/>
            <w:tcBorders>
              <w:top w:val="single" w:color="000000" w:sz="4" w:space="0"/>
              <w:bottom w:val="single" w:color="000000" w:sz="4" w:space="0"/>
              <w:right w:val="single" w:color="000000" w:sz="4" w:space="0"/>
            </w:tcBorders>
            <w:vAlign w:val="center"/>
          </w:tcPr>
          <w:p>
            <w:pPr>
              <w:widowControl/>
              <w:jc w:val="left"/>
              <w:rPr>
                <w:rFonts w:ascii="宋体" w:cs="宋体"/>
                <w:sz w:val="20"/>
              </w:rPr>
            </w:pPr>
          </w:p>
        </w:tc>
        <w:tc>
          <w:tcPr>
            <w:tcW w:w="2640" w:type="dxa"/>
            <w:gridSpan w:val="3"/>
            <w:tcBorders>
              <w:top w:val="single" w:color="000000" w:sz="4" w:space="0"/>
              <w:left w:val="nil"/>
              <w:bottom w:val="single" w:color="000000" w:sz="4" w:space="0"/>
              <w:right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主体结构、关键性工作的范围</w:t>
            </w:r>
          </w:p>
        </w:tc>
        <w:tc>
          <w:tcPr>
            <w:tcW w:w="6615" w:type="dxa"/>
            <w:tcBorders>
              <w:top w:val="single" w:color="000000" w:sz="4" w:space="0"/>
              <w:left w:val="single" w:color="000000" w:sz="4" w:space="0"/>
              <w:bottom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Theme="minorEastAsia" w:hAnsiTheme="minorEastAsia" w:eastAsiaTheme="minorEastAsia"/>
                <w:u w:val="single"/>
              </w:rPr>
              <w:t xml:space="preserve">  /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0" w:type="dxa"/>
            <w:tcBorders>
              <w:top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adjustRightInd w:val="0"/>
              <w:snapToGrid w:val="0"/>
              <w:jc w:val="center"/>
              <w:textAlignment w:val="center"/>
              <w:rPr>
                <w:rFonts w:ascii="宋体" w:cs="宋体"/>
                <w:sz w:val="20"/>
              </w:rPr>
            </w:pPr>
            <w:r>
              <w:rPr>
                <w:rFonts w:ascii="宋体" w:hAnsi="宋体" w:cs="宋体"/>
                <w:kern w:val="0"/>
                <w:sz w:val="20"/>
              </w:rPr>
              <w:t>3.5.2</w:t>
            </w:r>
          </w:p>
        </w:tc>
        <w:tc>
          <w:tcPr>
            <w:tcW w:w="2640" w:type="dxa"/>
            <w:gridSpan w:val="3"/>
            <w:tcBorders>
              <w:top w:val="single" w:color="000000" w:sz="4" w:space="0"/>
              <w:left w:val="nil"/>
              <w:bottom w:val="single" w:color="000000" w:sz="4" w:space="0"/>
              <w:right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允许分包的专业工程包括</w:t>
            </w:r>
          </w:p>
        </w:tc>
        <w:tc>
          <w:tcPr>
            <w:tcW w:w="6615" w:type="dxa"/>
            <w:tcBorders>
              <w:top w:val="single" w:color="000000" w:sz="4" w:space="0"/>
              <w:left w:val="single" w:color="000000" w:sz="4" w:space="0"/>
              <w:bottom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Theme="minorEastAsia" w:hAnsiTheme="minorEastAsia" w:eastAsiaTheme="minorEastAsia"/>
                <w:u w:val="single"/>
              </w:rPr>
              <w:t xml:space="preserve">  /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885" w:type="dxa"/>
            <w:gridSpan w:val="5"/>
            <w:tcBorders>
              <w:top w:val="single" w:color="000000" w:sz="4" w:space="0"/>
              <w:bottom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黑体" w:hAnsi="宋体" w:eastAsia="黑体" w:cs="黑体"/>
                <w:kern w:val="0"/>
                <w:sz w:val="24"/>
              </w:rPr>
            </w:pPr>
            <w:r>
              <w:rPr>
                <w:rFonts w:ascii="黑体" w:hAnsi="宋体" w:eastAsia="黑体" w:cs="黑体"/>
                <w:kern w:val="0"/>
                <w:sz w:val="24"/>
              </w:rPr>
              <w:t>3.7</w:t>
            </w:r>
            <w:r>
              <w:rPr>
                <w:rFonts w:hint="eastAsia" w:ascii="黑体" w:hAnsi="宋体" w:eastAsia="黑体" w:cs="黑体"/>
                <w:kern w:val="0"/>
                <w:sz w:val="24"/>
              </w:rPr>
              <w:t>履约担保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70" w:type="dxa"/>
            <w:gridSpan w:val="4"/>
            <w:vMerge w:val="restart"/>
            <w:tcBorders>
              <w:top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承包人是否提供履约担保</w:t>
            </w:r>
          </w:p>
        </w:tc>
        <w:tc>
          <w:tcPr>
            <w:tcW w:w="6615" w:type="dxa"/>
            <w:tcBorders>
              <w:top w:val="single" w:color="000000" w:sz="4" w:space="0"/>
              <w:left w:val="single" w:color="000000" w:sz="4" w:space="0"/>
              <w:bottom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MS Mincho" w:hAnsi="MS Mincho" w:eastAsia="MS Mincho" w:cs="MS Mincho"/>
                <w:szCs w:val="21"/>
              </w:rPr>
              <w:t>☑</w:t>
            </w:r>
            <w:r>
              <w:rPr>
                <w:rFonts w:hint="eastAsia" w:ascii="宋体" w:hAnsi="宋体" w:cs="宋体"/>
                <w:kern w:val="0"/>
                <w:sz w:val="20"/>
              </w:rPr>
              <w:t>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270" w:type="dxa"/>
            <w:gridSpan w:val="4"/>
            <w:vMerge w:val="continue"/>
            <w:tcBorders>
              <w:top w:val="single" w:color="000000" w:sz="4" w:space="0"/>
              <w:bottom w:val="single" w:color="000000" w:sz="4" w:space="0"/>
              <w:right w:val="single" w:color="000000" w:sz="4" w:space="0"/>
            </w:tcBorders>
            <w:vAlign w:val="center"/>
          </w:tcPr>
          <w:p>
            <w:pPr>
              <w:widowControl/>
              <w:jc w:val="left"/>
              <w:rPr>
                <w:rFonts w:ascii="宋体" w:cs="宋体"/>
                <w:kern w:val="0"/>
                <w:sz w:val="20"/>
              </w:rPr>
            </w:pPr>
          </w:p>
        </w:tc>
        <w:tc>
          <w:tcPr>
            <w:tcW w:w="6615" w:type="dxa"/>
            <w:tcBorders>
              <w:top w:val="single" w:color="000000" w:sz="4" w:space="0"/>
              <w:left w:val="single" w:color="000000" w:sz="4" w:space="0"/>
              <w:bottom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70" w:type="dxa"/>
            <w:gridSpan w:val="4"/>
            <w:vMerge w:val="restart"/>
            <w:tcBorders>
              <w:top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承包人提供履约担保的形式</w:t>
            </w:r>
          </w:p>
        </w:tc>
        <w:tc>
          <w:tcPr>
            <w:tcW w:w="6615" w:type="dxa"/>
            <w:tcBorders>
              <w:top w:val="single" w:color="000000" w:sz="4" w:space="0"/>
              <w:left w:val="single" w:color="000000" w:sz="4" w:space="0"/>
              <w:bottom w:val="single" w:color="000000" w:sz="4" w:space="0"/>
            </w:tcBorders>
            <w:tcMar>
              <w:top w:w="15" w:type="dxa"/>
              <w:left w:w="15" w:type="dxa"/>
              <w:bottom w:w="15" w:type="dxa"/>
              <w:right w:w="15" w:type="dxa"/>
            </w:tcMar>
            <w:vAlign w:val="center"/>
          </w:tcPr>
          <w:p>
            <w:pPr>
              <w:spacing w:line="360" w:lineRule="exact"/>
              <w:rPr>
                <w:rFonts w:ascii="宋体" w:cs="宋体"/>
                <w:sz w:val="20"/>
              </w:rPr>
            </w:pPr>
            <w:r>
              <w:rPr>
                <w:rFonts w:hint="eastAsia" w:ascii="宋体" w:hAnsi="宋体" w:cs="宋体"/>
                <w:kern w:val="0"/>
                <w:sz w:val="20"/>
              </w:rPr>
              <w:t>☑银行电汇或网上银行支付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3270" w:type="dxa"/>
            <w:gridSpan w:val="4"/>
            <w:vMerge w:val="continue"/>
            <w:tcBorders>
              <w:top w:val="single" w:color="000000" w:sz="4" w:space="0"/>
              <w:bottom w:val="single" w:color="000000" w:sz="4" w:space="0"/>
              <w:right w:val="single" w:color="000000" w:sz="4" w:space="0"/>
            </w:tcBorders>
            <w:vAlign w:val="center"/>
          </w:tcPr>
          <w:p>
            <w:pPr>
              <w:widowControl/>
              <w:jc w:val="left"/>
              <w:rPr>
                <w:rFonts w:ascii="宋体" w:cs="宋体"/>
                <w:kern w:val="0"/>
                <w:sz w:val="20"/>
              </w:rPr>
            </w:pPr>
          </w:p>
        </w:tc>
        <w:tc>
          <w:tcPr>
            <w:tcW w:w="6615" w:type="dxa"/>
            <w:tcBorders>
              <w:top w:val="single" w:color="000000" w:sz="4" w:space="0"/>
              <w:left w:val="single" w:color="000000" w:sz="4" w:space="0"/>
              <w:bottom w:val="single" w:color="000000" w:sz="4" w:space="0"/>
            </w:tcBorders>
            <w:tcMar>
              <w:top w:w="15" w:type="dxa"/>
              <w:left w:w="15" w:type="dxa"/>
              <w:bottom w:w="15" w:type="dxa"/>
              <w:right w:w="15" w:type="dxa"/>
            </w:tcMar>
            <w:vAlign w:val="center"/>
          </w:tcPr>
          <w:p>
            <w:pPr>
              <w:spacing w:line="360" w:lineRule="exact"/>
              <w:rPr>
                <w:rFonts w:ascii="宋体" w:cs="宋体"/>
                <w:sz w:val="20"/>
              </w:rPr>
            </w:pPr>
            <w:r>
              <w:rPr>
                <w:rFonts w:hint="eastAsia" w:ascii="宋体" w:hAnsi="宋体" w:cs="宋体"/>
                <w:kern w:val="0"/>
                <w:sz w:val="20"/>
              </w:rPr>
              <w:t>☑银行保函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270" w:type="dxa"/>
            <w:gridSpan w:val="4"/>
            <w:vMerge w:val="restart"/>
            <w:tcBorders>
              <w:top w:val="single" w:color="000000" w:sz="4" w:space="0"/>
              <w:bottom w:val="single" w:color="auto" w:sz="4" w:space="0"/>
              <w:right w:val="single" w:color="000000" w:sz="4" w:space="0"/>
            </w:tcBorders>
            <w:tcMar>
              <w:top w:w="15" w:type="dxa"/>
              <w:left w:w="15" w:type="dxa"/>
              <w:bottom w:w="15" w:type="dxa"/>
              <w:right w:w="15" w:type="dxa"/>
            </w:tcMar>
            <w:vAlign w:val="center"/>
          </w:tcPr>
          <w:p>
            <w:pPr>
              <w:adjustRightInd w:val="0"/>
              <w:snapToGrid w:val="0"/>
              <w:jc w:val="left"/>
              <w:rPr>
                <w:rFonts w:ascii="宋体" w:cs="宋体"/>
                <w:kern w:val="0"/>
                <w:sz w:val="20"/>
              </w:rPr>
            </w:pPr>
            <w:r>
              <w:rPr>
                <w:rFonts w:hint="eastAsia" w:ascii="宋体" w:hAnsi="宋体" w:cs="宋体"/>
                <w:kern w:val="0"/>
                <w:sz w:val="20"/>
              </w:rPr>
              <w:t>承包人提供履约担保的金额</w:t>
            </w:r>
          </w:p>
        </w:tc>
        <w:tc>
          <w:tcPr>
            <w:tcW w:w="6615" w:type="dxa"/>
            <w:tcBorders>
              <w:top w:val="single" w:color="000000" w:sz="4" w:space="0"/>
              <w:left w:val="single" w:color="000000" w:sz="4" w:space="0"/>
              <w:bottom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b/>
                <w:kern w:val="0"/>
                <w:sz w:val="20"/>
              </w:rPr>
            </w:pPr>
            <w:r>
              <w:rPr>
                <w:rFonts w:hint="eastAsia" w:ascii="MS Mincho" w:hAnsi="MS Mincho" w:eastAsia="MS Mincho" w:cs="MS Mincho"/>
                <w:b/>
                <w:szCs w:val="21"/>
              </w:rPr>
              <w:t>☑</w:t>
            </w:r>
            <w:r>
              <w:rPr>
                <w:rFonts w:hint="eastAsia" w:ascii="宋体" w:hAnsi="宋体" w:cs="宋体"/>
                <w:b/>
                <w:kern w:val="0"/>
                <w:sz w:val="20"/>
              </w:rPr>
              <w:t>中标合同价的5</w:t>
            </w:r>
            <w:r>
              <w:rPr>
                <w:rFonts w:ascii="宋体" w:hAnsi="宋体" w:cs="宋体"/>
                <w:b/>
                <w:kern w:val="0"/>
                <w:sz w:val="20"/>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270" w:type="dxa"/>
            <w:gridSpan w:val="4"/>
            <w:vMerge w:val="continue"/>
            <w:tcBorders>
              <w:top w:val="single" w:color="000000" w:sz="4" w:space="0"/>
              <w:bottom w:val="single" w:color="auto" w:sz="4" w:space="0"/>
              <w:right w:val="single" w:color="000000" w:sz="4" w:space="0"/>
            </w:tcBorders>
            <w:vAlign w:val="center"/>
          </w:tcPr>
          <w:p>
            <w:pPr>
              <w:widowControl/>
              <w:jc w:val="left"/>
              <w:rPr>
                <w:rFonts w:ascii="宋体" w:cs="宋体"/>
                <w:kern w:val="0"/>
                <w:sz w:val="20"/>
              </w:rPr>
            </w:pPr>
          </w:p>
        </w:tc>
        <w:tc>
          <w:tcPr>
            <w:tcW w:w="6615" w:type="dxa"/>
            <w:tcBorders>
              <w:top w:val="single" w:color="000000" w:sz="4" w:space="0"/>
              <w:left w:val="single" w:color="000000" w:sz="4" w:space="0"/>
              <w:bottom w:val="single" w:color="auto"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□其它：</w:t>
            </w:r>
            <w:r>
              <w:rPr>
                <w:rFonts w:hint="eastAsia" w:asciiTheme="minorEastAsia" w:hAnsiTheme="minorEastAsia" w:eastAsiaTheme="minorEastAsia"/>
                <w:u w:val="single"/>
              </w:rPr>
              <w:t xml:space="preserve">  /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70" w:type="dxa"/>
            <w:gridSpan w:val="4"/>
            <w:vMerge w:val="restart"/>
            <w:tcBorders>
              <w:top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jc w:val="left"/>
              <w:textAlignment w:val="center"/>
              <w:rPr>
                <w:rFonts w:ascii="黑体" w:hAnsi="宋体" w:eastAsia="黑体" w:cs="黑体"/>
                <w:kern w:val="0"/>
                <w:sz w:val="24"/>
              </w:rPr>
            </w:pPr>
            <w:r>
              <w:rPr>
                <w:rFonts w:hint="eastAsia" w:ascii="宋体" w:hAnsi="宋体" w:cs="宋体"/>
                <w:kern w:val="0"/>
                <w:sz w:val="20"/>
              </w:rPr>
              <w:t>承包人提供履约担保的期限</w:t>
            </w:r>
          </w:p>
        </w:tc>
        <w:tc>
          <w:tcPr>
            <w:tcW w:w="6615" w:type="dxa"/>
            <w:tcBorders>
              <w:top w:val="single" w:color="auto" w:sz="4" w:space="0"/>
              <w:left w:val="single" w:color="auto" w:sz="4" w:space="0"/>
              <w:bottom w:val="single" w:color="auto" w:sz="4" w:space="0"/>
            </w:tcBorders>
            <w:tcMar>
              <w:top w:w="15" w:type="dxa"/>
              <w:left w:w="15" w:type="dxa"/>
              <w:bottom w:w="15" w:type="dxa"/>
              <w:right w:w="15" w:type="dxa"/>
            </w:tcMar>
            <w:vAlign w:val="center"/>
          </w:tcPr>
          <w:p>
            <w:pPr>
              <w:widowControl/>
              <w:adjustRightInd w:val="0"/>
              <w:snapToGrid w:val="0"/>
              <w:jc w:val="left"/>
              <w:textAlignment w:val="center"/>
              <w:rPr>
                <w:rFonts w:ascii="黑体" w:hAnsi="宋体" w:eastAsia="黑体" w:cs="黑体"/>
                <w:kern w:val="0"/>
                <w:sz w:val="24"/>
              </w:rPr>
            </w:pPr>
            <w:r>
              <w:rPr>
                <w:rFonts w:hint="eastAsia" w:ascii="MS Mincho" w:hAnsi="MS Mincho" w:eastAsia="MS Mincho" w:cs="MS Mincho"/>
                <w:szCs w:val="21"/>
              </w:rPr>
              <w:t>☑</w:t>
            </w:r>
            <w:r>
              <w:rPr>
                <w:rFonts w:hint="eastAsia" w:ascii="宋体" w:hAnsi="宋体" w:cs="宋体"/>
                <w:kern w:val="0"/>
                <w:sz w:val="20"/>
              </w:rPr>
              <w:t>合同签订前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70" w:type="dxa"/>
            <w:gridSpan w:val="4"/>
            <w:vMerge w:val="continue"/>
            <w:tcBorders>
              <w:top w:val="single" w:color="auto" w:sz="4" w:space="0"/>
              <w:bottom w:val="single" w:color="auto" w:sz="4" w:space="0"/>
              <w:right w:val="single" w:color="auto" w:sz="4" w:space="0"/>
            </w:tcBorders>
            <w:vAlign w:val="center"/>
          </w:tcPr>
          <w:p>
            <w:pPr>
              <w:widowControl/>
              <w:jc w:val="left"/>
              <w:rPr>
                <w:rFonts w:ascii="黑体" w:hAnsi="宋体" w:eastAsia="黑体" w:cs="黑体"/>
                <w:kern w:val="0"/>
                <w:sz w:val="24"/>
              </w:rPr>
            </w:pPr>
          </w:p>
        </w:tc>
        <w:tc>
          <w:tcPr>
            <w:tcW w:w="6615" w:type="dxa"/>
            <w:tcBorders>
              <w:top w:val="single" w:color="auto" w:sz="4" w:space="0"/>
              <w:left w:val="single" w:color="auto" w:sz="4" w:space="0"/>
              <w:bottom w:val="single" w:color="auto" w:sz="4" w:space="0"/>
            </w:tcBorders>
            <w:tcMar>
              <w:top w:w="15" w:type="dxa"/>
              <w:left w:w="15" w:type="dxa"/>
              <w:bottom w:w="15" w:type="dxa"/>
              <w:right w:w="15" w:type="dxa"/>
            </w:tcMar>
            <w:vAlign w:val="center"/>
          </w:tcPr>
          <w:p>
            <w:pPr>
              <w:widowControl/>
              <w:adjustRightInd w:val="0"/>
              <w:snapToGrid w:val="0"/>
              <w:jc w:val="left"/>
              <w:textAlignment w:val="center"/>
              <w:rPr>
                <w:rFonts w:ascii="黑体" w:hAnsi="宋体" w:eastAsia="黑体" w:cs="黑体"/>
                <w:kern w:val="0"/>
                <w:sz w:val="24"/>
              </w:rPr>
            </w:pPr>
            <w:r>
              <w:rPr>
                <w:rFonts w:hint="eastAsia" w:ascii="宋体" w:hAnsi="宋体" w:cs="宋体"/>
                <w:kern w:val="0"/>
                <w:sz w:val="20"/>
              </w:rPr>
              <w:t>□其它：</w:t>
            </w:r>
            <w:r>
              <w:rPr>
                <w:rFonts w:hint="eastAsia" w:asciiTheme="minorEastAsia" w:hAnsiTheme="minorEastAsia" w:eastAsiaTheme="minorEastAsia"/>
                <w:u w:val="single"/>
              </w:rPr>
              <w:t xml:space="preserve">  /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885" w:type="dxa"/>
            <w:gridSpan w:val="5"/>
            <w:tcBorders>
              <w:top w:val="single" w:color="auto" w:sz="4" w:space="0"/>
              <w:bottom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黑体" w:hAnsi="宋体" w:eastAsia="黑体" w:cs="黑体"/>
                <w:kern w:val="0"/>
                <w:sz w:val="24"/>
              </w:rPr>
            </w:pPr>
            <w:r>
              <w:rPr>
                <w:rFonts w:ascii="黑体" w:hAnsi="宋体" w:eastAsia="黑体" w:cs="黑体"/>
                <w:kern w:val="0"/>
                <w:sz w:val="24"/>
              </w:rPr>
              <w:t>5.1</w:t>
            </w:r>
            <w:r>
              <w:rPr>
                <w:rFonts w:hint="eastAsia" w:ascii="黑体" w:hAnsi="宋体" w:eastAsia="黑体" w:cs="黑体"/>
                <w:kern w:val="0"/>
                <w:sz w:val="24"/>
              </w:rPr>
              <w:t>质量要求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5" w:type="dxa"/>
            <w:gridSpan w:val="2"/>
            <w:vMerge w:val="restart"/>
            <w:tcBorders>
              <w:top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adjustRightInd w:val="0"/>
              <w:snapToGrid w:val="0"/>
              <w:jc w:val="center"/>
              <w:textAlignment w:val="center"/>
              <w:rPr>
                <w:rFonts w:ascii="宋体" w:cs="宋体"/>
                <w:sz w:val="20"/>
              </w:rPr>
            </w:pPr>
            <w:r>
              <w:rPr>
                <w:rFonts w:ascii="宋体" w:hAnsi="宋体" w:cs="宋体"/>
                <w:kern w:val="0"/>
                <w:sz w:val="20"/>
              </w:rPr>
              <w:t>5.1.1</w:t>
            </w:r>
          </w:p>
        </w:tc>
        <w:tc>
          <w:tcPr>
            <w:tcW w:w="2535" w:type="dxa"/>
            <w:gridSpan w:val="2"/>
            <w:tcBorders>
              <w:top w:val="single" w:color="000000" w:sz="4" w:space="0"/>
              <w:left w:val="nil"/>
              <w:bottom w:val="single" w:color="000000" w:sz="4" w:space="0"/>
              <w:right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特殊质量标准和要求</w:t>
            </w:r>
          </w:p>
        </w:tc>
        <w:tc>
          <w:tcPr>
            <w:tcW w:w="6615" w:type="dxa"/>
            <w:tcBorders>
              <w:top w:val="single" w:color="000000" w:sz="4" w:space="0"/>
              <w:left w:val="single" w:color="000000" w:sz="4" w:space="0"/>
              <w:bottom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ascii="宋体" w:hAnsi="宋体" w:cs="宋体"/>
                <w:kern w:val="0"/>
                <w:sz w:val="20"/>
              </w:rPr>
              <w:t>________________________</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735" w:type="dxa"/>
            <w:gridSpan w:val="2"/>
            <w:vMerge w:val="continue"/>
            <w:tcBorders>
              <w:top w:val="single" w:color="000000" w:sz="4" w:space="0"/>
              <w:bottom w:val="single" w:color="000000" w:sz="4" w:space="0"/>
              <w:right w:val="single" w:color="000000" w:sz="4" w:space="0"/>
            </w:tcBorders>
            <w:vAlign w:val="center"/>
          </w:tcPr>
          <w:p>
            <w:pPr>
              <w:widowControl/>
              <w:jc w:val="left"/>
              <w:rPr>
                <w:rFonts w:ascii="宋体" w:cs="宋体"/>
                <w:sz w:val="20"/>
              </w:rPr>
            </w:pPr>
          </w:p>
        </w:tc>
        <w:tc>
          <w:tcPr>
            <w:tcW w:w="2535" w:type="dxa"/>
            <w:gridSpan w:val="2"/>
            <w:vMerge w:val="restart"/>
            <w:tcBorders>
              <w:top w:val="single" w:color="000000" w:sz="4" w:space="0"/>
              <w:left w:val="nil"/>
              <w:bottom w:val="single" w:color="000000" w:sz="4" w:space="0"/>
              <w:right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关于工程奖项的约定</w:t>
            </w:r>
          </w:p>
        </w:tc>
        <w:tc>
          <w:tcPr>
            <w:tcW w:w="6615" w:type="dxa"/>
            <w:tcBorders>
              <w:top w:val="single" w:color="000000" w:sz="4" w:space="0"/>
              <w:left w:val="single" w:color="000000" w:sz="4" w:space="0"/>
              <w:bottom w:val="single" w:color="000000" w:sz="4" w:space="0"/>
            </w:tcBorders>
            <w:tcMar>
              <w:top w:w="15" w:type="dxa"/>
              <w:left w:w="15" w:type="dxa"/>
              <w:bottom w:w="15" w:type="dxa"/>
              <w:right w:w="15" w:type="dxa"/>
            </w:tcMar>
            <w:vAlign w:val="center"/>
          </w:tcPr>
          <w:p>
            <w:pPr>
              <w:adjustRightInd w:val="0"/>
              <w:snapToGrid w:val="0"/>
              <w:rPr>
                <w:rFonts w:ascii="宋体" w:cs="宋体"/>
                <w:kern w:val="0"/>
                <w:sz w:val="20"/>
              </w:rPr>
            </w:pPr>
            <w:r>
              <w:rPr>
                <w:rFonts w:hint="eastAsia" w:ascii="宋体" w:hAnsi="宋体" w:cs="宋体"/>
                <w:kern w:val="0"/>
                <w:sz w:val="20"/>
              </w:rPr>
              <w:t>□获得国家级优质工程，按中标价（合同价）中“分部分项工程费</w:t>
            </w:r>
            <w:r>
              <w:rPr>
                <w:rFonts w:ascii="宋体" w:hAnsi="宋体" w:cs="宋体"/>
                <w:kern w:val="0"/>
                <w:sz w:val="20"/>
              </w:rPr>
              <w:t>+</w:t>
            </w:r>
            <w:r>
              <w:rPr>
                <w:rFonts w:hint="eastAsia" w:ascii="宋体" w:hAnsi="宋体" w:cs="宋体"/>
                <w:kern w:val="0"/>
                <w:sz w:val="20"/>
              </w:rPr>
              <w:t>单价措施项目费</w:t>
            </w:r>
            <w:r>
              <w:rPr>
                <w:rFonts w:ascii="宋体" w:cs="宋体"/>
                <w:kern w:val="0"/>
                <w:sz w:val="20"/>
              </w:rPr>
              <w:t>-</w:t>
            </w:r>
            <w:r>
              <w:rPr>
                <w:rFonts w:hint="eastAsia" w:ascii="宋体" w:hAnsi="宋体" w:cs="宋体"/>
                <w:kern w:val="0"/>
                <w:sz w:val="20"/>
              </w:rPr>
              <w:t>工程设备费”的</w:t>
            </w:r>
            <w:r>
              <w:rPr>
                <w:rFonts w:hint="eastAsia" w:asciiTheme="minorEastAsia" w:hAnsiTheme="minorEastAsia" w:eastAsiaTheme="minorEastAsia"/>
                <w:u w:val="single"/>
              </w:rPr>
              <w:t xml:space="preserve">  /  </w:t>
            </w:r>
            <w:r>
              <w:rPr>
                <w:rFonts w:ascii="宋体" w:hAnsi="宋体" w:cs="宋体"/>
                <w:kern w:val="0"/>
                <w:sz w:val="20"/>
              </w:rPr>
              <w:t>%</w:t>
            </w:r>
            <w:r>
              <w:rPr>
                <w:rFonts w:hint="eastAsia" w:ascii="宋体" w:hAnsi="宋体" w:cs="宋体"/>
                <w:kern w:val="0"/>
                <w:sz w:val="20"/>
              </w:rPr>
              <w:t>奖励</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5" w:type="dxa"/>
            <w:gridSpan w:val="2"/>
            <w:vMerge w:val="continue"/>
            <w:tcBorders>
              <w:top w:val="single" w:color="000000" w:sz="4" w:space="0"/>
              <w:bottom w:val="single" w:color="000000" w:sz="4" w:space="0"/>
              <w:right w:val="single" w:color="000000" w:sz="4" w:space="0"/>
            </w:tcBorders>
            <w:vAlign w:val="center"/>
          </w:tcPr>
          <w:p>
            <w:pPr>
              <w:widowControl/>
              <w:jc w:val="left"/>
              <w:rPr>
                <w:rFonts w:ascii="宋体" w:cs="宋体"/>
                <w:sz w:val="20"/>
              </w:rPr>
            </w:pPr>
          </w:p>
        </w:tc>
        <w:tc>
          <w:tcPr>
            <w:tcW w:w="2535" w:type="dxa"/>
            <w:gridSpan w:val="2"/>
            <w:vMerge w:val="continue"/>
            <w:tcBorders>
              <w:top w:val="single" w:color="000000" w:sz="4" w:space="0"/>
              <w:left w:val="nil"/>
              <w:bottom w:val="single" w:color="000000" w:sz="4" w:space="0"/>
              <w:right w:val="single" w:color="000000" w:sz="4" w:space="0"/>
            </w:tcBorders>
            <w:vAlign w:val="center"/>
          </w:tcPr>
          <w:p>
            <w:pPr>
              <w:widowControl/>
              <w:jc w:val="left"/>
              <w:rPr>
                <w:rFonts w:ascii="宋体" w:cs="宋体"/>
                <w:kern w:val="0"/>
                <w:sz w:val="20"/>
              </w:rPr>
            </w:pPr>
          </w:p>
        </w:tc>
        <w:tc>
          <w:tcPr>
            <w:tcW w:w="6615" w:type="dxa"/>
            <w:tcBorders>
              <w:top w:val="single" w:color="000000" w:sz="4" w:space="0"/>
              <w:left w:val="single" w:color="000000" w:sz="4" w:space="0"/>
              <w:bottom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□获得省级优质工程，按中标价（合同价）中“分部分项工程费</w:t>
            </w:r>
            <w:r>
              <w:rPr>
                <w:rFonts w:ascii="宋体" w:hAnsi="宋体" w:cs="宋体"/>
                <w:kern w:val="0"/>
                <w:sz w:val="20"/>
              </w:rPr>
              <w:t>+</w:t>
            </w:r>
            <w:r>
              <w:rPr>
                <w:rFonts w:hint="eastAsia" w:ascii="宋体" w:hAnsi="宋体" w:cs="宋体"/>
                <w:kern w:val="0"/>
                <w:sz w:val="20"/>
              </w:rPr>
              <w:t>单价措施项目费</w:t>
            </w:r>
            <w:r>
              <w:rPr>
                <w:rFonts w:ascii="宋体" w:cs="宋体"/>
                <w:kern w:val="0"/>
                <w:sz w:val="20"/>
              </w:rPr>
              <w:t>-</w:t>
            </w:r>
            <w:r>
              <w:rPr>
                <w:rFonts w:hint="eastAsia" w:ascii="宋体" w:hAnsi="宋体" w:cs="宋体"/>
                <w:kern w:val="0"/>
                <w:sz w:val="20"/>
              </w:rPr>
              <w:t>工程设备费”的</w:t>
            </w:r>
            <w:r>
              <w:rPr>
                <w:rFonts w:hint="eastAsia" w:asciiTheme="minorEastAsia" w:hAnsiTheme="minorEastAsia" w:eastAsiaTheme="minorEastAsia"/>
                <w:u w:val="single"/>
              </w:rPr>
              <w:t xml:space="preserve">  /  </w:t>
            </w:r>
            <w:r>
              <w:rPr>
                <w:rFonts w:ascii="宋体" w:hAnsi="宋体" w:cs="宋体"/>
                <w:kern w:val="0"/>
                <w:sz w:val="20"/>
              </w:rPr>
              <w:t>%</w:t>
            </w:r>
            <w:r>
              <w:rPr>
                <w:rFonts w:hint="eastAsia" w:ascii="宋体" w:hAnsi="宋体" w:cs="宋体"/>
                <w:kern w:val="0"/>
                <w:sz w:val="20"/>
              </w:rPr>
              <w:t>奖励</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5" w:type="dxa"/>
            <w:gridSpan w:val="2"/>
            <w:vMerge w:val="continue"/>
            <w:tcBorders>
              <w:top w:val="single" w:color="000000" w:sz="4" w:space="0"/>
              <w:bottom w:val="single" w:color="000000" w:sz="4" w:space="0"/>
              <w:right w:val="single" w:color="000000" w:sz="4" w:space="0"/>
            </w:tcBorders>
            <w:vAlign w:val="center"/>
          </w:tcPr>
          <w:p>
            <w:pPr>
              <w:widowControl/>
              <w:jc w:val="left"/>
              <w:rPr>
                <w:rFonts w:ascii="宋体" w:cs="宋体"/>
                <w:sz w:val="20"/>
              </w:rPr>
            </w:pPr>
          </w:p>
        </w:tc>
        <w:tc>
          <w:tcPr>
            <w:tcW w:w="2535" w:type="dxa"/>
            <w:gridSpan w:val="2"/>
            <w:vMerge w:val="continue"/>
            <w:tcBorders>
              <w:top w:val="single" w:color="000000" w:sz="4" w:space="0"/>
              <w:left w:val="nil"/>
              <w:bottom w:val="single" w:color="000000" w:sz="4" w:space="0"/>
              <w:right w:val="single" w:color="000000" w:sz="4" w:space="0"/>
            </w:tcBorders>
            <w:vAlign w:val="center"/>
          </w:tcPr>
          <w:p>
            <w:pPr>
              <w:widowControl/>
              <w:jc w:val="left"/>
              <w:rPr>
                <w:rFonts w:ascii="宋体" w:cs="宋体"/>
                <w:kern w:val="0"/>
                <w:sz w:val="20"/>
              </w:rPr>
            </w:pPr>
          </w:p>
        </w:tc>
        <w:tc>
          <w:tcPr>
            <w:tcW w:w="6615" w:type="dxa"/>
            <w:tcBorders>
              <w:top w:val="single" w:color="000000" w:sz="4" w:space="0"/>
              <w:left w:val="single" w:color="000000" w:sz="4" w:space="0"/>
              <w:bottom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□获得市级优质工程，按中标价（合同价）中“分部分项工程费</w:t>
            </w:r>
            <w:r>
              <w:rPr>
                <w:rFonts w:ascii="宋体" w:hAnsi="宋体" w:cs="宋体"/>
                <w:kern w:val="0"/>
                <w:sz w:val="20"/>
              </w:rPr>
              <w:t>+</w:t>
            </w:r>
            <w:r>
              <w:rPr>
                <w:rFonts w:hint="eastAsia" w:ascii="宋体" w:hAnsi="宋体" w:cs="宋体"/>
                <w:kern w:val="0"/>
                <w:sz w:val="20"/>
              </w:rPr>
              <w:t>单价措施项目费</w:t>
            </w:r>
            <w:r>
              <w:rPr>
                <w:rFonts w:ascii="宋体" w:cs="宋体"/>
                <w:kern w:val="0"/>
                <w:sz w:val="20"/>
              </w:rPr>
              <w:t>-</w:t>
            </w:r>
            <w:r>
              <w:rPr>
                <w:rFonts w:hint="eastAsia" w:ascii="宋体" w:hAnsi="宋体" w:cs="宋体"/>
                <w:kern w:val="0"/>
                <w:sz w:val="20"/>
              </w:rPr>
              <w:t>工程设备费”的</w:t>
            </w:r>
            <w:r>
              <w:rPr>
                <w:rFonts w:hint="eastAsia" w:asciiTheme="minorEastAsia" w:hAnsiTheme="minorEastAsia" w:eastAsiaTheme="minorEastAsia"/>
                <w:u w:val="single"/>
              </w:rPr>
              <w:t xml:space="preserve">  /  </w:t>
            </w:r>
            <w:r>
              <w:rPr>
                <w:rFonts w:ascii="宋体" w:hAnsi="宋体" w:cs="宋体"/>
                <w:kern w:val="0"/>
                <w:sz w:val="20"/>
              </w:rPr>
              <w:t>%</w:t>
            </w:r>
            <w:r>
              <w:rPr>
                <w:rFonts w:hint="eastAsia" w:ascii="宋体" w:hAnsi="宋体" w:cs="宋体"/>
                <w:kern w:val="0"/>
                <w:sz w:val="20"/>
              </w:rPr>
              <w:t>奖励</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5" w:type="dxa"/>
            <w:gridSpan w:val="2"/>
            <w:vMerge w:val="continue"/>
            <w:tcBorders>
              <w:top w:val="single" w:color="000000" w:sz="4" w:space="0"/>
              <w:bottom w:val="single" w:color="000000" w:sz="4" w:space="0"/>
              <w:right w:val="single" w:color="000000" w:sz="4" w:space="0"/>
            </w:tcBorders>
            <w:vAlign w:val="center"/>
          </w:tcPr>
          <w:p>
            <w:pPr>
              <w:widowControl/>
              <w:jc w:val="left"/>
              <w:rPr>
                <w:rFonts w:ascii="宋体" w:cs="宋体"/>
                <w:sz w:val="20"/>
              </w:rPr>
            </w:pPr>
          </w:p>
        </w:tc>
        <w:tc>
          <w:tcPr>
            <w:tcW w:w="2535" w:type="dxa"/>
            <w:gridSpan w:val="2"/>
            <w:vMerge w:val="continue"/>
            <w:tcBorders>
              <w:top w:val="single" w:color="000000" w:sz="4" w:space="0"/>
              <w:left w:val="nil"/>
              <w:bottom w:val="single" w:color="000000" w:sz="4" w:space="0"/>
              <w:right w:val="single" w:color="000000" w:sz="4" w:space="0"/>
            </w:tcBorders>
            <w:vAlign w:val="center"/>
          </w:tcPr>
          <w:p>
            <w:pPr>
              <w:widowControl/>
              <w:jc w:val="left"/>
              <w:rPr>
                <w:rFonts w:ascii="宋体" w:cs="宋体"/>
                <w:kern w:val="0"/>
                <w:sz w:val="20"/>
              </w:rPr>
            </w:pPr>
          </w:p>
        </w:tc>
        <w:tc>
          <w:tcPr>
            <w:tcW w:w="6615" w:type="dxa"/>
            <w:tcBorders>
              <w:top w:val="single" w:color="000000" w:sz="4" w:space="0"/>
              <w:left w:val="single" w:color="000000" w:sz="4" w:space="0"/>
              <w:bottom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□获得优质结构工程，按中标价（合同价）中“分部分项工程费</w:t>
            </w:r>
            <w:r>
              <w:rPr>
                <w:rFonts w:ascii="宋体" w:hAnsi="宋体" w:cs="宋体"/>
                <w:kern w:val="0"/>
                <w:sz w:val="20"/>
              </w:rPr>
              <w:t>+</w:t>
            </w:r>
            <w:r>
              <w:rPr>
                <w:rFonts w:hint="eastAsia" w:ascii="宋体" w:hAnsi="宋体" w:cs="宋体"/>
                <w:kern w:val="0"/>
                <w:sz w:val="20"/>
              </w:rPr>
              <w:t>单价措施项目费</w:t>
            </w:r>
            <w:r>
              <w:rPr>
                <w:rFonts w:ascii="宋体" w:cs="宋体"/>
                <w:kern w:val="0"/>
                <w:sz w:val="20"/>
              </w:rPr>
              <w:t>-</w:t>
            </w:r>
            <w:r>
              <w:rPr>
                <w:rFonts w:hint="eastAsia" w:ascii="宋体" w:hAnsi="宋体" w:cs="宋体"/>
                <w:kern w:val="0"/>
                <w:sz w:val="20"/>
              </w:rPr>
              <w:t>工程设备费”的</w:t>
            </w:r>
            <w:r>
              <w:rPr>
                <w:rFonts w:hint="eastAsia" w:asciiTheme="minorEastAsia" w:hAnsiTheme="minorEastAsia" w:eastAsiaTheme="minorEastAsia"/>
                <w:u w:val="single"/>
              </w:rPr>
              <w:t xml:space="preserve">  /  </w:t>
            </w:r>
            <w:r>
              <w:rPr>
                <w:rFonts w:ascii="宋体" w:hAnsi="宋体" w:cs="宋体"/>
                <w:kern w:val="0"/>
                <w:sz w:val="20"/>
              </w:rPr>
              <w:t>%</w:t>
            </w:r>
            <w:r>
              <w:rPr>
                <w:rFonts w:hint="eastAsia" w:ascii="宋体" w:hAnsi="宋体" w:cs="宋体"/>
                <w:kern w:val="0"/>
                <w:sz w:val="20"/>
              </w:rPr>
              <w:t>奖励</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5" w:type="dxa"/>
            <w:gridSpan w:val="2"/>
            <w:vMerge w:val="continue"/>
            <w:tcBorders>
              <w:top w:val="single" w:color="000000" w:sz="4" w:space="0"/>
              <w:bottom w:val="single" w:color="000000" w:sz="4" w:space="0"/>
              <w:right w:val="single" w:color="000000" w:sz="4" w:space="0"/>
            </w:tcBorders>
            <w:vAlign w:val="center"/>
          </w:tcPr>
          <w:p>
            <w:pPr>
              <w:widowControl/>
              <w:jc w:val="left"/>
              <w:rPr>
                <w:rFonts w:ascii="宋体" w:cs="宋体"/>
                <w:sz w:val="20"/>
              </w:rPr>
            </w:pPr>
          </w:p>
        </w:tc>
        <w:tc>
          <w:tcPr>
            <w:tcW w:w="2535" w:type="dxa"/>
            <w:gridSpan w:val="2"/>
            <w:vMerge w:val="continue"/>
            <w:tcBorders>
              <w:top w:val="single" w:color="000000" w:sz="4" w:space="0"/>
              <w:left w:val="nil"/>
              <w:bottom w:val="single" w:color="000000" w:sz="4" w:space="0"/>
              <w:right w:val="single" w:color="000000" w:sz="4" w:space="0"/>
            </w:tcBorders>
            <w:vAlign w:val="center"/>
          </w:tcPr>
          <w:p>
            <w:pPr>
              <w:widowControl/>
              <w:jc w:val="left"/>
              <w:rPr>
                <w:rFonts w:ascii="宋体" w:cs="宋体"/>
                <w:kern w:val="0"/>
                <w:sz w:val="20"/>
              </w:rPr>
            </w:pPr>
          </w:p>
        </w:tc>
        <w:tc>
          <w:tcPr>
            <w:tcW w:w="6615" w:type="dxa"/>
            <w:tcBorders>
              <w:top w:val="single" w:color="000000" w:sz="4" w:space="0"/>
              <w:left w:val="single" w:color="000000" w:sz="4" w:space="0"/>
              <w:bottom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□其它：</w:t>
            </w:r>
            <w:r>
              <w:rPr>
                <w:rFonts w:hint="eastAsia" w:asciiTheme="minorEastAsia" w:hAnsiTheme="minorEastAsia" w:eastAsiaTheme="minorEastAsia"/>
                <w:u w:val="single"/>
              </w:rPr>
              <w:t xml:space="preserve">  /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885" w:type="dxa"/>
            <w:gridSpan w:val="5"/>
            <w:tcBorders>
              <w:top w:val="single" w:color="000000" w:sz="4" w:space="0"/>
              <w:bottom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黑体" w:hAnsi="宋体" w:eastAsia="黑体" w:cs="黑体"/>
                <w:kern w:val="0"/>
                <w:sz w:val="24"/>
              </w:rPr>
            </w:pPr>
            <w:r>
              <w:rPr>
                <w:rFonts w:ascii="黑体" w:hAnsi="宋体" w:eastAsia="黑体" w:cs="黑体"/>
                <w:kern w:val="0"/>
                <w:sz w:val="24"/>
              </w:rPr>
              <w:t>6.1</w:t>
            </w:r>
            <w:r>
              <w:rPr>
                <w:rFonts w:hint="eastAsia" w:ascii="黑体" w:hAnsi="宋体" w:eastAsia="黑体" w:cs="黑体"/>
                <w:kern w:val="0"/>
                <w:sz w:val="24"/>
              </w:rPr>
              <w:t>安全文明施工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5" w:type="dxa"/>
            <w:gridSpan w:val="2"/>
            <w:vMerge w:val="restart"/>
            <w:tcBorders>
              <w:top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adjustRightInd w:val="0"/>
              <w:snapToGrid w:val="0"/>
              <w:jc w:val="center"/>
              <w:textAlignment w:val="center"/>
              <w:rPr>
                <w:rFonts w:ascii="宋体" w:cs="宋体"/>
                <w:sz w:val="20"/>
              </w:rPr>
            </w:pPr>
            <w:r>
              <w:rPr>
                <w:rFonts w:ascii="宋体" w:hAnsi="宋体" w:cs="宋体"/>
                <w:kern w:val="0"/>
                <w:sz w:val="20"/>
              </w:rPr>
              <w:t>6.1.1</w:t>
            </w:r>
          </w:p>
        </w:tc>
        <w:tc>
          <w:tcPr>
            <w:tcW w:w="2535" w:type="dxa"/>
            <w:gridSpan w:val="2"/>
            <w:vMerge w:val="restart"/>
            <w:tcBorders>
              <w:top w:val="single" w:color="000000" w:sz="4" w:space="0"/>
              <w:left w:val="nil"/>
              <w:bottom w:val="single" w:color="000000" w:sz="4" w:space="0"/>
              <w:right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项目安全生产的达标目标及相应事项的约定</w:t>
            </w:r>
          </w:p>
        </w:tc>
        <w:tc>
          <w:tcPr>
            <w:tcW w:w="6615" w:type="dxa"/>
            <w:tcBorders>
              <w:top w:val="single" w:color="000000" w:sz="4" w:space="0"/>
              <w:left w:val="single" w:color="000000" w:sz="4" w:space="0"/>
              <w:bottom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□达到省级建筑安全文明施工标准化示范工地要求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5" w:type="dxa"/>
            <w:gridSpan w:val="2"/>
            <w:vMerge w:val="continue"/>
            <w:tcBorders>
              <w:top w:val="single" w:color="000000" w:sz="4" w:space="0"/>
              <w:bottom w:val="single" w:color="000000" w:sz="4" w:space="0"/>
              <w:right w:val="single" w:color="000000" w:sz="4" w:space="0"/>
            </w:tcBorders>
            <w:vAlign w:val="center"/>
          </w:tcPr>
          <w:p>
            <w:pPr>
              <w:widowControl/>
              <w:jc w:val="left"/>
              <w:rPr>
                <w:rFonts w:ascii="宋体" w:cs="宋体"/>
                <w:sz w:val="20"/>
              </w:rPr>
            </w:pPr>
          </w:p>
        </w:tc>
        <w:tc>
          <w:tcPr>
            <w:tcW w:w="2535" w:type="dxa"/>
            <w:gridSpan w:val="2"/>
            <w:vMerge w:val="continue"/>
            <w:tcBorders>
              <w:top w:val="single" w:color="000000" w:sz="4" w:space="0"/>
              <w:left w:val="nil"/>
              <w:bottom w:val="single" w:color="000000" w:sz="4" w:space="0"/>
              <w:right w:val="single" w:color="000000" w:sz="4" w:space="0"/>
            </w:tcBorders>
            <w:vAlign w:val="center"/>
          </w:tcPr>
          <w:p>
            <w:pPr>
              <w:widowControl/>
              <w:jc w:val="left"/>
              <w:rPr>
                <w:rFonts w:ascii="宋体" w:cs="宋体"/>
                <w:kern w:val="0"/>
                <w:sz w:val="20"/>
              </w:rPr>
            </w:pPr>
          </w:p>
        </w:tc>
        <w:tc>
          <w:tcPr>
            <w:tcW w:w="6615" w:type="dxa"/>
            <w:tcBorders>
              <w:top w:val="single" w:color="000000" w:sz="4" w:space="0"/>
              <w:left w:val="single" w:color="000000" w:sz="4" w:space="0"/>
              <w:bottom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□达到市级建筑安全文明施工标准化示范工地要求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5" w:type="dxa"/>
            <w:gridSpan w:val="2"/>
            <w:vMerge w:val="continue"/>
            <w:tcBorders>
              <w:top w:val="single" w:color="000000" w:sz="4" w:space="0"/>
              <w:bottom w:val="single" w:color="000000" w:sz="4" w:space="0"/>
              <w:right w:val="single" w:color="000000" w:sz="4" w:space="0"/>
            </w:tcBorders>
            <w:vAlign w:val="center"/>
          </w:tcPr>
          <w:p>
            <w:pPr>
              <w:widowControl/>
              <w:jc w:val="left"/>
              <w:rPr>
                <w:rFonts w:ascii="宋体" w:cs="宋体"/>
                <w:sz w:val="20"/>
              </w:rPr>
            </w:pPr>
          </w:p>
        </w:tc>
        <w:tc>
          <w:tcPr>
            <w:tcW w:w="2535" w:type="dxa"/>
            <w:gridSpan w:val="2"/>
            <w:vMerge w:val="continue"/>
            <w:tcBorders>
              <w:top w:val="single" w:color="000000" w:sz="4" w:space="0"/>
              <w:left w:val="nil"/>
              <w:bottom w:val="single" w:color="000000" w:sz="4" w:space="0"/>
              <w:right w:val="single" w:color="000000" w:sz="4" w:space="0"/>
            </w:tcBorders>
            <w:vAlign w:val="center"/>
          </w:tcPr>
          <w:p>
            <w:pPr>
              <w:widowControl/>
              <w:jc w:val="left"/>
              <w:rPr>
                <w:rFonts w:ascii="宋体" w:cs="宋体"/>
                <w:kern w:val="0"/>
                <w:sz w:val="20"/>
              </w:rPr>
            </w:pPr>
          </w:p>
        </w:tc>
        <w:tc>
          <w:tcPr>
            <w:tcW w:w="6615" w:type="dxa"/>
            <w:tcBorders>
              <w:top w:val="single" w:color="000000" w:sz="4" w:space="0"/>
              <w:left w:val="single" w:color="000000" w:sz="4" w:space="0"/>
              <w:bottom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MS Mincho" w:hAnsi="MS Mincho" w:eastAsia="MS Mincho" w:cs="MS Mincho"/>
                <w:szCs w:val="21"/>
              </w:rPr>
              <w:t>☑</w:t>
            </w:r>
            <w:r>
              <w:rPr>
                <w:rFonts w:hint="eastAsia" w:ascii="宋体" w:hAnsi="宋体" w:cs="宋体"/>
                <w:kern w:val="0"/>
                <w:sz w:val="20"/>
              </w:rPr>
              <w:t>其它：</w:t>
            </w:r>
            <w:r>
              <w:rPr>
                <w:rFonts w:hint="eastAsia" w:ascii="宋体" w:hAnsi="宋体" w:cs="宋体"/>
                <w:bCs/>
                <w:kern w:val="0"/>
                <w:sz w:val="20"/>
                <w:u w:val="single"/>
              </w:rPr>
              <w:t>确保施工过程中无人员伤亡和质量事故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35" w:type="dxa"/>
            <w:gridSpan w:val="2"/>
            <w:vMerge w:val="restart"/>
            <w:tcBorders>
              <w:top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adjustRightInd w:val="0"/>
              <w:snapToGrid w:val="0"/>
              <w:jc w:val="center"/>
              <w:textAlignment w:val="center"/>
              <w:rPr>
                <w:rFonts w:ascii="宋体" w:cs="宋体"/>
                <w:sz w:val="20"/>
              </w:rPr>
            </w:pPr>
            <w:r>
              <w:rPr>
                <w:rFonts w:ascii="宋体" w:hAnsi="宋体" w:cs="宋体"/>
                <w:kern w:val="0"/>
                <w:sz w:val="20"/>
              </w:rPr>
              <w:t>6.1.5</w:t>
            </w:r>
          </w:p>
        </w:tc>
        <w:tc>
          <w:tcPr>
            <w:tcW w:w="2535" w:type="dxa"/>
            <w:gridSpan w:val="2"/>
            <w:vMerge w:val="restart"/>
            <w:tcBorders>
              <w:top w:val="single" w:color="000000" w:sz="4" w:space="0"/>
              <w:left w:val="nil"/>
              <w:bottom w:val="single" w:color="000000" w:sz="4" w:space="0"/>
              <w:right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合同当事人对文明施工的要求</w:t>
            </w:r>
          </w:p>
        </w:tc>
        <w:tc>
          <w:tcPr>
            <w:tcW w:w="6615" w:type="dxa"/>
            <w:tcBorders>
              <w:top w:val="single" w:color="000000" w:sz="4" w:space="0"/>
              <w:left w:val="single" w:color="000000" w:sz="4" w:space="0"/>
              <w:bottom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□达到省级建筑安全文明施工标准化示范工地要求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5" w:type="dxa"/>
            <w:gridSpan w:val="2"/>
            <w:vMerge w:val="continue"/>
            <w:tcBorders>
              <w:top w:val="single" w:color="000000" w:sz="4" w:space="0"/>
              <w:bottom w:val="single" w:color="000000" w:sz="4" w:space="0"/>
              <w:right w:val="single" w:color="000000" w:sz="4" w:space="0"/>
            </w:tcBorders>
            <w:vAlign w:val="center"/>
          </w:tcPr>
          <w:p>
            <w:pPr>
              <w:widowControl/>
              <w:jc w:val="left"/>
              <w:rPr>
                <w:rFonts w:ascii="宋体" w:cs="宋体"/>
                <w:sz w:val="20"/>
              </w:rPr>
            </w:pPr>
          </w:p>
        </w:tc>
        <w:tc>
          <w:tcPr>
            <w:tcW w:w="2535" w:type="dxa"/>
            <w:gridSpan w:val="2"/>
            <w:vMerge w:val="continue"/>
            <w:tcBorders>
              <w:top w:val="single" w:color="000000" w:sz="4" w:space="0"/>
              <w:left w:val="nil"/>
              <w:bottom w:val="single" w:color="000000" w:sz="4" w:space="0"/>
              <w:right w:val="single" w:color="000000" w:sz="4" w:space="0"/>
            </w:tcBorders>
            <w:vAlign w:val="center"/>
          </w:tcPr>
          <w:p>
            <w:pPr>
              <w:widowControl/>
              <w:jc w:val="left"/>
              <w:rPr>
                <w:rFonts w:ascii="宋体" w:cs="宋体"/>
                <w:kern w:val="0"/>
                <w:sz w:val="20"/>
              </w:rPr>
            </w:pPr>
          </w:p>
        </w:tc>
        <w:tc>
          <w:tcPr>
            <w:tcW w:w="6615" w:type="dxa"/>
            <w:tcBorders>
              <w:top w:val="single" w:color="000000" w:sz="4" w:space="0"/>
              <w:left w:val="single" w:color="000000" w:sz="4" w:space="0"/>
              <w:bottom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□达到市级建筑安全文明施工标准化示范工地要求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5" w:type="dxa"/>
            <w:gridSpan w:val="2"/>
            <w:vMerge w:val="continue"/>
            <w:tcBorders>
              <w:top w:val="single" w:color="000000" w:sz="4" w:space="0"/>
              <w:bottom w:val="single" w:color="000000" w:sz="4" w:space="0"/>
              <w:right w:val="single" w:color="000000" w:sz="4" w:space="0"/>
            </w:tcBorders>
            <w:vAlign w:val="center"/>
          </w:tcPr>
          <w:p>
            <w:pPr>
              <w:widowControl/>
              <w:jc w:val="left"/>
              <w:rPr>
                <w:rFonts w:ascii="宋体" w:cs="宋体"/>
                <w:sz w:val="20"/>
              </w:rPr>
            </w:pPr>
          </w:p>
        </w:tc>
        <w:tc>
          <w:tcPr>
            <w:tcW w:w="2535" w:type="dxa"/>
            <w:gridSpan w:val="2"/>
            <w:vMerge w:val="continue"/>
            <w:tcBorders>
              <w:top w:val="single" w:color="000000" w:sz="4" w:space="0"/>
              <w:left w:val="nil"/>
              <w:bottom w:val="single" w:color="000000" w:sz="4" w:space="0"/>
              <w:right w:val="single" w:color="000000" w:sz="4" w:space="0"/>
            </w:tcBorders>
            <w:vAlign w:val="center"/>
          </w:tcPr>
          <w:p>
            <w:pPr>
              <w:widowControl/>
              <w:jc w:val="left"/>
              <w:rPr>
                <w:rFonts w:ascii="宋体" w:cs="宋体"/>
                <w:kern w:val="0"/>
                <w:sz w:val="20"/>
              </w:rPr>
            </w:pPr>
          </w:p>
        </w:tc>
        <w:tc>
          <w:tcPr>
            <w:tcW w:w="6615" w:type="dxa"/>
            <w:tcBorders>
              <w:top w:val="single" w:color="000000" w:sz="4" w:space="0"/>
              <w:left w:val="single" w:color="000000" w:sz="4" w:space="0"/>
              <w:bottom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MS Mincho" w:hAnsi="MS Mincho" w:eastAsia="MS Mincho" w:cs="MS Mincho"/>
                <w:szCs w:val="21"/>
              </w:rPr>
              <w:t>☑</w:t>
            </w:r>
            <w:r>
              <w:rPr>
                <w:rFonts w:hint="eastAsia" w:ascii="宋体" w:hAnsi="宋体" w:cs="宋体"/>
                <w:kern w:val="0"/>
                <w:sz w:val="20"/>
              </w:rPr>
              <w:t>其它：</w:t>
            </w:r>
            <w:r>
              <w:rPr>
                <w:rFonts w:hint="eastAsia" w:ascii="宋体" w:hAnsi="宋体" w:cs="宋体"/>
                <w:bCs/>
                <w:kern w:val="0"/>
                <w:sz w:val="20"/>
                <w:u w:val="singl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885" w:type="dxa"/>
            <w:gridSpan w:val="5"/>
            <w:tcBorders>
              <w:top w:val="single" w:color="000000" w:sz="4" w:space="0"/>
              <w:bottom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黑体" w:hAnsi="宋体" w:eastAsia="黑体" w:cs="黑体"/>
                <w:kern w:val="0"/>
                <w:sz w:val="24"/>
              </w:rPr>
            </w:pPr>
            <w:r>
              <w:rPr>
                <w:rFonts w:ascii="黑体" w:hAnsi="宋体" w:eastAsia="黑体" w:cs="黑体"/>
                <w:kern w:val="0"/>
                <w:sz w:val="24"/>
              </w:rPr>
              <w:t xml:space="preserve">7.5 </w:t>
            </w:r>
            <w:r>
              <w:rPr>
                <w:rFonts w:hint="eastAsia" w:ascii="黑体" w:hAnsi="宋体" w:eastAsia="黑体" w:cs="黑体"/>
                <w:kern w:val="0"/>
                <w:sz w:val="24"/>
              </w:rPr>
              <w:t>工期延误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5" w:type="dxa"/>
            <w:gridSpan w:val="2"/>
            <w:vMerge w:val="restart"/>
            <w:tcBorders>
              <w:top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adjustRightInd w:val="0"/>
              <w:snapToGrid w:val="0"/>
              <w:jc w:val="center"/>
              <w:textAlignment w:val="center"/>
              <w:rPr>
                <w:rFonts w:ascii="宋体" w:cs="宋体"/>
                <w:sz w:val="20"/>
              </w:rPr>
            </w:pPr>
            <w:r>
              <w:rPr>
                <w:rFonts w:ascii="宋体" w:hAnsi="宋体" w:cs="宋体"/>
                <w:kern w:val="0"/>
                <w:sz w:val="20"/>
              </w:rPr>
              <w:t>7.5.2</w:t>
            </w:r>
          </w:p>
        </w:tc>
        <w:tc>
          <w:tcPr>
            <w:tcW w:w="2535" w:type="dxa"/>
            <w:gridSpan w:val="2"/>
            <w:vMerge w:val="restart"/>
            <w:tcBorders>
              <w:top w:val="single" w:color="000000" w:sz="4" w:space="0"/>
              <w:left w:val="nil"/>
              <w:bottom w:val="single" w:color="000000" w:sz="4" w:space="0"/>
              <w:right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因承包人原因造成工期延误，逾期竣工违约金的计算方法</w:t>
            </w:r>
          </w:p>
        </w:tc>
        <w:tc>
          <w:tcPr>
            <w:tcW w:w="6615" w:type="dxa"/>
            <w:tcBorders>
              <w:top w:val="single" w:color="000000" w:sz="4" w:space="0"/>
              <w:left w:val="single" w:color="000000" w:sz="4" w:space="0"/>
              <w:bottom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MS Mincho" w:hAnsi="MS Mincho" w:eastAsia="MS Mincho" w:cs="MS Mincho"/>
                <w:szCs w:val="21"/>
              </w:rPr>
              <w:t>☑</w:t>
            </w:r>
            <w:r>
              <w:rPr>
                <w:rFonts w:hint="eastAsia" w:ascii="宋体" w:hAnsi="宋体" w:cs="宋体"/>
                <w:kern w:val="0"/>
                <w:sz w:val="20"/>
              </w:rPr>
              <w:t>扣除</w:t>
            </w:r>
            <w:r>
              <w:rPr>
                <w:rFonts w:ascii="宋体" w:hAnsi="宋体" w:cs="宋体"/>
                <w:kern w:val="0"/>
                <w:sz w:val="20"/>
                <w:u w:val="single"/>
              </w:rPr>
              <w:t>_</w:t>
            </w:r>
            <w:r>
              <w:rPr>
                <w:rFonts w:hint="eastAsia" w:ascii="宋体" w:hAnsi="宋体" w:cs="宋体"/>
                <w:kern w:val="0"/>
                <w:sz w:val="20"/>
                <w:u w:val="single"/>
              </w:rPr>
              <w:t>3000</w:t>
            </w:r>
            <w:r>
              <w:rPr>
                <w:rFonts w:hint="eastAsia" w:ascii="宋体" w:hAnsi="宋体" w:cs="宋体"/>
                <w:kern w:val="0"/>
                <w:sz w:val="20"/>
              </w:rPr>
              <w:t>元</w:t>
            </w:r>
            <w:r>
              <w:rPr>
                <w:rFonts w:ascii="宋体" w:hAnsi="宋体" w:cs="宋体"/>
                <w:kern w:val="0"/>
                <w:sz w:val="20"/>
              </w:rPr>
              <w:t>/</w:t>
            </w:r>
            <w:r>
              <w:rPr>
                <w:rFonts w:hint="eastAsia" w:ascii="宋体" w:hAnsi="宋体" w:cs="宋体"/>
                <w:kern w:val="0"/>
                <w:sz w:val="20"/>
              </w:rPr>
              <w:t>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5" w:type="dxa"/>
            <w:gridSpan w:val="2"/>
            <w:vMerge w:val="continue"/>
            <w:tcBorders>
              <w:top w:val="single" w:color="000000" w:sz="4" w:space="0"/>
              <w:bottom w:val="single" w:color="000000" w:sz="4" w:space="0"/>
              <w:right w:val="single" w:color="000000" w:sz="4" w:space="0"/>
            </w:tcBorders>
            <w:vAlign w:val="center"/>
          </w:tcPr>
          <w:p>
            <w:pPr>
              <w:widowControl/>
              <w:jc w:val="left"/>
              <w:rPr>
                <w:rFonts w:ascii="宋体" w:cs="宋体"/>
                <w:sz w:val="20"/>
              </w:rPr>
            </w:pPr>
          </w:p>
        </w:tc>
        <w:tc>
          <w:tcPr>
            <w:tcW w:w="2535" w:type="dxa"/>
            <w:gridSpan w:val="2"/>
            <w:vMerge w:val="continue"/>
            <w:tcBorders>
              <w:top w:val="single" w:color="000000" w:sz="4" w:space="0"/>
              <w:left w:val="nil"/>
              <w:bottom w:val="single" w:color="000000" w:sz="4" w:space="0"/>
              <w:right w:val="single" w:color="000000" w:sz="4" w:space="0"/>
            </w:tcBorders>
            <w:vAlign w:val="center"/>
          </w:tcPr>
          <w:p>
            <w:pPr>
              <w:widowControl/>
              <w:jc w:val="left"/>
              <w:rPr>
                <w:rFonts w:ascii="宋体" w:cs="宋体"/>
                <w:kern w:val="0"/>
                <w:sz w:val="20"/>
              </w:rPr>
            </w:pPr>
          </w:p>
        </w:tc>
        <w:tc>
          <w:tcPr>
            <w:tcW w:w="6615" w:type="dxa"/>
            <w:tcBorders>
              <w:top w:val="single" w:color="000000" w:sz="4" w:space="0"/>
              <w:left w:val="single" w:color="000000" w:sz="4" w:space="0"/>
              <w:bottom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sz w:val="20"/>
              </w:rPr>
            </w:pPr>
            <w:r>
              <w:rPr>
                <w:rFonts w:hint="eastAsia" w:ascii="宋体" w:hAnsi="宋体" w:cs="宋体"/>
                <w:kern w:val="0"/>
                <w:sz w:val="20"/>
              </w:rPr>
              <w:t>□</w:t>
            </w:r>
            <w:r>
              <w:rPr>
                <w:rFonts w:hint="eastAsia" w:hAnsi="宋体"/>
                <w:sz w:val="20"/>
              </w:rPr>
              <w:t>每天赔偿金额为合同价款的万分之</w:t>
            </w:r>
            <w:r>
              <w:rPr>
                <w:rFonts w:hint="eastAsia" w:asciiTheme="minorEastAsia" w:hAnsiTheme="minorEastAsia" w:eastAsiaTheme="minorEastAsia"/>
                <w:u w:val="single"/>
              </w:rPr>
              <w:t xml:space="preserve">  /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5" w:type="dxa"/>
            <w:gridSpan w:val="2"/>
            <w:vMerge w:val="continue"/>
            <w:tcBorders>
              <w:top w:val="single" w:color="000000" w:sz="4" w:space="0"/>
              <w:bottom w:val="single" w:color="000000" w:sz="4" w:space="0"/>
              <w:right w:val="single" w:color="000000" w:sz="4" w:space="0"/>
            </w:tcBorders>
            <w:vAlign w:val="center"/>
          </w:tcPr>
          <w:p>
            <w:pPr>
              <w:widowControl/>
              <w:jc w:val="left"/>
              <w:rPr>
                <w:rFonts w:ascii="宋体" w:cs="宋体"/>
                <w:sz w:val="20"/>
              </w:rPr>
            </w:pPr>
          </w:p>
        </w:tc>
        <w:tc>
          <w:tcPr>
            <w:tcW w:w="2535" w:type="dxa"/>
            <w:gridSpan w:val="2"/>
            <w:vMerge w:val="restart"/>
            <w:tcBorders>
              <w:top w:val="single" w:color="000000" w:sz="4" w:space="0"/>
              <w:left w:val="nil"/>
              <w:bottom w:val="single" w:color="000000" w:sz="4" w:space="0"/>
              <w:right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因承包人原因造成工期延误，逾期竣工违约金的上限</w:t>
            </w:r>
          </w:p>
        </w:tc>
        <w:tc>
          <w:tcPr>
            <w:tcW w:w="6615" w:type="dxa"/>
            <w:tcBorders>
              <w:top w:val="single" w:color="000000" w:sz="4" w:space="0"/>
              <w:left w:val="single" w:color="000000" w:sz="4" w:space="0"/>
              <w:bottom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□合同价的</w:t>
            </w:r>
            <w:r>
              <w:rPr>
                <w:rFonts w:ascii="宋体" w:hAnsi="宋体" w:cs="宋体"/>
                <w:kern w:val="0"/>
                <w:sz w:val="20"/>
              </w:rPr>
              <w:t>10%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5" w:type="dxa"/>
            <w:gridSpan w:val="2"/>
            <w:vMerge w:val="continue"/>
            <w:tcBorders>
              <w:top w:val="single" w:color="000000" w:sz="4" w:space="0"/>
              <w:bottom w:val="single" w:color="000000" w:sz="4" w:space="0"/>
              <w:right w:val="single" w:color="000000" w:sz="4" w:space="0"/>
            </w:tcBorders>
            <w:vAlign w:val="center"/>
          </w:tcPr>
          <w:p>
            <w:pPr>
              <w:widowControl/>
              <w:jc w:val="left"/>
              <w:rPr>
                <w:rFonts w:ascii="宋体" w:cs="宋体"/>
                <w:sz w:val="20"/>
              </w:rPr>
            </w:pPr>
          </w:p>
        </w:tc>
        <w:tc>
          <w:tcPr>
            <w:tcW w:w="2535" w:type="dxa"/>
            <w:gridSpan w:val="2"/>
            <w:vMerge w:val="continue"/>
            <w:tcBorders>
              <w:top w:val="single" w:color="000000" w:sz="4" w:space="0"/>
              <w:left w:val="nil"/>
              <w:bottom w:val="single" w:color="000000" w:sz="4" w:space="0"/>
              <w:right w:val="single" w:color="000000" w:sz="4" w:space="0"/>
            </w:tcBorders>
            <w:vAlign w:val="center"/>
          </w:tcPr>
          <w:p>
            <w:pPr>
              <w:widowControl/>
              <w:jc w:val="left"/>
              <w:rPr>
                <w:rFonts w:ascii="宋体" w:cs="宋体"/>
                <w:kern w:val="0"/>
                <w:sz w:val="20"/>
              </w:rPr>
            </w:pPr>
          </w:p>
        </w:tc>
        <w:tc>
          <w:tcPr>
            <w:tcW w:w="6615" w:type="dxa"/>
            <w:tcBorders>
              <w:top w:val="single" w:color="000000" w:sz="4" w:space="0"/>
              <w:left w:val="single" w:color="000000" w:sz="4" w:space="0"/>
              <w:bottom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MS Mincho" w:hAnsi="MS Mincho" w:eastAsia="MS Mincho" w:cs="MS Mincho"/>
                <w:szCs w:val="21"/>
              </w:rPr>
              <w:t>☑</w:t>
            </w:r>
            <w:r>
              <w:rPr>
                <w:rFonts w:hint="eastAsia" w:ascii="宋体" w:hAnsi="宋体" w:cs="宋体"/>
                <w:kern w:val="0"/>
                <w:sz w:val="20"/>
              </w:rPr>
              <w:t>全部的履约保证金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5" w:type="dxa"/>
            <w:gridSpan w:val="2"/>
            <w:vMerge w:val="continue"/>
            <w:tcBorders>
              <w:top w:val="single" w:color="000000" w:sz="4" w:space="0"/>
              <w:bottom w:val="single" w:color="000000" w:sz="4" w:space="0"/>
              <w:right w:val="single" w:color="000000" w:sz="4" w:space="0"/>
            </w:tcBorders>
            <w:vAlign w:val="center"/>
          </w:tcPr>
          <w:p>
            <w:pPr>
              <w:widowControl/>
              <w:jc w:val="left"/>
              <w:rPr>
                <w:rFonts w:ascii="宋体" w:cs="宋体"/>
                <w:sz w:val="20"/>
              </w:rPr>
            </w:pPr>
          </w:p>
        </w:tc>
        <w:tc>
          <w:tcPr>
            <w:tcW w:w="2535" w:type="dxa"/>
            <w:gridSpan w:val="2"/>
            <w:vMerge w:val="continue"/>
            <w:tcBorders>
              <w:top w:val="single" w:color="000000" w:sz="4" w:space="0"/>
              <w:left w:val="nil"/>
              <w:bottom w:val="single" w:color="000000" w:sz="4" w:space="0"/>
              <w:right w:val="single" w:color="000000" w:sz="4" w:space="0"/>
            </w:tcBorders>
            <w:vAlign w:val="center"/>
          </w:tcPr>
          <w:p>
            <w:pPr>
              <w:widowControl/>
              <w:jc w:val="left"/>
              <w:rPr>
                <w:rFonts w:ascii="宋体" w:cs="宋体"/>
                <w:kern w:val="0"/>
                <w:sz w:val="20"/>
              </w:rPr>
            </w:pPr>
          </w:p>
        </w:tc>
        <w:tc>
          <w:tcPr>
            <w:tcW w:w="6615" w:type="dxa"/>
            <w:tcBorders>
              <w:top w:val="single" w:color="000000" w:sz="4" w:space="0"/>
              <w:left w:val="single" w:color="000000" w:sz="4" w:space="0"/>
              <w:bottom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□其它：</w:t>
            </w:r>
            <w:r>
              <w:rPr>
                <w:rFonts w:hint="eastAsia" w:asciiTheme="minorEastAsia" w:hAnsiTheme="minorEastAsia" w:eastAsiaTheme="minorEastAsia"/>
                <w:u w:val="single"/>
              </w:rPr>
              <w:t xml:space="preserve">  /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885" w:type="dxa"/>
            <w:gridSpan w:val="5"/>
            <w:tcBorders>
              <w:top w:val="single" w:color="000000" w:sz="4" w:space="0"/>
              <w:bottom w:val="single" w:color="auto" w:sz="4" w:space="0"/>
            </w:tcBorders>
            <w:tcMar>
              <w:top w:w="15" w:type="dxa"/>
              <w:left w:w="15" w:type="dxa"/>
              <w:bottom w:w="15" w:type="dxa"/>
              <w:right w:w="15" w:type="dxa"/>
            </w:tcMar>
            <w:vAlign w:val="center"/>
          </w:tcPr>
          <w:p>
            <w:pPr>
              <w:widowControl/>
              <w:adjustRightInd w:val="0"/>
              <w:snapToGrid w:val="0"/>
              <w:jc w:val="left"/>
              <w:textAlignment w:val="center"/>
              <w:rPr>
                <w:rFonts w:ascii="黑体" w:hAnsi="宋体" w:eastAsia="黑体" w:cs="黑体"/>
                <w:kern w:val="0"/>
                <w:sz w:val="24"/>
              </w:rPr>
            </w:pPr>
            <w:r>
              <w:rPr>
                <w:rFonts w:ascii="黑体" w:hAnsi="宋体" w:eastAsia="黑体" w:cs="黑体"/>
                <w:kern w:val="0"/>
                <w:sz w:val="24"/>
              </w:rPr>
              <w:t>7.7</w:t>
            </w:r>
            <w:r>
              <w:rPr>
                <w:rFonts w:hint="eastAsia" w:ascii="黑体" w:hAnsi="宋体" w:eastAsia="黑体" w:cs="黑体"/>
                <w:kern w:val="0"/>
                <w:sz w:val="24"/>
              </w:rPr>
              <w:t>异常恶劣的气候条件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270" w:type="dxa"/>
            <w:gridSpan w:val="4"/>
            <w:tcBorders>
              <w:top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发包人和承包人同意以下情形视为异常恶劣的气候条件</w:t>
            </w:r>
          </w:p>
        </w:tc>
        <w:tc>
          <w:tcPr>
            <w:tcW w:w="6615" w:type="dxa"/>
            <w:tcBorders>
              <w:top w:val="single" w:color="auto" w:sz="4" w:space="0"/>
              <w:left w:val="single" w:color="auto" w:sz="4" w:space="0"/>
              <w:bottom w:val="single" w:color="auto"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□日降雨量大于</w:t>
            </w:r>
            <w:r>
              <w:rPr>
                <w:rFonts w:hint="eastAsia" w:asciiTheme="minorEastAsia" w:hAnsiTheme="minorEastAsia" w:eastAsiaTheme="minorEastAsia"/>
                <w:u w:val="single"/>
              </w:rPr>
              <w:t xml:space="preserve">  /  </w:t>
            </w:r>
            <w:r>
              <w:rPr>
                <w:rFonts w:ascii="宋体" w:hAnsi="宋体" w:cs="宋体"/>
                <w:kern w:val="0"/>
                <w:sz w:val="20"/>
              </w:rPr>
              <w:t>mm</w:t>
            </w:r>
            <w:r>
              <w:rPr>
                <w:rFonts w:hint="eastAsia" w:ascii="宋体" w:hAnsi="宋体" w:cs="宋体"/>
                <w:kern w:val="0"/>
                <w:sz w:val="20"/>
              </w:rPr>
              <w:t>的雨日超</w:t>
            </w:r>
            <w:r>
              <w:rPr>
                <w:rFonts w:hint="eastAsia" w:asciiTheme="minorEastAsia" w:hAnsiTheme="minorEastAsia" w:eastAsiaTheme="minorEastAsia"/>
                <w:u w:val="single"/>
              </w:rPr>
              <w:t xml:space="preserve">  /  </w:t>
            </w:r>
            <w:r>
              <w:rPr>
                <w:rFonts w:hint="eastAsia" w:ascii="宋体" w:hAnsi="宋体" w:cs="宋体"/>
                <w:kern w:val="0"/>
                <w:sz w:val="20"/>
              </w:rPr>
              <w:t>天</w:t>
            </w:r>
          </w:p>
          <w:p>
            <w:pPr>
              <w:widowControl/>
              <w:adjustRightInd w:val="0"/>
              <w:snapToGrid w:val="0"/>
              <w:jc w:val="left"/>
              <w:textAlignment w:val="center"/>
              <w:rPr>
                <w:rFonts w:ascii="宋体" w:cs="宋体"/>
                <w:kern w:val="0"/>
                <w:sz w:val="20"/>
              </w:rPr>
            </w:pPr>
            <w:r>
              <w:rPr>
                <w:rFonts w:hint="eastAsia" w:ascii="宋体" w:hAnsi="宋体" w:cs="宋体"/>
                <w:kern w:val="0"/>
                <w:sz w:val="20"/>
              </w:rPr>
              <w:t>□风速大于</w:t>
            </w:r>
            <w:r>
              <w:rPr>
                <w:rFonts w:hint="eastAsia" w:asciiTheme="minorEastAsia" w:hAnsiTheme="minorEastAsia" w:eastAsiaTheme="minorEastAsia"/>
                <w:u w:val="single"/>
              </w:rPr>
              <w:t xml:space="preserve">  /  </w:t>
            </w:r>
            <w:r>
              <w:rPr>
                <w:rFonts w:ascii="宋体" w:hAnsi="宋体" w:cs="宋体"/>
                <w:kern w:val="0"/>
                <w:sz w:val="20"/>
              </w:rPr>
              <w:t xml:space="preserve">m/s </w:t>
            </w:r>
            <w:r>
              <w:rPr>
                <w:rFonts w:hint="eastAsia" w:ascii="宋体" w:hAnsi="宋体" w:cs="宋体"/>
                <w:kern w:val="0"/>
                <w:sz w:val="20"/>
              </w:rPr>
              <w:t>的</w:t>
            </w:r>
            <w:r>
              <w:rPr>
                <w:rFonts w:ascii="宋体" w:hAnsi="宋体" w:cs="宋体"/>
                <w:kern w:val="0"/>
                <w:sz w:val="20"/>
              </w:rPr>
              <w:t>____</w:t>
            </w:r>
            <w:r>
              <w:rPr>
                <w:rFonts w:hint="eastAsia" w:ascii="宋体" w:hAnsi="宋体" w:cs="宋体"/>
                <w:kern w:val="0"/>
                <w:sz w:val="20"/>
              </w:rPr>
              <w:t>级以上台风灾害</w:t>
            </w:r>
          </w:p>
          <w:p>
            <w:pPr>
              <w:widowControl/>
              <w:adjustRightInd w:val="0"/>
              <w:snapToGrid w:val="0"/>
              <w:jc w:val="left"/>
              <w:textAlignment w:val="center"/>
              <w:rPr>
                <w:rFonts w:ascii="宋体" w:cs="宋体"/>
                <w:kern w:val="0"/>
                <w:sz w:val="20"/>
              </w:rPr>
            </w:pPr>
            <w:r>
              <w:rPr>
                <w:rFonts w:hint="eastAsia" w:ascii="宋体" w:hAnsi="宋体" w:cs="宋体"/>
                <w:kern w:val="0"/>
                <w:sz w:val="20"/>
              </w:rPr>
              <w:t>□日气温超过</w:t>
            </w:r>
            <w:r>
              <w:rPr>
                <w:rFonts w:hint="eastAsia" w:asciiTheme="minorEastAsia" w:hAnsiTheme="minorEastAsia" w:eastAsiaTheme="minorEastAsia"/>
                <w:u w:val="single"/>
              </w:rPr>
              <w:t xml:space="preserve">  /  </w:t>
            </w:r>
            <w:r>
              <w:rPr>
                <w:rFonts w:ascii="宋体" w:hAnsi="宋体" w:cs="宋体"/>
                <w:kern w:val="0"/>
                <w:sz w:val="20"/>
                <w:vertAlign w:val="superscript"/>
              </w:rPr>
              <w:t>o</w:t>
            </w:r>
            <w:r>
              <w:rPr>
                <w:rFonts w:ascii="宋体" w:hAnsi="宋体" w:cs="宋体"/>
                <w:kern w:val="0"/>
                <w:sz w:val="20"/>
              </w:rPr>
              <w:t xml:space="preserve">C </w:t>
            </w:r>
            <w:r>
              <w:rPr>
                <w:rFonts w:hint="eastAsia" w:ascii="宋体" w:hAnsi="宋体" w:cs="宋体"/>
                <w:kern w:val="0"/>
                <w:sz w:val="20"/>
              </w:rPr>
              <w:t>的高温大于</w:t>
            </w:r>
            <w:r>
              <w:rPr>
                <w:rFonts w:hint="eastAsia" w:asciiTheme="minorEastAsia" w:hAnsiTheme="minorEastAsia" w:eastAsiaTheme="minorEastAsia"/>
                <w:u w:val="single"/>
              </w:rPr>
              <w:t xml:space="preserve">  /  </w:t>
            </w:r>
            <w:r>
              <w:rPr>
                <w:rFonts w:hint="eastAsia" w:ascii="宋体" w:hAnsi="宋体" w:cs="宋体"/>
                <w:kern w:val="0"/>
                <w:sz w:val="20"/>
              </w:rPr>
              <w:t>天；日气温低于</w:t>
            </w:r>
            <w:r>
              <w:rPr>
                <w:rFonts w:hint="eastAsia" w:asciiTheme="minorEastAsia" w:hAnsiTheme="minorEastAsia" w:eastAsiaTheme="minorEastAsia"/>
                <w:u w:val="single"/>
              </w:rPr>
              <w:t xml:space="preserve">  /  </w:t>
            </w:r>
            <w:r>
              <w:rPr>
                <w:rFonts w:ascii="宋体" w:hAnsi="宋体" w:cs="宋体"/>
                <w:kern w:val="0"/>
                <w:sz w:val="20"/>
                <w:vertAlign w:val="superscript"/>
              </w:rPr>
              <w:t>o</w:t>
            </w:r>
            <w:r>
              <w:rPr>
                <w:rFonts w:ascii="宋体" w:hAnsi="宋体" w:cs="宋体"/>
                <w:kern w:val="0"/>
                <w:sz w:val="20"/>
              </w:rPr>
              <w:t xml:space="preserve">C </w:t>
            </w:r>
            <w:r>
              <w:rPr>
                <w:rFonts w:hint="eastAsia" w:ascii="宋体" w:hAnsi="宋体" w:cs="宋体"/>
                <w:kern w:val="0"/>
                <w:sz w:val="20"/>
              </w:rPr>
              <w:t>的严寒大于</w:t>
            </w:r>
            <w:r>
              <w:rPr>
                <w:rFonts w:hint="eastAsia" w:asciiTheme="minorEastAsia" w:hAnsiTheme="minorEastAsia" w:eastAsiaTheme="minorEastAsia"/>
                <w:u w:val="single"/>
              </w:rPr>
              <w:t xml:space="preserve">  /  </w:t>
            </w:r>
            <w:r>
              <w:rPr>
                <w:rFonts w:hint="eastAsia" w:ascii="宋体" w:hAnsi="宋体" w:cs="宋体"/>
                <w:kern w:val="0"/>
                <w:sz w:val="20"/>
              </w:rPr>
              <w:t>天</w:t>
            </w:r>
          </w:p>
          <w:p>
            <w:pPr>
              <w:widowControl/>
              <w:adjustRightInd w:val="0"/>
              <w:snapToGrid w:val="0"/>
              <w:jc w:val="left"/>
              <w:textAlignment w:val="center"/>
              <w:rPr>
                <w:rFonts w:ascii="宋体" w:cs="宋体"/>
                <w:kern w:val="0"/>
                <w:sz w:val="20"/>
              </w:rPr>
            </w:pPr>
            <w:r>
              <w:rPr>
                <w:rFonts w:hint="eastAsia" w:ascii="宋体" w:hAnsi="宋体" w:cs="宋体"/>
                <w:kern w:val="0"/>
                <w:sz w:val="20"/>
              </w:rPr>
              <w:t>□造成工程损坏的冰雹和大雪灾害：</w:t>
            </w:r>
            <w:r>
              <w:rPr>
                <w:rFonts w:hint="eastAsia" w:asciiTheme="minorEastAsia" w:hAnsiTheme="minorEastAsia" w:eastAsiaTheme="minorEastAsia"/>
                <w:u w:val="single"/>
              </w:rPr>
              <w:t xml:space="preserve">  /  </w:t>
            </w:r>
          </w:p>
          <w:p>
            <w:pPr>
              <w:widowControl/>
              <w:adjustRightInd w:val="0"/>
              <w:snapToGrid w:val="0"/>
              <w:jc w:val="left"/>
              <w:textAlignment w:val="center"/>
              <w:rPr>
                <w:rFonts w:ascii="宋体" w:cs="宋体"/>
                <w:kern w:val="0"/>
                <w:sz w:val="20"/>
              </w:rPr>
            </w:pPr>
            <w:r>
              <w:rPr>
                <w:rFonts w:hint="eastAsia" w:ascii="MS Mincho" w:hAnsi="MS Mincho" w:eastAsia="MS Mincho" w:cs="MS Mincho"/>
                <w:szCs w:val="21"/>
              </w:rPr>
              <w:t>☑</w:t>
            </w:r>
            <w:r>
              <w:rPr>
                <w:rFonts w:hint="eastAsia" w:ascii="宋体" w:hAnsi="宋体" w:cs="宋体"/>
                <w:kern w:val="0"/>
                <w:sz w:val="20"/>
              </w:rPr>
              <w:t>其它：</w:t>
            </w:r>
            <w:r>
              <w:rPr>
                <w:rFonts w:hint="eastAsia" w:ascii="宋体" w:hAnsi="宋体" w:cs="宋体"/>
                <w:bCs/>
                <w:kern w:val="0"/>
                <w:sz w:val="20"/>
                <w:u w:val="single"/>
              </w:rPr>
              <w:t>气象部门预报的20年一遇的极端恶劣天气</w:t>
            </w:r>
            <w:r>
              <w:rPr>
                <w:rFonts w:ascii="宋体" w:hAnsi="宋体" w:cs="宋体"/>
                <w:kern w:val="0"/>
                <w:sz w:val="20"/>
              </w:rPr>
              <w:t>_</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885" w:type="dxa"/>
            <w:gridSpan w:val="5"/>
            <w:tcBorders>
              <w:top w:val="single" w:color="auto" w:sz="4" w:space="0"/>
              <w:bottom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黑体" w:hAnsi="宋体" w:eastAsia="黑体" w:cs="黑体"/>
                <w:kern w:val="0"/>
                <w:sz w:val="24"/>
              </w:rPr>
            </w:pPr>
            <w:r>
              <w:rPr>
                <w:rFonts w:ascii="黑体" w:hAnsi="宋体" w:eastAsia="黑体" w:cs="黑体"/>
                <w:kern w:val="0"/>
                <w:sz w:val="24"/>
              </w:rPr>
              <w:t>7.9</w:t>
            </w:r>
            <w:r>
              <w:rPr>
                <w:rFonts w:hint="eastAsia" w:ascii="黑体" w:hAnsi="宋体" w:eastAsia="黑体" w:cs="黑体"/>
                <w:kern w:val="0"/>
                <w:sz w:val="24"/>
              </w:rPr>
              <w:t>提前竣工的奖励</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5" w:type="dxa"/>
            <w:gridSpan w:val="2"/>
            <w:vMerge w:val="restart"/>
            <w:tcBorders>
              <w:top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adjustRightInd w:val="0"/>
              <w:snapToGrid w:val="0"/>
              <w:jc w:val="center"/>
              <w:textAlignment w:val="center"/>
              <w:rPr>
                <w:rFonts w:ascii="宋体" w:cs="宋体"/>
                <w:sz w:val="20"/>
              </w:rPr>
            </w:pPr>
            <w:r>
              <w:rPr>
                <w:rFonts w:ascii="宋体" w:hAnsi="宋体" w:cs="宋体"/>
                <w:kern w:val="0"/>
                <w:sz w:val="20"/>
              </w:rPr>
              <w:t>7.9.2</w:t>
            </w:r>
          </w:p>
        </w:tc>
        <w:tc>
          <w:tcPr>
            <w:tcW w:w="2535" w:type="dxa"/>
            <w:gridSpan w:val="2"/>
            <w:vMerge w:val="restart"/>
            <w:tcBorders>
              <w:top w:val="single" w:color="000000" w:sz="4" w:space="0"/>
              <w:left w:val="nil"/>
              <w:bottom w:val="single" w:color="000000" w:sz="4" w:space="0"/>
              <w:right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提前竣工的奖励</w:t>
            </w:r>
          </w:p>
        </w:tc>
        <w:tc>
          <w:tcPr>
            <w:tcW w:w="6615" w:type="dxa"/>
            <w:tcBorders>
              <w:top w:val="single" w:color="000000" w:sz="4" w:space="0"/>
              <w:left w:val="single" w:color="000000" w:sz="4" w:space="0"/>
              <w:bottom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□奖励</w:t>
            </w:r>
            <w:r>
              <w:rPr>
                <w:rFonts w:hint="eastAsia" w:asciiTheme="minorEastAsia" w:hAnsiTheme="minorEastAsia" w:eastAsiaTheme="minorEastAsia"/>
                <w:u w:val="single"/>
              </w:rPr>
              <w:t xml:space="preserve">  /  </w:t>
            </w:r>
            <w:r>
              <w:rPr>
                <w:rFonts w:hint="eastAsia" w:ascii="宋体" w:hAnsi="宋体" w:cs="宋体"/>
                <w:kern w:val="0"/>
                <w:sz w:val="20"/>
              </w:rPr>
              <w:t>元</w:t>
            </w:r>
            <w:r>
              <w:rPr>
                <w:rFonts w:ascii="宋体" w:hAnsi="宋体" w:cs="宋体"/>
                <w:kern w:val="0"/>
                <w:sz w:val="20"/>
              </w:rPr>
              <w:t>/</w:t>
            </w:r>
            <w:r>
              <w:rPr>
                <w:rFonts w:hint="eastAsia" w:ascii="宋体" w:hAnsi="宋体" w:cs="宋体"/>
                <w:kern w:val="0"/>
                <w:sz w:val="20"/>
              </w:rPr>
              <w:t>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5" w:type="dxa"/>
            <w:gridSpan w:val="2"/>
            <w:vMerge w:val="continue"/>
            <w:tcBorders>
              <w:top w:val="single" w:color="000000" w:sz="4" w:space="0"/>
              <w:bottom w:val="single" w:color="000000" w:sz="4" w:space="0"/>
              <w:right w:val="single" w:color="000000" w:sz="4" w:space="0"/>
            </w:tcBorders>
            <w:vAlign w:val="center"/>
          </w:tcPr>
          <w:p>
            <w:pPr>
              <w:widowControl/>
              <w:jc w:val="left"/>
              <w:rPr>
                <w:rFonts w:ascii="宋体" w:cs="宋体"/>
                <w:sz w:val="20"/>
              </w:rPr>
            </w:pPr>
          </w:p>
        </w:tc>
        <w:tc>
          <w:tcPr>
            <w:tcW w:w="2535" w:type="dxa"/>
            <w:gridSpan w:val="2"/>
            <w:vMerge w:val="continue"/>
            <w:tcBorders>
              <w:top w:val="single" w:color="000000" w:sz="4" w:space="0"/>
              <w:left w:val="nil"/>
              <w:bottom w:val="single" w:color="000000" w:sz="4" w:space="0"/>
              <w:right w:val="single" w:color="000000" w:sz="4" w:space="0"/>
            </w:tcBorders>
            <w:vAlign w:val="center"/>
          </w:tcPr>
          <w:p>
            <w:pPr>
              <w:widowControl/>
              <w:jc w:val="left"/>
              <w:rPr>
                <w:rFonts w:ascii="宋体" w:cs="宋体"/>
                <w:kern w:val="0"/>
                <w:sz w:val="20"/>
              </w:rPr>
            </w:pPr>
          </w:p>
        </w:tc>
        <w:tc>
          <w:tcPr>
            <w:tcW w:w="6615" w:type="dxa"/>
            <w:tcBorders>
              <w:top w:val="single" w:color="000000" w:sz="4" w:space="0"/>
              <w:left w:val="single" w:color="000000" w:sz="4" w:space="0"/>
              <w:bottom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□其它：</w:t>
            </w:r>
            <w:r>
              <w:rPr>
                <w:rFonts w:hint="eastAsia" w:asciiTheme="minorEastAsia" w:hAnsiTheme="minorEastAsia" w:eastAsiaTheme="minorEastAsia"/>
                <w:u w:val="single"/>
              </w:rPr>
              <w:t xml:space="preserve">  /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885" w:type="dxa"/>
            <w:gridSpan w:val="5"/>
            <w:tcBorders>
              <w:top w:val="single" w:color="000000" w:sz="4" w:space="0"/>
              <w:bottom w:val="single" w:color="auto" w:sz="4" w:space="0"/>
            </w:tcBorders>
            <w:tcMar>
              <w:top w:w="15" w:type="dxa"/>
              <w:left w:w="15" w:type="dxa"/>
              <w:bottom w:w="15" w:type="dxa"/>
              <w:right w:w="15" w:type="dxa"/>
            </w:tcMar>
            <w:vAlign w:val="center"/>
          </w:tcPr>
          <w:p>
            <w:pPr>
              <w:widowControl/>
              <w:adjustRightInd w:val="0"/>
              <w:snapToGrid w:val="0"/>
              <w:jc w:val="left"/>
              <w:textAlignment w:val="center"/>
              <w:rPr>
                <w:rFonts w:ascii="黑体" w:hAnsi="宋体" w:eastAsia="黑体" w:cs="黑体"/>
                <w:kern w:val="0"/>
                <w:sz w:val="24"/>
              </w:rPr>
            </w:pPr>
            <w:r>
              <w:rPr>
                <w:rFonts w:ascii="黑体" w:hAnsi="宋体" w:eastAsia="黑体" w:cs="黑体"/>
                <w:kern w:val="0"/>
                <w:sz w:val="24"/>
              </w:rPr>
              <w:t>10.7</w:t>
            </w:r>
            <w:r>
              <w:rPr>
                <w:rFonts w:hint="eastAsia" w:ascii="黑体" w:hAnsi="宋体" w:eastAsia="黑体" w:cs="黑体"/>
                <w:kern w:val="0"/>
                <w:sz w:val="24"/>
              </w:rPr>
              <w:t>暂估价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5" w:type="dxa"/>
            <w:gridSpan w:val="2"/>
            <w:vMerge w:val="restart"/>
            <w:tcBorders>
              <w:top w:val="nil"/>
              <w:bottom w:val="nil"/>
              <w:right w:val="single" w:color="auto" w:sz="4" w:space="0"/>
            </w:tcBorders>
            <w:tcMar>
              <w:top w:w="15" w:type="dxa"/>
              <w:left w:w="15" w:type="dxa"/>
              <w:bottom w:w="15" w:type="dxa"/>
              <w:right w:w="15" w:type="dxa"/>
            </w:tcMar>
            <w:vAlign w:val="center"/>
          </w:tcPr>
          <w:p>
            <w:pPr>
              <w:widowControl/>
              <w:adjustRightInd w:val="0"/>
              <w:snapToGrid w:val="0"/>
              <w:jc w:val="center"/>
              <w:textAlignment w:val="center"/>
              <w:rPr>
                <w:rFonts w:ascii="宋体" w:cs="宋体"/>
                <w:sz w:val="20"/>
              </w:rPr>
            </w:pPr>
            <w:r>
              <w:rPr>
                <w:rFonts w:ascii="宋体" w:hAnsi="宋体" w:cs="宋体"/>
                <w:kern w:val="0"/>
                <w:sz w:val="20"/>
              </w:rPr>
              <w:t>10.7.1</w:t>
            </w:r>
          </w:p>
        </w:tc>
        <w:tc>
          <w:tcPr>
            <w:tcW w:w="2535" w:type="dxa"/>
            <w:gridSpan w:val="2"/>
            <w:vMerge w:val="restart"/>
            <w:tcBorders>
              <w:top w:val="single" w:color="auto" w:sz="4" w:space="0"/>
              <w:left w:val="single" w:color="auto" w:sz="4" w:space="0"/>
              <w:bottom w:val="single" w:color="auto" w:sz="4" w:space="0"/>
              <w:right w:val="nil"/>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对于依法必须招标的暂估价项目的确认和批准采取第</w:t>
            </w:r>
            <w:r>
              <w:rPr>
                <w:rFonts w:ascii="宋体" w:hAnsi="宋体" w:cs="宋体"/>
                <w:kern w:val="0"/>
                <w:sz w:val="20"/>
              </w:rPr>
              <w:t>_</w:t>
            </w:r>
            <w:r>
              <w:rPr>
                <w:rFonts w:hint="eastAsia" w:ascii="宋体" w:hAnsi="宋体" w:cs="宋体"/>
                <w:b/>
                <w:bCs/>
                <w:kern w:val="0"/>
                <w:sz w:val="20"/>
                <w:u w:val="single"/>
              </w:rPr>
              <w:t>（2）</w:t>
            </w:r>
            <w:r>
              <w:rPr>
                <w:rFonts w:ascii="宋体" w:hAnsi="宋体" w:cs="宋体"/>
                <w:kern w:val="0"/>
                <w:sz w:val="20"/>
              </w:rPr>
              <w:t>_</w:t>
            </w:r>
            <w:r>
              <w:rPr>
                <w:rFonts w:hint="eastAsia" w:ascii="宋体" w:hAnsi="宋体" w:cs="宋体"/>
                <w:kern w:val="0"/>
                <w:sz w:val="20"/>
              </w:rPr>
              <w:t>种方式确定</w:t>
            </w:r>
          </w:p>
        </w:tc>
        <w:tc>
          <w:tcPr>
            <w:tcW w:w="6615" w:type="dxa"/>
            <w:tcBorders>
              <w:top w:val="single" w:color="auto" w:sz="4" w:space="0"/>
              <w:left w:val="single" w:color="auto" w:sz="4" w:space="0"/>
              <w:bottom w:val="single" w:color="auto"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w:t>
            </w:r>
            <w:r>
              <w:rPr>
                <w:rFonts w:ascii="宋体" w:hAnsi="宋体" w:cs="宋体"/>
                <w:kern w:val="0"/>
                <w:sz w:val="20"/>
              </w:rPr>
              <w:t>1</w:t>
            </w:r>
            <w:r>
              <w:rPr>
                <w:rFonts w:hint="eastAsia" w:ascii="宋体" w:hAnsi="宋体" w:cs="宋体"/>
                <w:kern w:val="0"/>
                <w:sz w:val="20"/>
              </w:rPr>
              <w:t>）通用条款第</w:t>
            </w:r>
            <w:r>
              <w:rPr>
                <w:rFonts w:ascii="宋体" w:hAnsi="宋体" w:cs="宋体"/>
                <w:kern w:val="0"/>
                <w:sz w:val="20"/>
              </w:rPr>
              <w:t>1</w:t>
            </w:r>
            <w:r>
              <w:rPr>
                <w:rFonts w:hint="eastAsia" w:ascii="宋体" w:hAnsi="宋体" w:cs="宋体"/>
                <w:kern w:val="0"/>
                <w:sz w:val="20"/>
              </w:rPr>
              <w:t>种方式：由承包人单独招标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5" w:type="dxa"/>
            <w:gridSpan w:val="2"/>
            <w:vMerge w:val="continue"/>
            <w:tcBorders>
              <w:top w:val="nil"/>
              <w:bottom w:val="nil"/>
              <w:right w:val="single" w:color="auto" w:sz="4" w:space="0"/>
            </w:tcBorders>
            <w:vAlign w:val="center"/>
          </w:tcPr>
          <w:p>
            <w:pPr>
              <w:widowControl/>
              <w:jc w:val="left"/>
              <w:rPr>
                <w:rFonts w:ascii="宋体" w:cs="宋体"/>
                <w:sz w:val="20"/>
              </w:rPr>
            </w:pPr>
          </w:p>
        </w:tc>
        <w:tc>
          <w:tcPr>
            <w:tcW w:w="2535" w:type="dxa"/>
            <w:gridSpan w:val="2"/>
            <w:vMerge w:val="continue"/>
            <w:tcBorders>
              <w:top w:val="single" w:color="auto" w:sz="4" w:space="0"/>
              <w:left w:val="single" w:color="auto" w:sz="4" w:space="0"/>
              <w:bottom w:val="single" w:color="auto" w:sz="4" w:space="0"/>
              <w:right w:val="nil"/>
            </w:tcBorders>
            <w:vAlign w:val="center"/>
          </w:tcPr>
          <w:p>
            <w:pPr>
              <w:widowControl/>
              <w:jc w:val="left"/>
              <w:rPr>
                <w:rFonts w:ascii="宋体" w:cs="宋体"/>
                <w:kern w:val="0"/>
                <w:sz w:val="20"/>
              </w:rPr>
            </w:pPr>
          </w:p>
        </w:tc>
        <w:tc>
          <w:tcPr>
            <w:tcW w:w="6615" w:type="dxa"/>
            <w:tcBorders>
              <w:top w:val="single" w:color="auto" w:sz="4" w:space="0"/>
              <w:left w:val="single" w:color="auto" w:sz="4" w:space="0"/>
              <w:bottom w:val="single" w:color="auto"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w:t>
            </w:r>
            <w:r>
              <w:rPr>
                <w:rFonts w:ascii="宋体" w:hAnsi="宋体" w:cs="宋体"/>
                <w:kern w:val="0"/>
                <w:sz w:val="20"/>
              </w:rPr>
              <w:t>2</w:t>
            </w:r>
            <w:r>
              <w:rPr>
                <w:rFonts w:hint="eastAsia" w:ascii="宋体" w:hAnsi="宋体" w:cs="宋体"/>
                <w:kern w:val="0"/>
                <w:sz w:val="20"/>
              </w:rPr>
              <w:t>）通用条款第</w:t>
            </w:r>
            <w:r>
              <w:rPr>
                <w:rFonts w:ascii="宋体" w:hAnsi="宋体" w:cs="宋体"/>
                <w:kern w:val="0"/>
                <w:sz w:val="20"/>
              </w:rPr>
              <w:t>2</w:t>
            </w:r>
            <w:r>
              <w:rPr>
                <w:rFonts w:hint="eastAsia" w:ascii="宋体" w:hAnsi="宋体" w:cs="宋体"/>
                <w:kern w:val="0"/>
                <w:sz w:val="20"/>
              </w:rPr>
              <w:t>种方式：由发包人和承包人共同招标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5" w:type="dxa"/>
            <w:gridSpan w:val="2"/>
            <w:vMerge w:val="restart"/>
            <w:tcBorders>
              <w:top w:val="single" w:color="auto" w:sz="4" w:space="0"/>
              <w:bottom w:val="nil"/>
              <w:right w:val="single" w:color="auto" w:sz="4" w:space="0"/>
            </w:tcBorders>
            <w:tcMar>
              <w:top w:w="15" w:type="dxa"/>
              <w:left w:w="15" w:type="dxa"/>
              <w:bottom w:w="15" w:type="dxa"/>
              <w:right w:w="15" w:type="dxa"/>
            </w:tcMar>
            <w:vAlign w:val="center"/>
          </w:tcPr>
          <w:p>
            <w:pPr>
              <w:widowControl/>
              <w:adjustRightInd w:val="0"/>
              <w:snapToGrid w:val="0"/>
              <w:jc w:val="center"/>
              <w:textAlignment w:val="center"/>
              <w:rPr>
                <w:rFonts w:ascii="宋体" w:cs="宋体"/>
                <w:sz w:val="20"/>
              </w:rPr>
            </w:pPr>
            <w:r>
              <w:rPr>
                <w:rFonts w:ascii="宋体" w:hAnsi="宋体" w:cs="宋体"/>
                <w:kern w:val="0"/>
                <w:sz w:val="20"/>
              </w:rPr>
              <w:t>10.7.2</w:t>
            </w:r>
          </w:p>
        </w:tc>
        <w:tc>
          <w:tcPr>
            <w:tcW w:w="2535" w:type="dxa"/>
            <w:gridSpan w:val="2"/>
            <w:vMerge w:val="restart"/>
            <w:tcBorders>
              <w:top w:val="single" w:color="auto" w:sz="4" w:space="0"/>
              <w:left w:val="single" w:color="auto" w:sz="4" w:space="0"/>
              <w:bottom w:val="nil"/>
              <w:right w:val="nil"/>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对于不属于依法必须招标的暂估价项目的确认和批准采取第</w:t>
            </w:r>
            <w:r>
              <w:rPr>
                <w:rFonts w:hint="eastAsia" w:ascii="宋体" w:hAnsi="宋体" w:cs="宋体"/>
                <w:b/>
                <w:bCs/>
                <w:kern w:val="0"/>
                <w:sz w:val="20"/>
                <w:u w:val="single"/>
              </w:rPr>
              <w:t>（2）</w:t>
            </w:r>
            <w:r>
              <w:rPr>
                <w:rFonts w:ascii="宋体" w:hAnsi="宋体" w:cs="宋体"/>
                <w:kern w:val="0"/>
                <w:sz w:val="20"/>
              </w:rPr>
              <w:t>_</w:t>
            </w:r>
            <w:r>
              <w:rPr>
                <w:rFonts w:hint="eastAsia" w:ascii="宋体" w:hAnsi="宋体" w:cs="宋体"/>
                <w:kern w:val="0"/>
                <w:sz w:val="20"/>
              </w:rPr>
              <w:t>种方式确定</w:t>
            </w:r>
          </w:p>
        </w:tc>
        <w:tc>
          <w:tcPr>
            <w:tcW w:w="6615" w:type="dxa"/>
            <w:tcBorders>
              <w:top w:val="single" w:color="auto" w:sz="4" w:space="0"/>
              <w:left w:val="single" w:color="auto" w:sz="4" w:space="0"/>
              <w:bottom w:val="single" w:color="auto"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w:t>
            </w:r>
            <w:r>
              <w:rPr>
                <w:rFonts w:ascii="宋体" w:hAnsi="宋体" w:cs="宋体"/>
                <w:kern w:val="0"/>
                <w:sz w:val="20"/>
              </w:rPr>
              <w:t>1</w:t>
            </w:r>
            <w:r>
              <w:rPr>
                <w:rFonts w:hint="eastAsia" w:ascii="宋体" w:hAnsi="宋体" w:cs="宋体"/>
                <w:kern w:val="0"/>
                <w:sz w:val="20"/>
              </w:rPr>
              <w:t>）通用条款第</w:t>
            </w:r>
            <w:r>
              <w:rPr>
                <w:rFonts w:ascii="宋体" w:hAnsi="宋体" w:cs="宋体"/>
                <w:kern w:val="0"/>
                <w:sz w:val="20"/>
              </w:rPr>
              <w:t>1</w:t>
            </w:r>
            <w:r>
              <w:rPr>
                <w:rFonts w:hint="eastAsia" w:ascii="宋体" w:hAnsi="宋体" w:cs="宋体"/>
                <w:kern w:val="0"/>
                <w:sz w:val="20"/>
              </w:rPr>
              <w:t>种方式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5" w:type="dxa"/>
            <w:gridSpan w:val="2"/>
            <w:vMerge w:val="continue"/>
            <w:tcBorders>
              <w:top w:val="single" w:color="auto" w:sz="4" w:space="0"/>
              <w:bottom w:val="nil"/>
              <w:right w:val="single" w:color="auto" w:sz="4" w:space="0"/>
            </w:tcBorders>
            <w:vAlign w:val="center"/>
          </w:tcPr>
          <w:p>
            <w:pPr>
              <w:widowControl/>
              <w:jc w:val="left"/>
              <w:rPr>
                <w:rFonts w:ascii="宋体" w:cs="宋体"/>
                <w:sz w:val="20"/>
              </w:rPr>
            </w:pPr>
          </w:p>
        </w:tc>
        <w:tc>
          <w:tcPr>
            <w:tcW w:w="2535" w:type="dxa"/>
            <w:gridSpan w:val="2"/>
            <w:vMerge w:val="continue"/>
            <w:tcBorders>
              <w:top w:val="single" w:color="auto" w:sz="4" w:space="0"/>
              <w:left w:val="single" w:color="auto" w:sz="4" w:space="0"/>
              <w:bottom w:val="nil"/>
              <w:right w:val="nil"/>
            </w:tcBorders>
            <w:vAlign w:val="center"/>
          </w:tcPr>
          <w:p>
            <w:pPr>
              <w:widowControl/>
              <w:jc w:val="left"/>
              <w:rPr>
                <w:rFonts w:ascii="宋体" w:cs="宋体"/>
                <w:kern w:val="0"/>
                <w:sz w:val="20"/>
              </w:rPr>
            </w:pPr>
          </w:p>
        </w:tc>
        <w:tc>
          <w:tcPr>
            <w:tcW w:w="6615" w:type="dxa"/>
            <w:tcBorders>
              <w:top w:val="single" w:color="auto" w:sz="4" w:space="0"/>
              <w:left w:val="single" w:color="auto" w:sz="4" w:space="0"/>
              <w:bottom w:val="single" w:color="auto"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w:t>
            </w:r>
            <w:r>
              <w:rPr>
                <w:rFonts w:ascii="宋体" w:hAnsi="宋体" w:cs="宋体"/>
                <w:kern w:val="0"/>
                <w:sz w:val="20"/>
              </w:rPr>
              <w:t>2</w:t>
            </w:r>
            <w:r>
              <w:rPr>
                <w:rFonts w:hint="eastAsia" w:ascii="宋体" w:hAnsi="宋体" w:cs="宋体"/>
                <w:kern w:val="0"/>
                <w:sz w:val="20"/>
              </w:rPr>
              <w:t>）通用条款第</w:t>
            </w:r>
            <w:r>
              <w:rPr>
                <w:rFonts w:ascii="宋体" w:hAnsi="宋体" w:cs="宋体"/>
                <w:kern w:val="0"/>
                <w:sz w:val="20"/>
              </w:rPr>
              <w:t>2</w:t>
            </w:r>
            <w:r>
              <w:rPr>
                <w:rFonts w:hint="eastAsia" w:ascii="宋体" w:hAnsi="宋体" w:cs="宋体"/>
                <w:kern w:val="0"/>
                <w:sz w:val="20"/>
              </w:rPr>
              <w:t>种方式：承包人按照第</w:t>
            </w:r>
            <w:r>
              <w:rPr>
                <w:rFonts w:ascii="宋体" w:hAnsi="宋体" w:cs="宋体"/>
                <w:kern w:val="0"/>
                <w:sz w:val="20"/>
              </w:rPr>
              <w:t>10.7.1</w:t>
            </w:r>
            <w:r>
              <w:rPr>
                <w:rFonts w:hint="eastAsia" w:ascii="宋体" w:hAnsi="宋体" w:cs="宋体"/>
                <w:kern w:val="0"/>
                <w:sz w:val="20"/>
              </w:rPr>
              <w:t>项</w:t>
            </w:r>
            <w:r>
              <w:rPr>
                <w:rFonts w:ascii="宋体" w:hAnsi="宋体" w:cs="宋体"/>
                <w:kern w:val="0"/>
                <w:sz w:val="20"/>
              </w:rPr>
              <w:t>[</w:t>
            </w:r>
            <w:r>
              <w:rPr>
                <w:rFonts w:hint="eastAsia" w:ascii="宋体" w:hAnsi="宋体" w:cs="宋体"/>
                <w:kern w:val="0"/>
                <w:sz w:val="20"/>
              </w:rPr>
              <w:t>依法必须招标的暂估价项目</w:t>
            </w:r>
            <w:r>
              <w:rPr>
                <w:rFonts w:ascii="宋体" w:hAnsi="宋体" w:cs="宋体"/>
                <w:kern w:val="0"/>
                <w:sz w:val="20"/>
              </w:rPr>
              <w:t>]</w:t>
            </w:r>
            <w:r>
              <w:rPr>
                <w:rFonts w:hint="eastAsia" w:ascii="宋体" w:hAnsi="宋体" w:cs="宋体"/>
                <w:kern w:val="0"/>
                <w:sz w:val="20"/>
              </w:rPr>
              <w:t>约定的第</w:t>
            </w:r>
            <w:r>
              <w:rPr>
                <w:rFonts w:ascii="宋体" w:hAnsi="宋体" w:cs="宋体"/>
                <w:kern w:val="0"/>
                <w:sz w:val="20"/>
              </w:rPr>
              <w:t>1</w:t>
            </w:r>
            <w:r>
              <w:rPr>
                <w:rFonts w:hint="eastAsia" w:ascii="宋体" w:hAnsi="宋体" w:cs="宋体"/>
                <w:kern w:val="0"/>
                <w:sz w:val="20"/>
              </w:rPr>
              <w:t>种方式确定暂估价项目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735" w:type="dxa"/>
            <w:gridSpan w:val="2"/>
            <w:vMerge w:val="continue"/>
            <w:tcBorders>
              <w:top w:val="single" w:color="auto" w:sz="4" w:space="0"/>
              <w:bottom w:val="nil"/>
              <w:right w:val="single" w:color="auto" w:sz="4" w:space="0"/>
            </w:tcBorders>
            <w:vAlign w:val="center"/>
          </w:tcPr>
          <w:p>
            <w:pPr>
              <w:widowControl/>
              <w:jc w:val="left"/>
              <w:rPr>
                <w:rFonts w:ascii="宋体" w:cs="宋体"/>
                <w:sz w:val="20"/>
              </w:rPr>
            </w:pPr>
          </w:p>
        </w:tc>
        <w:tc>
          <w:tcPr>
            <w:tcW w:w="2535" w:type="dxa"/>
            <w:gridSpan w:val="2"/>
            <w:vMerge w:val="continue"/>
            <w:tcBorders>
              <w:top w:val="single" w:color="auto" w:sz="4" w:space="0"/>
              <w:left w:val="single" w:color="auto" w:sz="4" w:space="0"/>
              <w:bottom w:val="nil"/>
              <w:right w:val="nil"/>
            </w:tcBorders>
            <w:vAlign w:val="center"/>
          </w:tcPr>
          <w:p>
            <w:pPr>
              <w:widowControl/>
              <w:jc w:val="left"/>
              <w:rPr>
                <w:rFonts w:ascii="宋体" w:cs="宋体"/>
                <w:kern w:val="0"/>
                <w:sz w:val="20"/>
              </w:rPr>
            </w:pPr>
          </w:p>
        </w:tc>
        <w:tc>
          <w:tcPr>
            <w:tcW w:w="6615" w:type="dxa"/>
            <w:tcBorders>
              <w:top w:val="single" w:color="auto" w:sz="4" w:space="0"/>
              <w:left w:val="single" w:color="auto" w:sz="4" w:space="0"/>
              <w:bottom w:val="single" w:color="auto"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w:t>
            </w:r>
            <w:r>
              <w:rPr>
                <w:rFonts w:ascii="宋体" w:hAnsi="宋体" w:cs="宋体"/>
                <w:kern w:val="0"/>
                <w:sz w:val="20"/>
              </w:rPr>
              <w:t>3</w:t>
            </w:r>
            <w:r>
              <w:rPr>
                <w:rFonts w:hint="eastAsia" w:ascii="宋体" w:hAnsi="宋体" w:cs="宋体"/>
                <w:kern w:val="0"/>
                <w:sz w:val="20"/>
              </w:rPr>
              <w:t>）通用条款第</w:t>
            </w:r>
            <w:r>
              <w:rPr>
                <w:rFonts w:ascii="宋体" w:hAnsi="宋体" w:cs="宋体"/>
                <w:kern w:val="0"/>
                <w:sz w:val="20"/>
              </w:rPr>
              <w:t>3</w:t>
            </w:r>
            <w:r>
              <w:rPr>
                <w:rFonts w:hint="eastAsia" w:ascii="宋体" w:hAnsi="宋体" w:cs="宋体"/>
                <w:kern w:val="0"/>
                <w:sz w:val="20"/>
              </w:rPr>
              <w:t>种方式：承包人直接实施的暂估价项目</w:t>
            </w:r>
            <w:r>
              <w:rPr>
                <w:rFonts w:ascii="宋体" w:hAnsi="宋体" w:cs="宋体"/>
                <w:kern w:val="0"/>
                <w:sz w:val="20"/>
              </w:rPr>
              <w:t>:</w:t>
            </w:r>
            <w:r>
              <w:rPr>
                <w:rFonts w:hint="eastAsia" w:asciiTheme="minorEastAsia" w:hAnsiTheme="minorEastAsia" w:eastAsiaTheme="minorEastAsia"/>
                <w:u w:val="single"/>
              </w:rPr>
              <w:t xml:space="preserve">  /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885" w:type="dxa"/>
            <w:gridSpan w:val="5"/>
            <w:tcBorders>
              <w:top w:val="single" w:color="auto" w:sz="4" w:space="0"/>
              <w:bottom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黑体" w:hAnsi="宋体" w:eastAsia="黑体" w:cs="黑体"/>
                <w:kern w:val="0"/>
                <w:sz w:val="24"/>
              </w:rPr>
            </w:pPr>
            <w:r>
              <w:rPr>
                <w:rFonts w:ascii="黑体" w:hAnsi="宋体" w:eastAsia="黑体" w:cs="黑体"/>
                <w:kern w:val="0"/>
                <w:sz w:val="24"/>
              </w:rPr>
              <w:t>11.1</w:t>
            </w:r>
            <w:r>
              <w:rPr>
                <w:rFonts w:hint="eastAsia" w:ascii="黑体" w:hAnsi="宋体" w:eastAsia="黑体" w:cs="黑体"/>
                <w:kern w:val="0"/>
                <w:sz w:val="24"/>
              </w:rPr>
              <w:t>市场价格波动引起的调整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270" w:type="dxa"/>
            <w:gridSpan w:val="4"/>
            <w:vMerge w:val="restart"/>
            <w:tcBorders>
              <w:top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市场价格波动是否调整合同价格的约定：</w:t>
            </w:r>
          </w:p>
        </w:tc>
        <w:tc>
          <w:tcPr>
            <w:tcW w:w="6615" w:type="dxa"/>
            <w:tcBorders>
              <w:top w:val="single" w:color="000000" w:sz="4" w:space="0"/>
              <w:left w:val="single" w:color="000000" w:sz="4" w:space="0"/>
              <w:bottom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MS Mincho" w:hAnsi="MS Mincho" w:cs="MS Mincho"/>
                <w:szCs w:val="21"/>
              </w:rPr>
              <w:t>□</w:t>
            </w:r>
            <w:r>
              <w:rPr>
                <w:rFonts w:hint="eastAsia" w:ascii="宋体" w:hAnsi="宋体" w:cs="宋体"/>
                <w:kern w:val="0"/>
                <w:sz w:val="20"/>
              </w:rPr>
              <w:t>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270" w:type="dxa"/>
            <w:gridSpan w:val="4"/>
            <w:vMerge w:val="continue"/>
            <w:tcBorders>
              <w:top w:val="single" w:color="000000" w:sz="4" w:space="0"/>
              <w:bottom w:val="single" w:color="000000" w:sz="4" w:space="0"/>
              <w:right w:val="single" w:color="000000" w:sz="4" w:space="0"/>
            </w:tcBorders>
            <w:vAlign w:val="center"/>
          </w:tcPr>
          <w:p>
            <w:pPr>
              <w:widowControl/>
              <w:jc w:val="left"/>
              <w:rPr>
                <w:rFonts w:ascii="宋体" w:cs="宋体"/>
                <w:kern w:val="0"/>
                <w:sz w:val="20"/>
              </w:rPr>
            </w:pPr>
          </w:p>
        </w:tc>
        <w:tc>
          <w:tcPr>
            <w:tcW w:w="6615" w:type="dxa"/>
            <w:tcBorders>
              <w:top w:val="single" w:color="000000" w:sz="4" w:space="0"/>
              <w:left w:val="single" w:color="000000" w:sz="4" w:space="0"/>
              <w:bottom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MS Mincho" w:hAnsi="MS Mincho" w:cs="MS Mincho"/>
                <w:szCs w:val="21"/>
              </w:rPr>
              <w:sym w:font="Wingdings 2" w:char="0052"/>
            </w:r>
            <w:r>
              <w:rPr>
                <w:rFonts w:hint="eastAsia" w:ascii="宋体" w:hAnsi="宋体" w:cs="宋体"/>
                <w:kern w:val="0"/>
                <w:sz w:val="20"/>
              </w:rPr>
              <w:t>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885" w:type="dxa"/>
            <w:gridSpan w:val="5"/>
            <w:tcBorders>
              <w:top w:val="single" w:color="000000" w:sz="4" w:space="0"/>
              <w:bottom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因市场价格波动调整合同价格，采用以下方式对合同价格进行调整：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3" w:hRule="atLeast"/>
        </w:trPr>
        <w:tc>
          <w:tcPr>
            <w:tcW w:w="3270" w:type="dxa"/>
            <w:gridSpan w:val="4"/>
            <w:vMerge w:val="restart"/>
            <w:tcBorders>
              <w:top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w:t>
            </w:r>
            <w:r>
              <w:rPr>
                <w:rFonts w:ascii="宋体" w:hAnsi="宋体" w:cs="宋体"/>
                <w:kern w:val="0"/>
                <w:sz w:val="20"/>
              </w:rPr>
              <w:t>1</w:t>
            </w:r>
            <w:r>
              <w:rPr>
                <w:rFonts w:hint="eastAsia" w:ascii="宋体" w:hAnsi="宋体" w:cs="宋体"/>
                <w:kern w:val="0"/>
                <w:sz w:val="20"/>
              </w:rPr>
              <w:t>）人工单价</w:t>
            </w:r>
          </w:p>
        </w:tc>
        <w:tc>
          <w:tcPr>
            <w:tcW w:w="6615" w:type="dxa"/>
            <w:tcBorders>
              <w:top w:val="single" w:color="000000" w:sz="4" w:space="0"/>
              <w:left w:val="single" w:color="000000" w:sz="4" w:space="0"/>
              <w:bottom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270" w:type="dxa"/>
            <w:gridSpan w:val="4"/>
            <w:vMerge w:val="continue"/>
            <w:tcBorders>
              <w:top w:val="single" w:color="000000" w:sz="4" w:space="0"/>
              <w:bottom w:val="single" w:color="000000" w:sz="4" w:space="0"/>
              <w:right w:val="single" w:color="000000" w:sz="4" w:space="0"/>
            </w:tcBorders>
            <w:vAlign w:val="center"/>
          </w:tcPr>
          <w:p>
            <w:pPr>
              <w:widowControl/>
              <w:jc w:val="left"/>
              <w:rPr>
                <w:rFonts w:ascii="宋体" w:cs="宋体"/>
                <w:kern w:val="0"/>
                <w:sz w:val="20"/>
              </w:rPr>
            </w:pPr>
          </w:p>
        </w:tc>
        <w:tc>
          <w:tcPr>
            <w:tcW w:w="6615" w:type="dxa"/>
            <w:tcBorders>
              <w:top w:val="single" w:color="000000" w:sz="4" w:space="0"/>
              <w:left w:val="single" w:color="000000" w:sz="4" w:space="0"/>
              <w:bottom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MS Mincho" w:hAnsi="MS Mincho" w:cs="MS Mincho"/>
                <w:szCs w:val="21"/>
              </w:rPr>
              <w:sym w:font="Wingdings 2" w:char="0052"/>
            </w:r>
            <w:r>
              <w:rPr>
                <w:rFonts w:hint="eastAsia" w:ascii="宋体" w:hAnsi="宋体" w:cs="宋体"/>
                <w:kern w:val="0"/>
                <w:sz w:val="20"/>
              </w:rPr>
              <w:t>其它：</w:t>
            </w:r>
            <w:r>
              <w:rPr>
                <w:rFonts w:hint="eastAsia" w:asciiTheme="minorEastAsia" w:hAnsiTheme="minorEastAsia" w:eastAsiaTheme="minorEastAsia"/>
                <w:u w:val="single"/>
              </w:rPr>
              <w:t xml:space="preserve">  /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4" w:hRule="atLeast"/>
        </w:trPr>
        <w:tc>
          <w:tcPr>
            <w:tcW w:w="3270" w:type="dxa"/>
            <w:gridSpan w:val="4"/>
            <w:vMerge w:val="restart"/>
            <w:tcBorders>
              <w:top w:val="single" w:color="000000" w:sz="4" w:space="0"/>
              <w:bottom w:val="nil"/>
              <w:right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w:t>
            </w:r>
            <w:r>
              <w:rPr>
                <w:rFonts w:ascii="宋体" w:hAnsi="宋体" w:cs="宋体"/>
                <w:kern w:val="0"/>
                <w:sz w:val="20"/>
              </w:rPr>
              <w:t>2</w:t>
            </w:r>
            <w:r>
              <w:rPr>
                <w:rFonts w:hint="eastAsia" w:ascii="宋体" w:hAnsi="宋体" w:cs="宋体"/>
                <w:kern w:val="0"/>
                <w:sz w:val="20"/>
              </w:rPr>
              <w:t>）材料、工程设备价格</w:t>
            </w:r>
          </w:p>
        </w:tc>
        <w:tc>
          <w:tcPr>
            <w:tcW w:w="6615" w:type="dxa"/>
            <w:tcBorders>
              <w:top w:val="single" w:color="000000" w:sz="4" w:space="0"/>
              <w:left w:val="single" w:color="000000" w:sz="4" w:space="0"/>
              <w:bottom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□按泰建价〔</w:t>
            </w:r>
            <w:r>
              <w:rPr>
                <w:rFonts w:ascii="宋体" w:hAnsi="宋体" w:cs="宋体"/>
                <w:kern w:val="0"/>
                <w:sz w:val="20"/>
              </w:rPr>
              <w:t>2008</w:t>
            </w:r>
            <w:r>
              <w:rPr>
                <w:rFonts w:hint="eastAsia" w:ascii="宋体" w:hAnsi="宋体" w:cs="宋体"/>
                <w:kern w:val="0"/>
                <w:sz w:val="20"/>
              </w:rPr>
              <w:t>〕</w:t>
            </w:r>
            <w:r>
              <w:rPr>
                <w:rFonts w:ascii="宋体" w:hAnsi="宋体" w:cs="宋体"/>
                <w:kern w:val="0"/>
                <w:sz w:val="20"/>
              </w:rPr>
              <w:t>2</w:t>
            </w:r>
            <w:r>
              <w:rPr>
                <w:rFonts w:hint="eastAsia" w:ascii="宋体" w:hAnsi="宋体" w:cs="宋体"/>
                <w:kern w:val="0"/>
                <w:sz w:val="20"/>
              </w:rPr>
              <w:t>号《关于转发江苏省建设厅</w:t>
            </w:r>
            <w:r>
              <w:rPr>
                <w:rFonts w:ascii="宋体" w:hAnsi="宋体" w:cs="宋体"/>
                <w:kern w:val="0"/>
                <w:sz w:val="20"/>
              </w:rPr>
              <w:t>&lt;</w:t>
            </w:r>
            <w:r>
              <w:rPr>
                <w:rFonts w:hint="eastAsia" w:ascii="宋体" w:hAnsi="宋体" w:cs="宋体"/>
                <w:kern w:val="0"/>
                <w:sz w:val="20"/>
              </w:rPr>
              <w:t>关于加强建筑材料价格风险控制的指导意见</w:t>
            </w:r>
            <w:r>
              <w:rPr>
                <w:rFonts w:ascii="宋体" w:hAnsi="宋体" w:cs="宋体"/>
                <w:kern w:val="0"/>
                <w:sz w:val="20"/>
              </w:rPr>
              <w:t>&gt;</w:t>
            </w:r>
            <w:r>
              <w:rPr>
                <w:rFonts w:hint="eastAsia" w:ascii="宋体" w:hAnsi="宋体" w:cs="宋体"/>
                <w:kern w:val="0"/>
                <w:sz w:val="20"/>
              </w:rPr>
              <w:t>的通知》调整工程价款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270" w:type="dxa"/>
            <w:gridSpan w:val="4"/>
            <w:vMerge w:val="continue"/>
            <w:tcBorders>
              <w:top w:val="single" w:color="000000" w:sz="4" w:space="0"/>
              <w:bottom w:val="nil"/>
              <w:right w:val="single" w:color="000000" w:sz="4" w:space="0"/>
            </w:tcBorders>
            <w:vAlign w:val="center"/>
          </w:tcPr>
          <w:p>
            <w:pPr>
              <w:widowControl/>
              <w:jc w:val="left"/>
              <w:rPr>
                <w:rFonts w:ascii="宋体" w:cs="宋体"/>
                <w:kern w:val="0"/>
                <w:sz w:val="20"/>
              </w:rPr>
            </w:pPr>
          </w:p>
        </w:tc>
        <w:tc>
          <w:tcPr>
            <w:tcW w:w="6615" w:type="dxa"/>
            <w:tcBorders>
              <w:top w:val="single" w:color="000000" w:sz="4" w:space="0"/>
              <w:left w:val="single" w:color="000000" w:sz="4" w:space="0"/>
              <w:bottom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MS Mincho" w:hAnsi="MS Mincho" w:cs="MS Mincho"/>
                <w:szCs w:val="21"/>
              </w:rPr>
              <w:sym w:font="Wingdings 2" w:char="0052"/>
            </w:r>
            <w:r>
              <w:rPr>
                <w:rFonts w:hint="eastAsia" w:ascii="宋体" w:hAnsi="宋体" w:cs="宋体"/>
                <w:kern w:val="0"/>
                <w:sz w:val="20"/>
              </w:rPr>
              <w:t>其它：</w:t>
            </w:r>
            <w:r>
              <w:rPr>
                <w:rFonts w:hint="eastAsia" w:asciiTheme="minorEastAsia" w:hAnsiTheme="minorEastAsia" w:eastAsiaTheme="minorEastAsia"/>
                <w:u w:val="single"/>
              </w:rPr>
              <w:t xml:space="preserve">  /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3270" w:type="dxa"/>
            <w:gridSpan w:val="4"/>
            <w:vMerge w:val="restart"/>
            <w:tcBorders>
              <w:top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w:t>
            </w:r>
            <w:r>
              <w:rPr>
                <w:rFonts w:ascii="宋体" w:hAnsi="宋体" w:cs="宋体"/>
                <w:kern w:val="0"/>
                <w:sz w:val="20"/>
              </w:rPr>
              <w:t>3</w:t>
            </w:r>
            <w:r>
              <w:rPr>
                <w:rFonts w:hint="eastAsia" w:ascii="宋体" w:hAnsi="宋体" w:cs="宋体"/>
                <w:kern w:val="0"/>
                <w:sz w:val="20"/>
              </w:rPr>
              <w:t>）施工机械台班单价或施工机械使用费</w:t>
            </w:r>
          </w:p>
        </w:tc>
        <w:tc>
          <w:tcPr>
            <w:tcW w:w="6615" w:type="dxa"/>
            <w:tcBorders>
              <w:top w:val="single" w:color="000000" w:sz="4" w:space="0"/>
              <w:left w:val="single" w:color="000000" w:sz="4" w:space="0"/>
              <w:bottom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□施工机械台班单价或施工机械使用费发生变化超过省级或行业建设主管部门或其授权的工程造价管理机构规定的范围时，按规定调整合同价格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7" w:hRule="atLeast"/>
        </w:trPr>
        <w:tc>
          <w:tcPr>
            <w:tcW w:w="3270" w:type="dxa"/>
            <w:gridSpan w:val="4"/>
            <w:vMerge w:val="continue"/>
            <w:tcBorders>
              <w:top w:val="single" w:color="000000" w:sz="4" w:space="0"/>
              <w:bottom w:val="single" w:color="000000" w:sz="4" w:space="0"/>
              <w:right w:val="single" w:color="000000" w:sz="4" w:space="0"/>
            </w:tcBorders>
            <w:vAlign w:val="center"/>
          </w:tcPr>
          <w:p>
            <w:pPr>
              <w:widowControl/>
              <w:jc w:val="left"/>
              <w:rPr>
                <w:rFonts w:ascii="宋体" w:cs="宋体"/>
                <w:kern w:val="0"/>
                <w:sz w:val="20"/>
              </w:rPr>
            </w:pPr>
          </w:p>
        </w:tc>
        <w:tc>
          <w:tcPr>
            <w:tcW w:w="6615" w:type="dxa"/>
            <w:tcBorders>
              <w:top w:val="single" w:color="000000" w:sz="4" w:space="0"/>
              <w:left w:val="single" w:color="000000" w:sz="4" w:space="0"/>
              <w:bottom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MS Mincho" w:hAnsi="MS Mincho" w:cs="MS Mincho"/>
                <w:szCs w:val="21"/>
              </w:rPr>
              <w:sym w:font="Wingdings 2" w:char="0052"/>
            </w:r>
            <w:r>
              <w:rPr>
                <w:rFonts w:hint="eastAsia" w:ascii="宋体" w:hAnsi="宋体" w:cs="宋体"/>
                <w:kern w:val="0"/>
                <w:sz w:val="20"/>
              </w:rPr>
              <w:t>其它：</w:t>
            </w:r>
            <w:r>
              <w:rPr>
                <w:rFonts w:hint="eastAsia" w:asciiTheme="minorEastAsia" w:hAnsiTheme="minorEastAsia" w:eastAsiaTheme="minorEastAsia"/>
                <w:u w:val="single"/>
              </w:rPr>
              <w:t xml:space="preserve">  /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885" w:type="dxa"/>
            <w:gridSpan w:val="5"/>
            <w:tcBorders>
              <w:top w:val="single" w:color="000000" w:sz="4" w:space="0"/>
              <w:bottom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黑体" w:hAnsi="宋体" w:eastAsia="黑体" w:cs="黑体"/>
                <w:kern w:val="0"/>
                <w:sz w:val="24"/>
              </w:rPr>
            </w:pPr>
            <w:r>
              <w:rPr>
                <w:rFonts w:ascii="黑体" w:hAnsi="宋体" w:eastAsia="黑体" w:cs="黑体"/>
                <w:kern w:val="0"/>
                <w:sz w:val="24"/>
              </w:rPr>
              <w:t>12.1</w:t>
            </w:r>
            <w:r>
              <w:rPr>
                <w:rFonts w:hint="eastAsia" w:ascii="黑体" w:hAnsi="宋体" w:eastAsia="黑体" w:cs="黑体"/>
                <w:kern w:val="0"/>
                <w:sz w:val="24"/>
              </w:rPr>
              <w:t>合同价格形式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885" w:type="dxa"/>
            <w:gridSpan w:val="5"/>
            <w:tcBorders>
              <w:top w:val="single" w:color="000000" w:sz="4" w:space="0"/>
              <w:bottom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黑体" w:hAnsi="宋体" w:eastAsia="黑体" w:cs="黑体"/>
                <w:kern w:val="0"/>
                <w:sz w:val="20"/>
              </w:rPr>
            </w:pPr>
            <w:r>
              <w:rPr>
                <w:rFonts w:ascii="黑体" w:hAnsi="宋体" w:eastAsia="黑体" w:cs="黑体"/>
                <w:kern w:val="0"/>
                <w:sz w:val="20"/>
              </w:rPr>
              <w:t>1.</w:t>
            </w:r>
            <w:r>
              <w:rPr>
                <w:rFonts w:hint="eastAsia" w:ascii="黑体" w:hAnsi="宋体" w:eastAsia="黑体" w:cs="黑体"/>
                <w:kern w:val="0"/>
                <w:sz w:val="20"/>
              </w:rPr>
              <w:t>单价合同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270" w:type="dxa"/>
            <w:gridSpan w:val="4"/>
            <w:vMerge w:val="restart"/>
            <w:tcBorders>
              <w:top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综合单价包含的风险范围</w:t>
            </w:r>
          </w:p>
        </w:tc>
        <w:tc>
          <w:tcPr>
            <w:tcW w:w="6615" w:type="dxa"/>
            <w:tcBorders>
              <w:top w:val="single" w:color="000000" w:sz="4" w:space="0"/>
              <w:left w:val="single" w:color="000000" w:sz="4" w:space="0"/>
              <w:bottom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MS Mincho" w:hAnsi="MS Mincho" w:cs="MS Mincho"/>
                <w:szCs w:val="21"/>
              </w:rPr>
              <w:sym w:font="Wingdings 2" w:char="00A3"/>
            </w:r>
            <w:r>
              <w:rPr>
                <w:rFonts w:hint="eastAsia" w:ascii="宋体" w:hAnsi="宋体" w:cs="宋体"/>
                <w:kern w:val="0"/>
                <w:sz w:val="20"/>
              </w:rPr>
              <w:t>除招标文件约定工程价款调整以外的全部风险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3" w:hRule="atLeast"/>
        </w:trPr>
        <w:tc>
          <w:tcPr>
            <w:tcW w:w="3270" w:type="dxa"/>
            <w:gridSpan w:val="4"/>
            <w:vMerge w:val="continue"/>
            <w:tcBorders>
              <w:top w:val="single" w:color="000000" w:sz="4" w:space="0"/>
              <w:bottom w:val="single" w:color="000000" w:sz="4" w:space="0"/>
              <w:right w:val="single" w:color="000000" w:sz="4" w:space="0"/>
            </w:tcBorders>
            <w:vAlign w:val="center"/>
          </w:tcPr>
          <w:p>
            <w:pPr>
              <w:widowControl/>
              <w:jc w:val="left"/>
              <w:rPr>
                <w:rFonts w:ascii="宋体" w:cs="宋体"/>
                <w:kern w:val="0"/>
                <w:sz w:val="20"/>
              </w:rPr>
            </w:pPr>
          </w:p>
        </w:tc>
        <w:tc>
          <w:tcPr>
            <w:tcW w:w="6615" w:type="dxa"/>
            <w:tcBorders>
              <w:top w:val="single" w:color="000000" w:sz="4" w:space="0"/>
              <w:left w:val="single" w:color="000000" w:sz="4" w:space="0"/>
              <w:bottom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sym w:font="Wingdings 2" w:char="0052"/>
            </w:r>
            <w:r>
              <w:rPr>
                <w:rFonts w:hint="eastAsia" w:ascii="宋体" w:hAnsi="宋体" w:cs="宋体"/>
                <w:kern w:val="0"/>
                <w:sz w:val="20"/>
              </w:rPr>
              <w:t>其它范围：</w:t>
            </w:r>
            <w:r>
              <w:rPr>
                <w:rFonts w:hint="eastAsia" w:asciiTheme="minorEastAsia" w:hAnsiTheme="minorEastAsia" w:eastAsiaTheme="minorEastAsia"/>
                <w:u w:val="single"/>
              </w:rPr>
              <w:t xml:space="preserve">  /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270" w:type="dxa"/>
            <w:gridSpan w:val="4"/>
            <w:vMerge w:val="restart"/>
            <w:tcBorders>
              <w:top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风险费用的计算方法</w:t>
            </w:r>
          </w:p>
        </w:tc>
        <w:tc>
          <w:tcPr>
            <w:tcW w:w="6615" w:type="dxa"/>
            <w:tcBorders>
              <w:top w:val="single" w:color="000000" w:sz="4" w:space="0"/>
              <w:left w:val="single" w:color="000000" w:sz="4" w:space="0"/>
              <w:bottom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MS Mincho" w:hAnsi="MS Mincho" w:cs="MS Mincho"/>
                <w:szCs w:val="21"/>
              </w:rPr>
              <w:t>□</w:t>
            </w:r>
            <w:r>
              <w:rPr>
                <w:rFonts w:hint="eastAsia" w:ascii="宋体" w:hAnsi="宋体" w:cs="宋体"/>
                <w:kern w:val="0"/>
                <w:sz w:val="20"/>
              </w:rPr>
              <w:t>按招标文件约定的工程价款调整条款执行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270" w:type="dxa"/>
            <w:gridSpan w:val="4"/>
            <w:vMerge w:val="continue"/>
            <w:tcBorders>
              <w:top w:val="single" w:color="000000" w:sz="4" w:space="0"/>
              <w:bottom w:val="single" w:color="000000" w:sz="4" w:space="0"/>
              <w:right w:val="single" w:color="000000" w:sz="4" w:space="0"/>
            </w:tcBorders>
            <w:vAlign w:val="center"/>
          </w:tcPr>
          <w:p>
            <w:pPr>
              <w:widowControl/>
              <w:jc w:val="left"/>
              <w:rPr>
                <w:rFonts w:ascii="宋体" w:cs="宋体"/>
                <w:kern w:val="0"/>
                <w:sz w:val="20"/>
              </w:rPr>
            </w:pPr>
          </w:p>
        </w:tc>
        <w:tc>
          <w:tcPr>
            <w:tcW w:w="6615" w:type="dxa"/>
            <w:tcBorders>
              <w:top w:val="single" w:color="000000" w:sz="4" w:space="0"/>
              <w:left w:val="single" w:color="000000" w:sz="4" w:space="0"/>
              <w:bottom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sym w:font="Wingdings 2" w:char="0052"/>
            </w:r>
            <w:r>
              <w:rPr>
                <w:rFonts w:hint="eastAsia" w:ascii="宋体" w:hAnsi="宋体" w:cs="宋体"/>
                <w:kern w:val="0"/>
                <w:sz w:val="20"/>
              </w:rPr>
              <w:t>其它方法：</w:t>
            </w:r>
            <w:r>
              <w:rPr>
                <w:rFonts w:hint="eastAsia" w:asciiTheme="minorEastAsia" w:hAnsiTheme="minorEastAsia" w:eastAsiaTheme="minorEastAsia"/>
                <w:u w:val="single"/>
              </w:rPr>
              <w:t xml:space="preserve">  /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7" w:hRule="atLeast"/>
        </w:trPr>
        <w:tc>
          <w:tcPr>
            <w:tcW w:w="3270" w:type="dxa"/>
            <w:gridSpan w:val="4"/>
            <w:vMerge w:val="restart"/>
            <w:tcBorders>
              <w:top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风险范围以外合同价格的调整方法</w:t>
            </w:r>
          </w:p>
        </w:tc>
        <w:tc>
          <w:tcPr>
            <w:tcW w:w="6615" w:type="dxa"/>
            <w:tcBorders>
              <w:top w:val="single" w:color="000000" w:sz="4" w:space="0"/>
              <w:left w:val="single" w:color="000000" w:sz="4" w:space="0"/>
              <w:bottom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MS Mincho" w:hAnsi="MS Mincho" w:cs="MS Mincho"/>
                <w:szCs w:val="21"/>
              </w:rPr>
              <w:t>□</w:t>
            </w:r>
            <w:r>
              <w:rPr>
                <w:rFonts w:hint="eastAsia" w:ascii="宋体" w:hAnsi="宋体" w:cs="宋体"/>
                <w:kern w:val="0"/>
                <w:sz w:val="20"/>
              </w:rPr>
              <w:t>按招标文件约定的工程价款调整条款执行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2" w:hRule="atLeast"/>
        </w:trPr>
        <w:tc>
          <w:tcPr>
            <w:tcW w:w="3270" w:type="dxa"/>
            <w:gridSpan w:val="4"/>
            <w:vMerge w:val="continue"/>
            <w:tcBorders>
              <w:top w:val="single" w:color="000000" w:sz="4" w:space="0"/>
              <w:bottom w:val="single" w:color="000000" w:sz="4" w:space="0"/>
              <w:right w:val="single" w:color="000000" w:sz="4" w:space="0"/>
            </w:tcBorders>
            <w:vAlign w:val="center"/>
          </w:tcPr>
          <w:p>
            <w:pPr>
              <w:widowControl/>
              <w:jc w:val="left"/>
              <w:rPr>
                <w:rFonts w:ascii="宋体" w:cs="宋体"/>
                <w:kern w:val="0"/>
                <w:sz w:val="20"/>
              </w:rPr>
            </w:pPr>
          </w:p>
        </w:tc>
        <w:tc>
          <w:tcPr>
            <w:tcW w:w="6615" w:type="dxa"/>
            <w:tcBorders>
              <w:top w:val="single" w:color="000000" w:sz="4" w:space="0"/>
              <w:left w:val="single" w:color="000000" w:sz="4" w:space="0"/>
              <w:bottom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sym w:font="Wingdings 2" w:char="0052"/>
            </w:r>
            <w:r>
              <w:rPr>
                <w:rFonts w:hint="eastAsia" w:ascii="宋体" w:hAnsi="宋体" w:cs="宋体"/>
                <w:kern w:val="0"/>
                <w:sz w:val="20"/>
              </w:rPr>
              <w:t>其它方法：</w:t>
            </w:r>
            <w:r>
              <w:rPr>
                <w:rFonts w:hint="eastAsia" w:asciiTheme="minorEastAsia" w:hAnsiTheme="minorEastAsia" w:eastAsiaTheme="minorEastAsia"/>
                <w:u w:val="single"/>
              </w:rPr>
              <w:t xml:space="preserve">  /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885" w:type="dxa"/>
            <w:gridSpan w:val="5"/>
            <w:tcBorders>
              <w:top w:val="single" w:color="000000" w:sz="4" w:space="0"/>
              <w:bottom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黑体" w:hAnsi="宋体" w:eastAsia="黑体" w:cs="黑体"/>
                <w:kern w:val="0"/>
                <w:sz w:val="20"/>
              </w:rPr>
            </w:pPr>
            <w:r>
              <w:rPr>
                <w:rFonts w:ascii="黑体" w:hAnsi="宋体" w:eastAsia="黑体" w:cs="黑体"/>
                <w:kern w:val="0"/>
                <w:sz w:val="20"/>
              </w:rPr>
              <w:t>2.</w:t>
            </w:r>
            <w:r>
              <w:rPr>
                <w:rFonts w:hint="eastAsia" w:ascii="黑体" w:hAnsi="宋体" w:eastAsia="黑体" w:cs="黑体"/>
                <w:kern w:val="0"/>
                <w:sz w:val="20"/>
              </w:rPr>
              <w:t>总价合同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3270" w:type="dxa"/>
            <w:gridSpan w:val="4"/>
            <w:tcBorders>
              <w:top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总价包含的风险范围</w:t>
            </w:r>
          </w:p>
        </w:tc>
        <w:tc>
          <w:tcPr>
            <w:tcW w:w="6615" w:type="dxa"/>
            <w:tcBorders>
              <w:top w:val="single" w:color="000000" w:sz="4" w:space="0"/>
              <w:left w:val="single" w:color="000000" w:sz="4" w:space="0"/>
              <w:bottom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MS Mincho" w:hAnsi="MS Mincho" w:cs="MS Mincho"/>
                <w:szCs w:val="21"/>
              </w:rPr>
              <w:sym w:font="Wingdings 2" w:char="00A3"/>
            </w:r>
            <w:r>
              <w:rPr>
                <w:rFonts w:hint="eastAsia" w:ascii="宋体" w:hAnsi="宋体" w:cs="宋体"/>
                <w:kern w:val="0"/>
                <w:sz w:val="20"/>
              </w:rPr>
              <w:t>除招标文件约定工程价款调整以外的全部风险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270" w:type="dxa"/>
            <w:gridSpan w:val="4"/>
            <w:tcBorders>
              <w:top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风险费用的计算方法</w:t>
            </w:r>
          </w:p>
        </w:tc>
        <w:tc>
          <w:tcPr>
            <w:tcW w:w="6615" w:type="dxa"/>
            <w:tcBorders>
              <w:top w:val="single" w:color="000000" w:sz="4" w:space="0"/>
              <w:left w:val="single" w:color="000000" w:sz="4" w:space="0"/>
              <w:bottom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sym w:font="Wingdings 2" w:char="00A3"/>
            </w:r>
            <w:r>
              <w:rPr>
                <w:rFonts w:hint="eastAsia" w:ascii="宋体" w:hAnsi="宋体" w:cs="宋体"/>
                <w:kern w:val="0"/>
                <w:sz w:val="20"/>
              </w:rPr>
              <w:t>按招标文件约定的工程价款调整条款执行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3270" w:type="dxa"/>
            <w:gridSpan w:val="4"/>
            <w:tcBorders>
              <w:top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风险范围以外合同价格的调整方法</w:t>
            </w:r>
          </w:p>
        </w:tc>
        <w:tc>
          <w:tcPr>
            <w:tcW w:w="6615" w:type="dxa"/>
            <w:tcBorders>
              <w:top w:val="single" w:color="000000" w:sz="4" w:space="0"/>
              <w:left w:val="single" w:color="000000" w:sz="4" w:space="0"/>
              <w:bottom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MS Mincho" w:hAnsi="MS Mincho" w:cs="MS Mincho"/>
                <w:szCs w:val="21"/>
              </w:rPr>
              <w:sym w:font="Wingdings 2" w:char="00A3"/>
            </w:r>
            <w:r>
              <w:rPr>
                <w:rFonts w:hint="eastAsia" w:ascii="宋体" w:hAnsi="宋体" w:cs="宋体"/>
                <w:kern w:val="0"/>
                <w:sz w:val="20"/>
              </w:rPr>
              <w:t>按招标文件约定的工程价款调整条款执行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885" w:type="dxa"/>
            <w:gridSpan w:val="5"/>
            <w:tcBorders>
              <w:top w:val="single" w:color="000000" w:sz="4" w:space="0"/>
              <w:bottom w:val="single" w:color="auto" w:sz="4" w:space="0"/>
            </w:tcBorders>
            <w:tcMar>
              <w:top w:w="15" w:type="dxa"/>
              <w:left w:w="15" w:type="dxa"/>
              <w:bottom w:w="15" w:type="dxa"/>
              <w:right w:w="15" w:type="dxa"/>
            </w:tcMar>
            <w:vAlign w:val="center"/>
          </w:tcPr>
          <w:p>
            <w:pPr>
              <w:widowControl/>
              <w:adjustRightInd w:val="0"/>
              <w:snapToGrid w:val="0"/>
              <w:jc w:val="left"/>
              <w:textAlignment w:val="center"/>
              <w:rPr>
                <w:rFonts w:ascii="黑体" w:hAnsi="宋体" w:eastAsia="黑体" w:cs="黑体"/>
                <w:kern w:val="0"/>
                <w:sz w:val="24"/>
              </w:rPr>
            </w:pPr>
            <w:r>
              <w:rPr>
                <w:rFonts w:ascii="黑体" w:hAnsi="宋体" w:eastAsia="黑体" w:cs="黑体"/>
                <w:kern w:val="0"/>
                <w:sz w:val="24"/>
              </w:rPr>
              <w:t xml:space="preserve">12.2 </w:t>
            </w:r>
            <w:r>
              <w:rPr>
                <w:rFonts w:hint="eastAsia" w:ascii="黑体" w:hAnsi="宋体" w:eastAsia="黑体" w:cs="黑体"/>
                <w:kern w:val="0"/>
                <w:sz w:val="24"/>
              </w:rPr>
              <w:t>预付款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40" w:type="dxa"/>
            <w:gridSpan w:val="3"/>
            <w:tcBorders>
              <w:top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jc w:val="center"/>
              <w:textAlignment w:val="center"/>
              <w:rPr>
                <w:rFonts w:ascii="黑体" w:hAnsi="宋体" w:eastAsia="黑体" w:cs="黑体"/>
                <w:kern w:val="0"/>
                <w:sz w:val="24"/>
              </w:rPr>
            </w:pPr>
            <w:r>
              <w:rPr>
                <w:rFonts w:ascii="宋体" w:hAnsi="宋体" w:cs="宋体"/>
                <w:kern w:val="0"/>
                <w:sz w:val="20"/>
              </w:rPr>
              <w:t>12.2.1</w:t>
            </w:r>
          </w:p>
        </w:tc>
        <w:tc>
          <w:tcPr>
            <w:tcW w:w="243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jc w:val="left"/>
              <w:textAlignment w:val="center"/>
              <w:rPr>
                <w:rFonts w:ascii="黑体" w:hAnsi="宋体" w:eastAsia="黑体" w:cs="黑体"/>
                <w:kern w:val="0"/>
                <w:sz w:val="24"/>
              </w:rPr>
            </w:pPr>
            <w:r>
              <w:rPr>
                <w:rFonts w:hint="eastAsia" w:ascii="宋体" w:hAnsi="宋体" w:cs="宋体"/>
                <w:kern w:val="0"/>
                <w:sz w:val="20"/>
              </w:rPr>
              <w:t>预付款支付比例或金额：</w:t>
            </w:r>
          </w:p>
        </w:tc>
        <w:tc>
          <w:tcPr>
            <w:tcW w:w="6615" w:type="dxa"/>
            <w:tcBorders>
              <w:top w:val="single" w:color="auto" w:sz="4" w:space="0"/>
              <w:left w:val="single" w:color="auto" w:sz="4" w:space="0"/>
              <w:bottom w:val="single" w:color="auto" w:sz="4" w:space="0"/>
            </w:tcBorders>
            <w:tcMar>
              <w:top w:w="15" w:type="dxa"/>
              <w:left w:w="15" w:type="dxa"/>
              <w:bottom w:w="15" w:type="dxa"/>
              <w:right w:w="15" w:type="dxa"/>
            </w:tcMar>
            <w:vAlign w:val="center"/>
          </w:tcPr>
          <w:p>
            <w:pPr>
              <w:widowControl/>
              <w:adjustRightInd w:val="0"/>
              <w:snapToGrid w:val="0"/>
              <w:jc w:val="left"/>
              <w:textAlignment w:val="center"/>
              <w:rPr>
                <w:rFonts w:ascii="黑体" w:hAnsi="宋体" w:eastAsia="黑体" w:cs="黑体"/>
                <w:kern w:val="0"/>
                <w:sz w:val="24"/>
              </w:rPr>
            </w:pPr>
            <w:r>
              <w:rPr>
                <w:rFonts w:hint="eastAsia" w:asciiTheme="minorEastAsia" w:hAnsiTheme="minorEastAsia" w:eastAsiaTheme="minorEastAsia"/>
                <w:u w:val="single"/>
              </w:rPr>
              <w:t xml:space="preserve">  /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40" w:type="dxa"/>
            <w:gridSpan w:val="3"/>
            <w:vMerge w:val="restart"/>
            <w:tcBorders>
              <w:top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jc w:val="center"/>
              <w:textAlignment w:val="center"/>
              <w:rPr>
                <w:rFonts w:ascii="黑体" w:hAnsi="宋体" w:eastAsia="黑体" w:cs="黑体"/>
                <w:kern w:val="0"/>
                <w:sz w:val="24"/>
              </w:rPr>
            </w:pPr>
            <w:r>
              <w:rPr>
                <w:rFonts w:ascii="宋体" w:hAnsi="宋体" w:cs="宋体"/>
                <w:kern w:val="0"/>
                <w:sz w:val="20"/>
              </w:rPr>
              <w:t>12.2.2</w:t>
            </w:r>
          </w:p>
        </w:tc>
        <w:tc>
          <w:tcPr>
            <w:tcW w:w="2430" w:type="dxa"/>
            <w:vMerge w:val="restart"/>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jc w:val="left"/>
              <w:textAlignment w:val="center"/>
              <w:rPr>
                <w:rFonts w:ascii="黑体" w:hAnsi="宋体" w:eastAsia="黑体" w:cs="黑体"/>
                <w:kern w:val="0"/>
                <w:sz w:val="24"/>
              </w:rPr>
            </w:pPr>
            <w:r>
              <w:rPr>
                <w:rFonts w:hint="eastAsia" w:ascii="宋体" w:hAnsi="宋体" w:cs="宋体"/>
                <w:kern w:val="0"/>
                <w:sz w:val="20"/>
              </w:rPr>
              <w:t>预付款担保的形式为：</w:t>
            </w:r>
          </w:p>
        </w:tc>
        <w:tc>
          <w:tcPr>
            <w:tcW w:w="6615" w:type="dxa"/>
            <w:tcBorders>
              <w:top w:val="single" w:color="auto" w:sz="4" w:space="0"/>
              <w:left w:val="single" w:color="auto" w:sz="4" w:space="0"/>
              <w:bottom w:val="single" w:color="auto" w:sz="4" w:space="0"/>
            </w:tcBorders>
            <w:tcMar>
              <w:top w:w="15" w:type="dxa"/>
              <w:left w:w="15" w:type="dxa"/>
              <w:bottom w:w="15" w:type="dxa"/>
              <w:right w:w="15" w:type="dxa"/>
            </w:tcMar>
            <w:vAlign w:val="center"/>
          </w:tcPr>
          <w:p>
            <w:pPr>
              <w:widowControl/>
              <w:adjustRightInd w:val="0"/>
              <w:snapToGrid w:val="0"/>
              <w:jc w:val="left"/>
              <w:textAlignment w:val="center"/>
              <w:rPr>
                <w:rFonts w:ascii="黑体" w:hAnsi="宋体" w:eastAsia="黑体" w:cs="黑体"/>
                <w:kern w:val="0"/>
                <w:sz w:val="24"/>
              </w:rPr>
            </w:pPr>
            <w:r>
              <w:rPr>
                <w:rFonts w:hint="eastAsia" w:ascii="宋体" w:hAnsi="宋体" w:cs="宋体"/>
                <w:kern w:val="0"/>
                <w:sz w:val="20"/>
              </w:rPr>
              <w:t>□银行保函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40" w:type="dxa"/>
            <w:gridSpan w:val="3"/>
            <w:vMerge w:val="continue"/>
            <w:tcBorders>
              <w:top w:val="single" w:color="auto" w:sz="4" w:space="0"/>
              <w:bottom w:val="single" w:color="auto" w:sz="4" w:space="0"/>
              <w:right w:val="single" w:color="auto" w:sz="4" w:space="0"/>
            </w:tcBorders>
            <w:vAlign w:val="center"/>
          </w:tcPr>
          <w:p>
            <w:pPr>
              <w:widowControl/>
              <w:jc w:val="left"/>
              <w:rPr>
                <w:rFonts w:ascii="黑体" w:hAnsi="宋体" w:eastAsia="黑体" w:cs="黑体"/>
                <w:kern w:val="0"/>
                <w:sz w:val="24"/>
              </w:rPr>
            </w:pPr>
          </w:p>
        </w:tc>
        <w:tc>
          <w:tcPr>
            <w:tcW w:w="24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黑体"/>
                <w:kern w:val="0"/>
                <w:sz w:val="24"/>
              </w:rPr>
            </w:pPr>
          </w:p>
        </w:tc>
        <w:tc>
          <w:tcPr>
            <w:tcW w:w="6615" w:type="dxa"/>
            <w:tcBorders>
              <w:top w:val="single" w:color="auto" w:sz="4" w:space="0"/>
              <w:left w:val="single" w:color="auto" w:sz="4" w:space="0"/>
              <w:bottom w:val="single" w:color="auto" w:sz="4" w:space="0"/>
            </w:tcBorders>
            <w:tcMar>
              <w:top w:w="15" w:type="dxa"/>
              <w:left w:w="15" w:type="dxa"/>
              <w:bottom w:w="15" w:type="dxa"/>
              <w:right w:w="15" w:type="dxa"/>
            </w:tcMar>
            <w:vAlign w:val="center"/>
          </w:tcPr>
          <w:p>
            <w:pPr>
              <w:widowControl/>
              <w:adjustRightInd w:val="0"/>
              <w:snapToGrid w:val="0"/>
              <w:jc w:val="left"/>
              <w:textAlignment w:val="center"/>
              <w:rPr>
                <w:rFonts w:ascii="黑体" w:hAnsi="宋体" w:eastAsia="黑体" w:cs="黑体"/>
                <w:kern w:val="0"/>
                <w:sz w:val="24"/>
              </w:rPr>
            </w:pPr>
            <w:r>
              <w:rPr>
                <w:rFonts w:hint="eastAsia" w:ascii="宋体" w:hAnsi="宋体" w:cs="宋体"/>
                <w:kern w:val="0"/>
                <w:sz w:val="20"/>
              </w:rPr>
              <w:t>□其他形式：</w:t>
            </w:r>
            <w:r>
              <w:rPr>
                <w:rFonts w:hint="eastAsia" w:asciiTheme="minorEastAsia" w:hAnsiTheme="minorEastAsia" w:eastAsiaTheme="minorEastAsia"/>
                <w:u w:val="single"/>
              </w:rPr>
              <w:t xml:space="preserve">  /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885" w:type="dxa"/>
            <w:gridSpan w:val="5"/>
            <w:tcBorders>
              <w:top w:val="single" w:color="auto" w:sz="4" w:space="0"/>
              <w:bottom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黑体" w:hAnsi="宋体" w:eastAsia="黑体" w:cs="黑体"/>
                <w:kern w:val="0"/>
                <w:sz w:val="24"/>
              </w:rPr>
            </w:pPr>
            <w:r>
              <w:rPr>
                <w:rFonts w:ascii="黑体" w:hAnsi="宋体" w:eastAsia="黑体" w:cs="黑体"/>
                <w:kern w:val="0"/>
                <w:sz w:val="24"/>
              </w:rPr>
              <w:t>12.3</w:t>
            </w:r>
            <w:r>
              <w:rPr>
                <w:rFonts w:hint="eastAsia" w:ascii="黑体" w:hAnsi="宋体" w:eastAsia="黑体" w:cs="黑体"/>
                <w:kern w:val="0"/>
                <w:sz w:val="24"/>
              </w:rPr>
              <w:t>计量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40" w:type="dxa"/>
            <w:gridSpan w:val="3"/>
            <w:tcBorders>
              <w:top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adjustRightInd w:val="0"/>
              <w:snapToGrid w:val="0"/>
              <w:jc w:val="center"/>
              <w:textAlignment w:val="center"/>
              <w:rPr>
                <w:rFonts w:ascii="宋体" w:cs="宋体"/>
                <w:kern w:val="0"/>
                <w:sz w:val="20"/>
              </w:rPr>
            </w:pPr>
            <w:r>
              <w:rPr>
                <w:rFonts w:ascii="宋体" w:hAnsi="宋体" w:cs="宋体"/>
                <w:kern w:val="0"/>
                <w:sz w:val="20"/>
              </w:rPr>
              <w:t>12.3.1</w:t>
            </w:r>
          </w:p>
        </w:tc>
        <w:tc>
          <w:tcPr>
            <w:tcW w:w="2430" w:type="dxa"/>
            <w:tcBorders>
              <w:top w:val="single" w:color="000000" w:sz="4" w:space="0"/>
              <w:left w:val="nil"/>
              <w:bottom w:val="single" w:color="000000" w:sz="4" w:space="0"/>
              <w:right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工程量计算规则</w:t>
            </w:r>
          </w:p>
        </w:tc>
        <w:tc>
          <w:tcPr>
            <w:tcW w:w="6615" w:type="dxa"/>
            <w:tcBorders>
              <w:top w:val="single" w:color="000000" w:sz="4" w:space="0"/>
              <w:left w:val="single" w:color="000000" w:sz="4" w:space="0"/>
              <w:bottom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《建设工程工程量清单计价规范》（</w:t>
            </w:r>
            <w:r>
              <w:rPr>
                <w:rFonts w:ascii="宋体" w:hAnsi="宋体" w:cs="宋体"/>
                <w:kern w:val="0"/>
                <w:sz w:val="20"/>
              </w:rPr>
              <w:t>GB50500—2013</w:t>
            </w:r>
            <w:r>
              <w:rPr>
                <w:rFonts w:hint="eastAsia" w:ascii="宋体" w:hAnsi="宋体" w:cs="宋体"/>
                <w:kern w:val="0"/>
                <w:sz w:val="20"/>
              </w:rPr>
              <w:t>）及《房屋建筑与装饰工程工程量计算规范》（</w:t>
            </w:r>
            <w:r>
              <w:rPr>
                <w:rFonts w:ascii="宋体" w:hAnsi="宋体" w:cs="宋体"/>
                <w:kern w:val="0"/>
                <w:sz w:val="20"/>
              </w:rPr>
              <w:t>GB50854-2013</w:t>
            </w:r>
            <w:r>
              <w:rPr>
                <w:rFonts w:hint="eastAsia" w:ascii="宋体" w:hAnsi="宋体" w:cs="宋体"/>
                <w:kern w:val="0"/>
                <w:sz w:val="20"/>
              </w:rPr>
              <w:t>）等</w:t>
            </w:r>
            <w:r>
              <w:rPr>
                <w:rFonts w:ascii="宋体" w:hAnsi="宋体" w:cs="宋体"/>
                <w:kern w:val="0"/>
                <w:sz w:val="20"/>
              </w:rPr>
              <w:t>9</w:t>
            </w:r>
            <w:r>
              <w:rPr>
                <w:rFonts w:hint="eastAsia" w:ascii="宋体" w:hAnsi="宋体" w:cs="宋体"/>
                <w:kern w:val="0"/>
                <w:sz w:val="20"/>
              </w:rPr>
              <w:t>本工程量计算规范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40" w:type="dxa"/>
            <w:gridSpan w:val="3"/>
            <w:vMerge w:val="restart"/>
            <w:tcBorders>
              <w:top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adjustRightInd w:val="0"/>
              <w:snapToGrid w:val="0"/>
              <w:jc w:val="center"/>
              <w:textAlignment w:val="center"/>
              <w:rPr>
                <w:rFonts w:ascii="宋体" w:cs="宋体"/>
                <w:kern w:val="0"/>
                <w:sz w:val="20"/>
              </w:rPr>
            </w:pPr>
            <w:r>
              <w:rPr>
                <w:rFonts w:ascii="宋体" w:hAnsi="宋体" w:cs="宋体"/>
                <w:kern w:val="0"/>
                <w:sz w:val="20"/>
              </w:rPr>
              <w:t>12.3.2</w:t>
            </w:r>
          </w:p>
        </w:tc>
        <w:tc>
          <w:tcPr>
            <w:tcW w:w="2430" w:type="dxa"/>
            <w:vMerge w:val="restart"/>
            <w:tcBorders>
              <w:top w:val="single" w:color="000000" w:sz="4" w:space="0"/>
              <w:left w:val="nil"/>
              <w:bottom w:val="single" w:color="000000" w:sz="4" w:space="0"/>
              <w:right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关于计量周期的约定</w:t>
            </w:r>
          </w:p>
        </w:tc>
        <w:tc>
          <w:tcPr>
            <w:tcW w:w="6615" w:type="dxa"/>
            <w:tcBorders>
              <w:top w:val="single" w:color="000000" w:sz="4" w:space="0"/>
              <w:left w:val="single" w:color="000000" w:sz="4" w:space="0"/>
              <w:bottom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MS Mincho" w:hAnsi="MS Mincho" w:eastAsia="MS Mincho" w:cs="MS Mincho"/>
                <w:szCs w:val="21"/>
              </w:rPr>
              <w:t>☑</w:t>
            </w:r>
            <w:r>
              <w:rPr>
                <w:rFonts w:hint="eastAsia" w:ascii="宋体" w:hAnsi="宋体" w:cs="宋体"/>
                <w:kern w:val="0"/>
                <w:sz w:val="20"/>
              </w:rPr>
              <w:t>按月计量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40" w:type="dxa"/>
            <w:gridSpan w:val="3"/>
            <w:vMerge w:val="continue"/>
            <w:tcBorders>
              <w:top w:val="single" w:color="000000" w:sz="4" w:space="0"/>
              <w:bottom w:val="single" w:color="000000" w:sz="4" w:space="0"/>
              <w:right w:val="single" w:color="000000" w:sz="4" w:space="0"/>
            </w:tcBorders>
            <w:vAlign w:val="center"/>
          </w:tcPr>
          <w:p>
            <w:pPr>
              <w:widowControl/>
              <w:jc w:val="left"/>
              <w:rPr>
                <w:rFonts w:ascii="宋体" w:cs="宋体"/>
                <w:kern w:val="0"/>
                <w:sz w:val="20"/>
              </w:rPr>
            </w:pPr>
          </w:p>
        </w:tc>
        <w:tc>
          <w:tcPr>
            <w:tcW w:w="243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cs="宋体"/>
                <w:kern w:val="0"/>
                <w:sz w:val="20"/>
              </w:rPr>
            </w:pPr>
          </w:p>
        </w:tc>
        <w:tc>
          <w:tcPr>
            <w:tcW w:w="6615" w:type="dxa"/>
            <w:tcBorders>
              <w:top w:val="single" w:color="000000" w:sz="4" w:space="0"/>
              <w:left w:val="single" w:color="000000" w:sz="4" w:space="0"/>
              <w:bottom w:val="single" w:color="000000"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□其它：</w:t>
            </w:r>
            <w:r>
              <w:rPr>
                <w:rFonts w:hint="eastAsia" w:asciiTheme="minorEastAsia" w:hAnsiTheme="minorEastAsia" w:eastAsiaTheme="minorEastAsia"/>
                <w:u w:val="single"/>
              </w:rPr>
              <w:t xml:space="preserve">  /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885" w:type="dxa"/>
            <w:gridSpan w:val="5"/>
            <w:tcBorders>
              <w:top w:val="single" w:color="000000" w:sz="4" w:space="0"/>
              <w:bottom w:val="single" w:color="auto" w:sz="4" w:space="0"/>
            </w:tcBorders>
            <w:tcMar>
              <w:top w:w="15" w:type="dxa"/>
              <w:left w:w="15" w:type="dxa"/>
              <w:bottom w:w="15" w:type="dxa"/>
              <w:right w:w="15" w:type="dxa"/>
            </w:tcMar>
            <w:vAlign w:val="center"/>
          </w:tcPr>
          <w:p>
            <w:pPr>
              <w:widowControl/>
              <w:adjustRightInd w:val="0"/>
              <w:snapToGrid w:val="0"/>
              <w:textAlignment w:val="center"/>
              <w:rPr>
                <w:rFonts w:ascii="宋体" w:cs="宋体"/>
                <w:kern w:val="0"/>
                <w:sz w:val="20"/>
              </w:rPr>
            </w:pPr>
            <w:r>
              <w:rPr>
                <w:rFonts w:ascii="黑体" w:hAnsi="宋体" w:eastAsia="黑体" w:cs="黑体"/>
                <w:kern w:val="0"/>
                <w:sz w:val="24"/>
              </w:rPr>
              <w:t xml:space="preserve">12.4 </w:t>
            </w:r>
            <w:r>
              <w:rPr>
                <w:rFonts w:hint="eastAsia" w:ascii="黑体" w:hAnsi="宋体" w:eastAsia="黑体" w:cs="黑体"/>
                <w:kern w:val="0"/>
                <w:sz w:val="24"/>
              </w:rPr>
              <w:t>工程进度款支付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40" w:type="dxa"/>
            <w:gridSpan w:val="3"/>
            <w:vMerge w:val="restart"/>
            <w:tcBorders>
              <w:top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jc w:val="center"/>
              <w:textAlignment w:val="center"/>
              <w:rPr>
                <w:rFonts w:ascii="宋体" w:cs="宋体"/>
                <w:kern w:val="0"/>
                <w:sz w:val="20"/>
              </w:rPr>
            </w:pPr>
            <w:r>
              <w:rPr>
                <w:rFonts w:ascii="宋体" w:hAnsi="宋体" w:cs="宋体"/>
                <w:kern w:val="0"/>
                <w:sz w:val="20"/>
              </w:rPr>
              <w:t>12.4.1</w:t>
            </w:r>
          </w:p>
        </w:tc>
        <w:tc>
          <w:tcPr>
            <w:tcW w:w="2430" w:type="dxa"/>
            <w:vMerge w:val="restart"/>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关于付款周期的约定</w:t>
            </w:r>
          </w:p>
        </w:tc>
        <w:tc>
          <w:tcPr>
            <w:tcW w:w="6615" w:type="dxa"/>
            <w:tcBorders>
              <w:top w:val="single" w:color="auto" w:sz="4" w:space="0"/>
              <w:left w:val="single" w:color="auto" w:sz="4" w:space="0"/>
              <w:bottom w:val="single" w:color="auto"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□同计量周期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40" w:type="dxa"/>
            <w:gridSpan w:val="3"/>
            <w:vMerge w:val="continue"/>
            <w:tcBorders>
              <w:top w:val="single" w:color="auto" w:sz="4" w:space="0"/>
              <w:bottom w:val="single" w:color="auto" w:sz="4" w:space="0"/>
              <w:right w:val="single" w:color="auto" w:sz="4" w:space="0"/>
            </w:tcBorders>
            <w:vAlign w:val="center"/>
          </w:tcPr>
          <w:p>
            <w:pPr>
              <w:widowControl/>
              <w:jc w:val="left"/>
              <w:rPr>
                <w:rFonts w:ascii="宋体" w:cs="宋体"/>
                <w:kern w:val="0"/>
                <w:sz w:val="20"/>
              </w:rPr>
            </w:pPr>
          </w:p>
        </w:tc>
        <w:tc>
          <w:tcPr>
            <w:tcW w:w="24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0"/>
              </w:rPr>
            </w:pPr>
          </w:p>
        </w:tc>
        <w:tc>
          <w:tcPr>
            <w:tcW w:w="6615" w:type="dxa"/>
            <w:tcBorders>
              <w:top w:val="single" w:color="auto" w:sz="4" w:space="0"/>
              <w:left w:val="single" w:color="auto" w:sz="4" w:space="0"/>
              <w:bottom w:val="single" w:color="auto" w:sz="4" w:space="0"/>
            </w:tcBorders>
            <w:tcMar>
              <w:top w:w="15" w:type="dxa"/>
              <w:left w:w="15" w:type="dxa"/>
              <w:bottom w:w="15" w:type="dxa"/>
              <w:right w:w="15" w:type="dxa"/>
            </w:tcMar>
            <w:vAlign w:val="center"/>
          </w:tcPr>
          <w:p>
            <w:pPr>
              <w:widowControl/>
              <w:jc w:val="left"/>
              <w:rPr>
                <w:rFonts w:ascii="Arial" w:hAnsi="Arial" w:cs="Arial"/>
                <w:sz w:val="20"/>
                <w:szCs w:val="20"/>
                <w:u w:val="single"/>
              </w:rPr>
            </w:pPr>
            <w:r>
              <w:rPr>
                <w:rFonts w:hint="eastAsia" w:ascii="MS Mincho" w:hAnsi="MS Mincho" w:eastAsia="MS Mincho" w:cs="MS Mincho"/>
                <w:szCs w:val="21"/>
              </w:rPr>
              <w:t>☑</w:t>
            </w:r>
            <w:r>
              <w:rPr>
                <w:rFonts w:hint="eastAsia" w:ascii="宋体" w:hAnsi="宋体" w:cs="宋体"/>
                <w:kern w:val="0"/>
                <w:sz w:val="20"/>
              </w:rPr>
              <w:t>其</w:t>
            </w:r>
            <w:r>
              <w:rPr>
                <w:rFonts w:hint="eastAsia" w:ascii="宋体" w:hAnsi="宋体" w:cs="宋体"/>
                <w:color w:val="FF0000"/>
                <w:kern w:val="0"/>
                <w:sz w:val="20"/>
              </w:rPr>
              <w:t>它：</w:t>
            </w:r>
            <w:r>
              <w:rPr>
                <w:rFonts w:ascii="宋体" w:hAnsi="宋体" w:cs="宋体"/>
                <w:b/>
                <w:bCs/>
                <w:color w:val="FF0000"/>
                <w:kern w:val="0"/>
                <w:sz w:val="20"/>
                <w:u w:val="single"/>
              </w:rPr>
              <w:t>_</w:t>
            </w:r>
            <w:r>
              <w:rPr>
                <w:rFonts w:hint="eastAsia" w:ascii="Arial" w:hAnsi="Arial" w:cs="Arial"/>
                <w:color w:val="FF0000"/>
                <w:sz w:val="20"/>
                <w:szCs w:val="20"/>
                <w:u w:val="single"/>
              </w:rPr>
              <w:t>工程竣工验收合格后并审计结束付至审计价的90%，余款工程竣工验收合格一年后无质量问题或其它遗留问题时一次性付清。（招标人不向中标人支付利息）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885" w:type="dxa"/>
            <w:gridSpan w:val="5"/>
            <w:tcBorders>
              <w:top w:val="single" w:color="auto" w:sz="4" w:space="0"/>
              <w:bottom w:val="single" w:color="auto"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ascii="黑体" w:hAnsi="宋体" w:eastAsia="黑体" w:cs="黑体"/>
                <w:kern w:val="0"/>
                <w:sz w:val="24"/>
              </w:rPr>
              <w:t>15.2</w:t>
            </w:r>
            <w:r>
              <w:rPr>
                <w:rFonts w:hint="eastAsia" w:ascii="黑体" w:hAnsi="宋体" w:eastAsia="黑体" w:cs="黑体"/>
                <w:kern w:val="0"/>
                <w:sz w:val="24"/>
              </w:rPr>
              <w:t>缺陷责任期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270" w:type="dxa"/>
            <w:gridSpan w:val="4"/>
            <w:vMerge w:val="restart"/>
            <w:tcBorders>
              <w:top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缺陷责任期的具体期限</w:t>
            </w:r>
          </w:p>
        </w:tc>
        <w:tc>
          <w:tcPr>
            <w:tcW w:w="6615" w:type="dxa"/>
            <w:tcBorders>
              <w:top w:val="single" w:color="auto" w:sz="4" w:space="0"/>
              <w:left w:val="single" w:color="auto" w:sz="4" w:space="0"/>
              <w:bottom w:val="single" w:color="auto"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w:t>
            </w:r>
            <w:r>
              <w:rPr>
                <w:rFonts w:ascii="宋体" w:hAnsi="宋体" w:cs="宋体"/>
                <w:kern w:val="0"/>
                <w:sz w:val="20"/>
              </w:rPr>
              <w:t>6</w:t>
            </w:r>
            <w:r>
              <w:rPr>
                <w:rFonts w:hint="eastAsia" w:ascii="宋体" w:hAnsi="宋体" w:cs="宋体"/>
                <w:kern w:val="0"/>
                <w:sz w:val="20"/>
              </w:rPr>
              <w:t>个月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3270" w:type="dxa"/>
            <w:gridSpan w:val="4"/>
            <w:vMerge w:val="continue"/>
            <w:tcBorders>
              <w:top w:val="single" w:color="auto" w:sz="4" w:space="0"/>
              <w:bottom w:val="single" w:color="auto" w:sz="4" w:space="0"/>
              <w:right w:val="single" w:color="auto" w:sz="4" w:space="0"/>
            </w:tcBorders>
            <w:vAlign w:val="center"/>
          </w:tcPr>
          <w:p>
            <w:pPr>
              <w:widowControl/>
              <w:jc w:val="left"/>
              <w:rPr>
                <w:rFonts w:ascii="宋体" w:cs="宋体"/>
                <w:kern w:val="0"/>
                <w:sz w:val="20"/>
              </w:rPr>
            </w:pPr>
          </w:p>
        </w:tc>
        <w:tc>
          <w:tcPr>
            <w:tcW w:w="6615" w:type="dxa"/>
            <w:tcBorders>
              <w:top w:val="single" w:color="auto" w:sz="4" w:space="0"/>
              <w:left w:val="single" w:color="auto" w:sz="4" w:space="0"/>
              <w:bottom w:val="single" w:color="auto"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sym w:font="Wingdings 2" w:char="0052"/>
            </w:r>
            <w:r>
              <w:rPr>
                <w:rFonts w:ascii="宋体" w:hAnsi="宋体" w:cs="宋体"/>
                <w:kern w:val="0"/>
                <w:sz w:val="20"/>
              </w:rPr>
              <w:t>1</w:t>
            </w:r>
            <w:r>
              <w:rPr>
                <w:rFonts w:hint="eastAsia" w:ascii="宋体" w:hAnsi="宋体" w:cs="宋体"/>
                <w:kern w:val="0"/>
                <w:sz w:val="20"/>
              </w:rPr>
              <w:t>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70" w:type="dxa"/>
            <w:gridSpan w:val="4"/>
            <w:vMerge w:val="continue"/>
            <w:tcBorders>
              <w:top w:val="single" w:color="auto" w:sz="4" w:space="0"/>
              <w:bottom w:val="single" w:color="auto" w:sz="4" w:space="0"/>
              <w:right w:val="single" w:color="auto" w:sz="4" w:space="0"/>
            </w:tcBorders>
            <w:vAlign w:val="center"/>
          </w:tcPr>
          <w:p>
            <w:pPr>
              <w:widowControl/>
              <w:jc w:val="left"/>
              <w:rPr>
                <w:rFonts w:ascii="宋体" w:cs="宋体"/>
                <w:kern w:val="0"/>
                <w:sz w:val="20"/>
              </w:rPr>
            </w:pPr>
          </w:p>
        </w:tc>
        <w:tc>
          <w:tcPr>
            <w:tcW w:w="6615" w:type="dxa"/>
            <w:tcBorders>
              <w:top w:val="single" w:color="auto" w:sz="4" w:space="0"/>
              <w:left w:val="single" w:color="auto" w:sz="4" w:space="0"/>
              <w:bottom w:val="single" w:color="auto"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MS Mincho" w:hAnsi="MS Mincho" w:cs="MS Mincho"/>
                <w:szCs w:val="21"/>
              </w:rPr>
              <w:t>□</w:t>
            </w:r>
            <w:r>
              <w:rPr>
                <w:rFonts w:ascii="宋体" w:hAnsi="宋体" w:cs="宋体"/>
                <w:kern w:val="0"/>
                <w:sz w:val="20"/>
              </w:rPr>
              <w:t>2</w:t>
            </w:r>
            <w:r>
              <w:rPr>
                <w:rFonts w:hint="eastAsia" w:ascii="宋体" w:hAnsi="宋体" w:cs="宋体"/>
                <w:kern w:val="0"/>
                <w:sz w:val="20"/>
              </w:rPr>
              <w:t>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270" w:type="dxa"/>
            <w:gridSpan w:val="4"/>
            <w:vMerge w:val="continue"/>
            <w:tcBorders>
              <w:top w:val="single" w:color="auto" w:sz="4" w:space="0"/>
              <w:bottom w:val="single" w:color="auto" w:sz="4" w:space="0"/>
              <w:right w:val="single" w:color="auto" w:sz="4" w:space="0"/>
            </w:tcBorders>
            <w:vAlign w:val="center"/>
          </w:tcPr>
          <w:p>
            <w:pPr>
              <w:widowControl/>
              <w:jc w:val="left"/>
              <w:rPr>
                <w:rFonts w:ascii="宋体" w:cs="宋体"/>
                <w:kern w:val="0"/>
                <w:sz w:val="20"/>
              </w:rPr>
            </w:pPr>
          </w:p>
        </w:tc>
        <w:tc>
          <w:tcPr>
            <w:tcW w:w="6615" w:type="dxa"/>
            <w:tcBorders>
              <w:top w:val="single" w:color="auto" w:sz="4" w:space="0"/>
              <w:left w:val="single" w:color="auto" w:sz="4" w:space="0"/>
              <w:bottom w:val="single" w:color="auto"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□其它期限：</w:t>
            </w:r>
            <w:r>
              <w:rPr>
                <w:rFonts w:hint="eastAsia" w:asciiTheme="minorEastAsia" w:hAnsiTheme="minorEastAsia" w:eastAsiaTheme="minorEastAsia"/>
                <w:u w:val="single"/>
              </w:rPr>
              <w:t xml:space="preserve">  /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885" w:type="dxa"/>
            <w:gridSpan w:val="5"/>
            <w:tcBorders>
              <w:top w:val="single" w:color="auto" w:sz="4" w:space="0"/>
              <w:bottom w:val="single" w:color="auto" w:sz="4" w:space="0"/>
            </w:tcBorders>
            <w:tcMar>
              <w:top w:w="15" w:type="dxa"/>
              <w:left w:w="15" w:type="dxa"/>
              <w:bottom w:w="15" w:type="dxa"/>
              <w:right w:w="15" w:type="dxa"/>
            </w:tcMar>
            <w:vAlign w:val="center"/>
          </w:tcPr>
          <w:p>
            <w:pPr>
              <w:widowControl/>
              <w:adjustRightInd w:val="0"/>
              <w:snapToGrid w:val="0"/>
              <w:jc w:val="left"/>
              <w:textAlignment w:val="center"/>
              <w:rPr>
                <w:rFonts w:ascii="黑体" w:hAnsi="宋体" w:eastAsia="黑体" w:cs="黑体"/>
                <w:kern w:val="0"/>
                <w:sz w:val="24"/>
              </w:rPr>
            </w:pPr>
            <w:r>
              <w:rPr>
                <w:rFonts w:ascii="黑体" w:hAnsi="宋体" w:eastAsia="黑体" w:cs="黑体"/>
                <w:kern w:val="0"/>
                <w:sz w:val="24"/>
              </w:rPr>
              <w:t>15.3</w:t>
            </w:r>
            <w:r>
              <w:rPr>
                <w:rFonts w:hint="eastAsia" w:ascii="黑体" w:hAnsi="宋体" w:eastAsia="黑体" w:cs="黑体"/>
                <w:kern w:val="0"/>
                <w:sz w:val="24"/>
              </w:rPr>
              <w:t>质量保证金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70" w:type="dxa"/>
            <w:gridSpan w:val="4"/>
            <w:vMerge w:val="restart"/>
            <w:tcBorders>
              <w:top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关于是否扣留质量保证金的约定</w:t>
            </w:r>
          </w:p>
        </w:tc>
        <w:tc>
          <w:tcPr>
            <w:tcW w:w="6615" w:type="dxa"/>
            <w:tcBorders>
              <w:top w:val="single" w:color="auto" w:sz="4" w:space="0"/>
              <w:left w:val="single" w:color="auto" w:sz="4" w:space="0"/>
              <w:bottom w:val="single" w:color="auto"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MS Mincho" w:hAnsi="MS Mincho" w:eastAsia="MS Mincho" w:cs="MS Mincho"/>
                <w:szCs w:val="21"/>
              </w:rPr>
              <w:t>☑</w:t>
            </w:r>
            <w:r>
              <w:rPr>
                <w:rFonts w:hint="eastAsia" w:ascii="宋体" w:hAnsi="宋体" w:cs="宋体"/>
                <w:kern w:val="0"/>
                <w:sz w:val="20"/>
              </w:rPr>
              <w:t>扣留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70" w:type="dxa"/>
            <w:gridSpan w:val="4"/>
            <w:vMerge w:val="continue"/>
            <w:tcBorders>
              <w:top w:val="single" w:color="auto" w:sz="4" w:space="0"/>
              <w:bottom w:val="single" w:color="auto" w:sz="4" w:space="0"/>
              <w:right w:val="single" w:color="auto" w:sz="4" w:space="0"/>
            </w:tcBorders>
            <w:vAlign w:val="center"/>
          </w:tcPr>
          <w:p>
            <w:pPr>
              <w:widowControl/>
              <w:jc w:val="left"/>
              <w:rPr>
                <w:rFonts w:ascii="宋体" w:cs="宋体"/>
                <w:kern w:val="0"/>
                <w:sz w:val="20"/>
              </w:rPr>
            </w:pPr>
          </w:p>
        </w:tc>
        <w:tc>
          <w:tcPr>
            <w:tcW w:w="6615" w:type="dxa"/>
            <w:tcBorders>
              <w:top w:val="single" w:color="auto" w:sz="4" w:space="0"/>
              <w:left w:val="single" w:color="auto" w:sz="4" w:space="0"/>
              <w:bottom w:val="single" w:color="auto"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□不扣留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40" w:type="dxa"/>
            <w:gridSpan w:val="3"/>
            <w:vMerge w:val="restart"/>
            <w:tcBorders>
              <w:top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jc w:val="center"/>
              <w:textAlignment w:val="center"/>
              <w:rPr>
                <w:rFonts w:ascii="宋体" w:cs="宋体"/>
                <w:kern w:val="0"/>
                <w:sz w:val="20"/>
              </w:rPr>
            </w:pPr>
            <w:r>
              <w:rPr>
                <w:rFonts w:ascii="宋体" w:hAnsi="宋体" w:cs="宋体"/>
                <w:kern w:val="0"/>
                <w:sz w:val="20"/>
              </w:rPr>
              <w:t>15.3.1</w:t>
            </w:r>
          </w:p>
        </w:tc>
        <w:tc>
          <w:tcPr>
            <w:tcW w:w="2430" w:type="dxa"/>
            <w:vMerge w:val="restart"/>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质量保证金采用第</w:t>
            </w:r>
            <w:r>
              <w:rPr>
                <w:rFonts w:hint="eastAsia" w:ascii="宋体" w:hAnsi="宋体" w:cs="宋体"/>
                <w:b/>
                <w:bCs/>
                <w:kern w:val="0"/>
                <w:sz w:val="20"/>
                <w:u w:val="single"/>
              </w:rPr>
              <w:t>（3）</w:t>
            </w:r>
            <w:r>
              <w:rPr>
                <w:rStyle w:val="30"/>
                <w:rFonts w:hint="eastAsia"/>
                <w:color w:val="auto"/>
              </w:rPr>
              <w:t>种方式</w:t>
            </w:r>
          </w:p>
        </w:tc>
        <w:tc>
          <w:tcPr>
            <w:tcW w:w="6615" w:type="dxa"/>
            <w:tcBorders>
              <w:top w:val="single" w:color="auto" w:sz="4" w:space="0"/>
              <w:left w:val="single" w:color="auto" w:sz="4" w:space="0"/>
              <w:bottom w:val="single" w:color="auto"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w:t>
            </w:r>
            <w:r>
              <w:rPr>
                <w:rFonts w:ascii="宋体" w:hAnsi="宋体" w:cs="宋体"/>
                <w:kern w:val="0"/>
                <w:sz w:val="20"/>
              </w:rPr>
              <w:t>1</w:t>
            </w:r>
            <w:r>
              <w:rPr>
                <w:rFonts w:hint="eastAsia" w:ascii="宋体" w:hAnsi="宋体" w:cs="宋体"/>
                <w:kern w:val="0"/>
                <w:sz w:val="20"/>
              </w:rPr>
              <w:t>）质量保证金保函，保证金额为：</w:t>
            </w:r>
            <w:r>
              <w:rPr>
                <w:rFonts w:hint="eastAsia" w:asciiTheme="minorEastAsia" w:hAnsiTheme="minorEastAsia" w:eastAsiaTheme="minorEastAsia"/>
                <w:u w:val="single"/>
              </w:rPr>
              <w:t xml:space="preserve">  /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40" w:type="dxa"/>
            <w:gridSpan w:val="3"/>
            <w:vMerge w:val="continue"/>
            <w:tcBorders>
              <w:top w:val="single" w:color="auto" w:sz="4" w:space="0"/>
              <w:bottom w:val="single" w:color="auto" w:sz="4" w:space="0"/>
              <w:right w:val="single" w:color="auto" w:sz="4" w:space="0"/>
            </w:tcBorders>
            <w:vAlign w:val="center"/>
          </w:tcPr>
          <w:p>
            <w:pPr>
              <w:widowControl/>
              <w:jc w:val="left"/>
              <w:rPr>
                <w:rFonts w:ascii="宋体" w:cs="宋体"/>
                <w:kern w:val="0"/>
                <w:sz w:val="20"/>
              </w:rPr>
            </w:pPr>
          </w:p>
        </w:tc>
        <w:tc>
          <w:tcPr>
            <w:tcW w:w="24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0"/>
              </w:rPr>
            </w:pPr>
          </w:p>
        </w:tc>
        <w:tc>
          <w:tcPr>
            <w:tcW w:w="6615" w:type="dxa"/>
            <w:tcBorders>
              <w:top w:val="single" w:color="auto" w:sz="4" w:space="0"/>
              <w:left w:val="single" w:color="auto" w:sz="4" w:space="0"/>
              <w:bottom w:val="single" w:color="auto"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w:t>
            </w:r>
            <w:r>
              <w:rPr>
                <w:rFonts w:ascii="宋体" w:hAnsi="宋体" w:cs="宋体"/>
                <w:kern w:val="0"/>
                <w:sz w:val="20"/>
              </w:rPr>
              <w:t>2</w:t>
            </w:r>
            <w:r>
              <w:rPr>
                <w:rFonts w:hint="eastAsia" w:ascii="宋体" w:hAnsi="宋体" w:cs="宋体"/>
                <w:kern w:val="0"/>
                <w:sz w:val="20"/>
              </w:rPr>
              <w:t>）</w:t>
            </w:r>
            <w:r>
              <w:rPr>
                <w:rFonts w:hint="eastAsia" w:asciiTheme="minorEastAsia" w:hAnsiTheme="minorEastAsia" w:eastAsiaTheme="minorEastAsia"/>
                <w:u w:val="single"/>
              </w:rPr>
              <w:t xml:space="preserve">  /  </w:t>
            </w:r>
            <w:r>
              <w:rPr>
                <w:rFonts w:ascii="宋体" w:hAnsi="宋体" w:cs="宋体"/>
                <w:kern w:val="0"/>
                <w:sz w:val="20"/>
              </w:rPr>
              <w:t>%</w:t>
            </w:r>
            <w:r>
              <w:rPr>
                <w:rFonts w:hint="eastAsia" w:ascii="宋体" w:hAnsi="宋体" w:cs="宋体"/>
                <w:kern w:val="0"/>
                <w:sz w:val="20"/>
              </w:rPr>
              <w:t>的工程款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40" w:type="dxa"/>
            <w:gridSpan w:val="3"/>
            <w:vMerge w:val="continue"/>
            <w:tcBorders>
              <w:top w:val="single" w:color="auto" w:sz="4" w:space="0"/>
              <w:bottom w:val="single" w:color="auto" w:sz="4" w:space="0"/>
              <w:right w:val="single" w:color="auto" w:sz="4" w:space="0"/>
            </w:tcBorders>
            <w:vAlign w:val="center"/>
          </w:tcPr>
          <w:p>
            <w:pPr>
              <w:widowControl/>
              <w:jc w:val="left"/>
              <w:rPr>
                <w:rFonts w:ascii="宋体" w:cs="宋体"/>
                <w:kern w:val="0"/>
                <w:sz w:val="20"/>
              </w:rPr>
            </w:pPr>
          </w:p>
        </w:tc>
        <w:tc>
          <w:tcPr>
            <w:tcW w:w="24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0"/>
              </w:rPr>
            </w:pPr>
          </w:p>
        </w:tc>
        <w:tc>
          <w:tcPr>
            <w:tcW w:w="6615" w:type="dxa"/>
            <w:tcBorders>
              <w:top w:val="single" w:color="auto" w:sz="4" w:space="0"/>
              <w:left w:val="single" w:color="auto" w:sz="4" w:space="0"/>
              <w:bottom w:val="single" w:color="auto"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sz w:val="20"/>
              </w:rPr>
            </w:pPr>
            <w:r>
              <w:rPr>
                <w:rFonts w:hint="eastAsia" w:ascii="宋体" w:hAnsi="宋体" w:cs="宋体"/>
                <w:kern w:val="0"/>
                <w:sz w:val="20"/>
              </w:rPr>
              <w:t>（</w:t>
            </w:r>
            <w:r>
              <w:rPr>
                <w:rFonts w:ascii="宋体" w:hAnsi="宋体" w:cs="宋体"/>
                <w:kern w:val="0"/>
                <w:sz w:val="20"/>
              </w:rPr>
              <w:t>3</w:t>
            </w:r>
            <w:r>
              <w:rPr>
                <w:rFonts w:hint="eastAsia" w:ascii="宋体" w:hAnsi="宋体" w:cs="宋体"/>
                <w:kern w:val="0"/>
                <w:sz w:val="20"/>
              </w:rPr>
              <w:t>）</w:t>
            </w:r>
            <w:r>
              <w:rPr>
                <w:rFonts w:hint="eastAsia" w:hAnsi="宋体"/>
                <w:bCs/>
                <w:sz w:val="20"/>
              </w:rPr>
              <w:t>发包人按工程价款结算总额的</w:t>
            </w:r>
            <w:r>
              <w:rPr>
                <w:rFonts w:hint="eastAsia"/>
                <w:b/>
                <w:bCs/>
                <w:sz w:val="20"/>
              </w:rPr>
              <w:t>3</w:t>
            </w:r>
            <w:r>
              <w:rPr>
                <w:b/>
                <w:bCs/>
                <w:sz w:val="20"/>
              </w:rPr>
              <w:t>%</w:t>
            </w:r>
            <w:r>
              <w:rPr>
                <w:rFonts w:hint="eastAsia" w:hAnsi="宋体"/>
                <w:bCs/>
                <w:sz w:val="20"/>
              </w:rPr>
              <w:t>预留工程质量保修金，待缺陷责任期满后返还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840" w:type="dxa"/>
            <w:gridSpan w:val="3"/>
            <w:vMerge w:val="restart"/>
            <w:tcBorders>
              <w:top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jc w:val="center"/>
              <w:textAlignment w:val="center"/>
              <w:rPr>
                <w:rFonts w:ascii="宋体" w:cs="宋体"/>
                <w:kern w:val="0"/>
                <w:sz w:val="20"/>
              </w:rPr>
            </w:pPr>
            <w:r>
              <w:rPr>
                <w:rFonts w:ascii="宋体" w:hAnsi="宋体" w:cs="宋体"/>
                <w:kern w:val="0"/>
                <w:sz w:val="20"/>
              </w:rPr>
              <w:t>15.3.2</w:t>
            </w:r>
          </w:p>
        </w:tc>
        <w:tc>
          <w:tcPr>
            <w:tcW w:w="2430" w:type="dxa"/>
            <w:vMerge w:val="restart"/>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质量保证金的扣留采取第</w:t>
            </w:r>
            <w:r>
              <w:rPr>
                <w:rFonts w:hint="eastAsia" w:ascii="宋体" w:hAnsi="宋体" w:cs="宋体"/>
                <w:b/>
                <w:bCs/>
                <w:kern w:val="0"/>
                <w:sz w:val="20"/>
                <w:u w:val="single"/>
              </w:rPr>
              <w:t>（2）</w:t>
            </w:r>
            <w:r>
              <w:rPr>
                <w:rStyle w:val="30"/>
                <w:rFonts w:hint="eastAsia"/>
                <w:color w:val="auto"/>
              </w:rPr>
              <w:t>种方式</w:t>
            </w:r>
          </w:p>
        </w:tc>
        <w:tc>
          <w:tcPr>
            <w:tcW w:w="6615" w:type="dxa"/>
            <w:tcBorders>
              <w:top w:val="single" w:color="auto" w:sz="4" w:space="0"/>
              <w:left w:val="single" w:color="auto" w:sz="4" w:space="0"/>
              <w:bottom w:val="single" w:color="auto"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w:t>
            </w:r>
            <w:r>
              <w:rPr>
                <w:rFonts w:ascii="宋体" w:hAnsi="宋体" w:cs="宋体"/>
                <w:kern w:val="0"/>
                <w:sz w:val="20"/>
              </w:rPr>
              <w:t>1</w:t>
            </w:r>
            <w:r>
              <w:rPr>
                <w:rFonts w:hint="eastAsia" w:ascii="宋体" w:hAnsi="宋体" w:cs="宋体"/>
                <w:kern w:val="0"/>
                <w:sz w:val="20"/>
              </w:rPr>
              <w:t>）在支付工程进度款时逐次扣留，在此情形下，质量保证金的计算基数不包括预付款的支付、扣回以及价格调整的金额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40" w:type="dxa"/>
            <w:gridSpan w:val="3"/>
            <w:vMerge w:val="continue"/>
            <w:tcBorders>
              <w:top w:val="single" w:color="auto" w:sz="4" w:space="0"/>
              <w:bottom w:val="single" w:color="auto" w:sz="4" w:space="0"/>
              <w:right w:val="single" w:color="auto" w:sz="4" w:space="0"/>
            </w:tcBorders>
            <w:vAlign w:val="center"/>
          </w:tcPr>
          <w:p>
            <w:pPr>
              <w:widowControl/>
              <w:jc w:val="left"/>
              <w:rPr>
                <w:rFonts w:ascii="宋体" w:cs="宋体"/>
                <w:kern w:val="0"/>
                <w:sz w:val="20"/>
              </w:rPr>
            </w:pPr>
          </w:p>
        </w:tc>
        <w:tc>
          <w:tcPr>
            <w:tcW w:w="24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0"/>
              </w:rPr>
            </w:pPr>
          </w:p>
        </w:tc>
        <w:tc>
          <w:tcPr>
            <w:tcW w:w="6615" w:type="dxa"/>
            <w:tcBorders>
              <w:top w:val="single" w:color="auto" w:sz="4" w:space="0"/>
              <w:left w:val="single" w:color="auto" w:sz="4" w:space="0"/>
              <w:bottom w:val="single" w:color="auto"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w:t>
            </w:r>
            <w:r>
              <w:rPr>
                <w:rFonts w:ascii="宋体" w:hAnsi="宋体" w:cs="宋体"/>
                <w:kern w:val="0"/>
                <w:sz w:val="20"/>
              </w:rPr>
              <w:t>2</w:t>
            </w:r>
            <w:r>
              <w:rPr>
                <w:rFonts w:hint="eastAsia" w:ascii="宋体" w:hAnsi="宋体" w:cs="宋体"/>
                <w:kern w:val="0"/>
                <w:sz w:val="20"/>
              </w:rPr>
              <w:t>）工程竣工结算时一次性扣留质量保证金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40" w:type="dxa"/>
            <w:gridSpan w:val="3"/>
            <w:vMerge w:val="continue"/>
            <w:tcBorders>
              <w:top w:val="single" w:color="auto" w:sz="4" w:space="0"/>
              <w:bottom w:val="single" w:color="auto" w:sz="4" w:space="0"/>
              <w:right w:val="single" w:color="auto" w:sz="4" w:space="0"/>
            </w:tcBorders>
            <w:vAlign w:val="center"/>
          </w:tcPr>
          <w:p>
            <w:pPr>
              <w:widowControl/>
              <w:jc w:val="left"/>
              <w:rPr>
                <w:rFonts w:ascii="宋体" w:cs="宋体"/>
                <w:kern w:val="0"/>
                <w:sz w:val="20"/>
              </w:rPr>
            </w:pPr>
          </w:p>
        </w:tc>
        <w:tc>
          <w:tcPr>
            <w:tcW w:w="24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0"/>
              </w:rPr>
            </w:pPr>
          </w:p>
        </w:tc>
        <w:tc>
          <w:tcPr>
            <w:tcW w:w="6615" w:type="dxa"/>
            <w:tcBorders>
              <w:top w:val="single" w:color="auto" w:sz="4" w:space="0"/>
              <w:left w:val="single" w:color="auto" w:sz="4" w:space="0"/>
              <w:bottom w:val="single" w:color="auto"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w:t>
            </w:r>
            <w:r>
              <w:rPr>
                <w:rFonts w:ascii="宋体" w:hAnsi="宋体" w:cs="宋体"/>
                <w:kern w:val="0"/>
                <w:sz w:val="20"/>
              </w:rPr>
              <w:t>3</w:t>
            </w:r>
            <w:r>
              <w:rPr>
                <w:rFonts w:hint="eastAsia" w:ascii="宋体" w:hAnsi="宋体" w:cs="宋体"/>
                <w:kern w:val="0"/>
                <w:sz w:val="20"/>
              </w:rPr>
              <w:t>）其它扣留方式：</w:t>
            </w:r>
            <w:r>
              <w:rPr>
                <w:rFonts w:hint="eastAsia" w:asciiTheme="minorEastAsia" w:hAnsiTheme="minorEastAsia" w:eastAsiaTheme="minorEastAsia"/>
                <w:u w:val="single"/>
              </w:rPr>
              <w:t xml:space="preserve">  /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885" w:type="dxa"/>
            <w:gridSpan w:val="5"/>
            <w:tcBorders>
              <w:top w:val="single" w:color="auto" w:sz="4" w:space="0"/>
              <w:bottom w:val="single" w:color="auto" w:sz="4" w:space="0"/>
            </w:tcBorders>
            <w:tcMar>
              <w:top w:w="15" w:type="dxa"/>
              <w:left w:w="15" w:type="dxa"/>
              <w:bottom w:w="15" w:type="dxa"/>
              <w:right w:w="15" w:type="dxa"/>
            </w:tcMar>
            <w:vAlign w:val="center"/>
          </w:tcPr>
          <w:p>
            <w:pPr>
              <w:widowControl/>
              <w:adjustRightInd w:val="0"/>
              <w:snapToGrid w:val="0"/>
              <w:jc w:val="left"/>
              <w:textAlignment w:val="center"/>
              <w:rPr>
                <w:rFonts w:ascii="黑体" w:hAnsi="宋体" w:eastAsia="黑体" w:cs="黑体"/>
                <w:kern w:val="0"/>
                <w:sz w:val="24"/>
              </w:rPr>
            </w:pPr>
            <w:r>
              <w:rPr>
                <w:rFonts w:ascii="黑体" w:hAnsi="宋体" w:eastAsia="黑体" w:cs="黑体"/>
                <w:kern w:val="0"/>
                <w:sz w:val="24"/>
              </w:rPr>
              <w:t>15.4</w:t>
            </w:r>
            <w:r>
              <w:rPr>
                <w:rFonts w:hint="eastAsia" w:ascii="黑体" w:hAnsi="宋体" w:eastAsia="黑体" w:cs="黑体"/>
                <w:kern w:val="0"/>
                <w:sz w:val="24"/>
              </w:rPr>
              <w:t>保修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40" w:type="dxa"/>
            <w:gridSpan w:val="3"/>
            <w:vMerge w:val="restart"/>
            <w:tcBorders>
              <w:top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jc w:val="center"/>
              <w:textAlignment w:val="center"/>
              <w:rPr>
                <w:rFonts w:ascii="宋体" w:cs="宋体"/>
                <w:kern w:val="0"/>
                <w:sz w:val="20"/>
              </w:rPr>
            </w:pPr>
            <w:r>
              <w:rPr>
                <w:rFonts w:ascii="宋体" w:hAnsi="宋体" w:cs="宋体"/>
                <w:kern w:val="0"/>
                <w:sz w:val="20"/>
              </w:rPr>
              <w:t>15.4.1</w:t>
            </w:r>
          </w:p>
        </w:tc>
        <w:tc>
          <w:tcPr>
            <w:tcW w:w="2430" w:type="dxa"/>
            <w:vMerge w:val="restart"/>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工程保修期</w:t>
            </w:r>
          </w:p>
        </w:tc>
        <w:tc>
          <w:tcPr>
            <w:tcW w:w="6615" w:type="dxa"/>
            <w:tcBorders>
              <w:top w:val="single" w:color="auto" w:sz="4" w:space="0"/>
              <w:left w:val="single" w:color="auto" w:sz="4" w:space="0"/>
              <w:bottom w:val="single" w:color="auto"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MS Mincho" w:hAnsi="MS Mincho" w:eastAsia="MS Mincho" w:cs="MS Mincho"/>
                <w:szCs w:val="21"/>
              </w:rPr>
              <w:t>☑</w:t>
            </w:r>
            <w:r>
              <w:rPr>
                <w:rFonts w:hint="eastAsia" w:ascii="宋体" w:hAnsi="宋体" w:cs="宋体"/>
                <w:kern w:val="0"/>
                <w:sz w:val="20"/>
              </w:rPr>
              <w:t>按法定最低保修期限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840" w:type="dxa"/>
            <w:gridSpan w:val="3"/>
            <w:vMerge w:val="continue"/>
            <w:tcBorders>
              <w:top w:val="single" w:color="auto" w:sz="4" w:space="0"/>
              <w:bottom w:val="single" w:color="auto" w:sz="4" w:space="0"/>
              <w:right w:val="single" w:color="auto" w:sz="4" w:space="0"/>
            </w:tcBorders>
            <w:vAlign w:val="center"/>
          </w:tcPr>
          <w:p>
            <w:pPr>
              <w:widowControl/>
              <w:jc w:val="left"/>
              <w:rPr>
                <w:rFonts w:ascii="宋体" w:cs="宋体"/>
                <w:kern w:val="0"/>
                <w:sz w:val="20"/>
              </w:rPr>
            </w:pPr>
          </w:p>
        </w:tc>
        <w:tc>
          <w:tcPr>
            <w:tcW w:w="24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0"/>
              </w:rPr>
            </w:pPr>
          </w:p>
        </w:tc>
        <w:tc>
          <w:tcPr>
            <w:tcW w:w="6615" w:type="dxa"/>
            <w:tcBorders>
              <w:top w:val="single" w:color="auto" w:sz="4" w:space="0"/>
              <w:left w:val="single" w:color="auto" w:sz="4" w:space="0"/>
              <w:bottom w:val="single" w:color="auto"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□其它期限：</w:t>
            </w:r>
            <w:r>
              <w:rPr>
                <w:rFonts w:hint="eastAsia" w:asciiTheme="minorEastAsia" w:hAnsiTheme="minorEastAsia" w:eastAsiaTheme="minorEastAsia"/>
                <w:u w:val="single"/>
              </w:rPr>
              <w:t xml:space="preserve">  /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40" w:type="dxa"/>
            <w:gridSpan w:val="3"/>
            <w:tcBorders>
              <w:top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jc w:val="center"/>
              <w:textAlignment w:val="center"/>
              <w:rPr>
                <w:rFonts w:ascii="宋体" w:cs="宋体"/>
                <w:kern w:val="0"/>
                <w:sz w:val="20"/>
              </w:rPr>
            </w:pPr>
            <w:r>
              <w:rPr>
                <w:rFonts w:ascii="宋体" w:hAnsi="宋体" w:cs="宋体"/>
                <w:kern w:val="0"/>
                <w:sz w:val="20"/>
              </w:rPr>
              <w:t>15.4.3</w:t>
            </w:r>
          </w:p>
        </w:tc>
        <w:tc>
          <w:tcPr>
            <w:tcW w:w="243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承包人收到保修通知并到达工程现场的合理时间</w:t>
            </w:r>
          </w:p>
        </w:tc>
        <w:tc>
          <w:tcPr>
            <w:tcW w:w="6615" w:type="dxa"/>
            <w:tcBorders>
              <w:top w:val="single" w:color="auto" w:sz="4" w:space="0"/>
              <w:left w:val="single" w:color="auto" w:sz="4" w:space="0"/>
              <w:bottom w:val="single" w:color="auto"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MS Mincho" w:hAnsi="MS Mincho" w:eastAsia="MS Mincho" w:cs="MS Mincho"/>
                <w:szCs w:val="21"/>
              </w:rPr>
              <w:t>☑</w:t>
            </w:r>
            <w:r>
              <w:rPr>
                <w:rFonts w:ascii="宋体" w:hAnsi="宋体" w:cs="宋体"/>
                <w:kern w:val="0"/>
                <w:sz w:val="20"/>
                <w:u w:val="single"/>
              </w:rPr>
              <w:t>_</w:t>
            </w:r>
            <w:r>
              <w:rPr>
                <w:rFonts w:hint="eastAsia" w:ascii="宋体" w:hAnsi="宋体" w:cs="宋体"/>
                <w:kern w:val="0"/>
                <w:sz w:val="20"/>
                <w:u w:val="single"/>
              </w:rPr>
              <w:t>24</w:t>
            </w:r>
            <w:r>
              <w:rPr>
                <w:rFonts w:ascii="宋体" w:hAnsi="宋体" w:cs="宋体"/>
                <w:kern w:val="0"/>
                <w:sz w:val="20"/>
                <w:u w:val="single"/>
              </w:rPr>
              <w:t>_</w:t>
            </w:r>
            <w:r>
              <w:rPr>
                <w:rFonts w:hint="eastAsia" w:ascii="宋体" w:hAnsi="宋体" w:cs="宋体"/>
                <w:kern w:val="0"/>
                <w:sz w:val="20"/>
              </w:rPr>
              <w:t>小时内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885" w:type="dxa"/>
            <w:gridSpan w:val="5"/>
            <w:tcBorders>
              <w:top w:val="single" w:color="auto" w:sz="4" w:space="0"/>
              <w:bottom w:val="single" w:color="auto" w:sz="4" w:space="0"/>
            </w:tcBorders>
            <w:tcMar>
              <w:top w:w="15" w:type="dxa"/>
              <w:left w:w="15" w:type="dxa"/>
              <w:bottom w:w="15" w:type="dxa"/>
              <w:right w:w="15" w:type="dxa"/>
            </w:tcMar>
            <w:vAlign w:val="center"/>
          </w:tcPr>
          <w:p>
            <w:pPr>
              <w:widowControl/>
              <w:adjustRightInd w:val="0"/>
              <w:snapToGrid w:val="0"/>
              <w:jc w:val="left"/>
              <w:textAlignment w:val="center"/>
              <w:rPr>
                <w:rFonts w:ascii="黑体" w:hAnsi="宋体" w:eastAsia="黑体" w:cs="黑体"/>
                <w:kern w:val="0"/>
                <w:sz w:val="24"/>
              </w:rPr>
            </w:pPr>
            <w:r>
              <w:rPr>
                <w:rFonts w:ascii="黑体" w:hAnsi="宋体" w:eastAsia="黑体" w:cs="黑体"/>
                <w:kern w:val="0"/>
                <w:sz w:val="24"/>
              </w:rPr>
              <w:t>20.3</w:t>
            </w:r>
            <w:r>
              <w:rPr>
                <w:rFonts w:hint="eastAsia" w:ascii="黑体" w:hAnsi="宋体" w:eastAsia="黑体" w:cs="黑体"/>
                <w:kern w:val="0"/>
                <w:sz w:val="24"/>
              </w:rPr>
              <w:t>争议评审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70" w:type="dxa"/>
            <w:gridSpan w:val="4"/>
            <w:vMerge w:val="restart"/>
            <w:tcBorders>
              <w:top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合同当事人是否同意将工程争议提交争议评审小组决定</w:t>
            </w:r>
          </w:p>
        </w:tc>
        <w:tc>
          <w:tcPr>
            <w:tcW w:w="6615" w:type="dxa"/>
            <w:tcBorders>
              <w:top w:val="single" w:color="auto" w:sz="4" w:space="0"/>
              <w:left w:val="single" w:color="auto" w:sz="4" w:space="0"/>
              <w:bottom w:val="single" w:color="auto"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MS Mincho" w:hAnsi="MS Mincho" w:eastAsia="MS Mincho" w:cs="MS Mincho"/>
                <w:szCs w:val="21"/>
              </w:rPr>
              <w:t>☑</w:t>
            </w:r>
            <w:r>
              <w:rPr>
                <w:rFonts w:hint="eastAsia" w:ascii="宋体" w:hAnsi="宋体" w:cs="宋体"/>
                <w:kern w:val="0"/>
                <w:sz w:val="20"/>
              </w:rPr>
              <w:t>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70" w:type="dxa"/>
            <w:gridSpan w:val="4"/>
            <w:vMerge w:val="continue"/>
            <w:tcBorders>
              <w:top w:val="single" w:color="auto" w:sz="4" w:space="0"/>
              <w:bottom w:val="single" w:color="auto" w:sz="4" w:space="0"/>
              <w:right w:val="single" w:color="auto" w:sz="4" w:space="0"/>
            </w:tcBorders>
            <w:vAlign w:val="center"/>
          </w:tcPr>
          <w:p>
            <w:pPr>
              <w:widowControl/>
              <w:jc w:val="left"/>
              <w:rPr>
                <w:rFonts w:ascii="宋体" w:cs="宋体"/>
                <w:kern w:val="0"/>
                <w:sz w:val="20"/>
              </w:rPr>
            </w:pPr>
          </w:p>
        </w:tc>
        <w:tc>
          <w:tcPr>
            <w:tcW w:w="6615" w:type="dxa"/>
            <w:tcBorders>
              <w:top w:val="single" w:color="auto" w:sz="4" w:space="0"/>
              <w:left w:val="single" w:color="auto" w:sz="4" w:space="0"/>
              <w:bottom w:val="single" w:color="auto"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3270" w:type="dxa"/>
            <w:gridSpan w:val="4"/>
            <w:vMerge w:val="restart"/>
            <w:tcBorders>
              <w:top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jc w:val="left"/>
              <w:textAlignment w:val="center"/>
              <w:rPr>
                <w:rFonts w:ascii="华文中宋" w:hAnsi="华文中宋" w:eastAsia="华文中宋" w:cs="华文中宋"/>
                <w:kern w:val="0"/>
                <w:sz w:val="20"/>
              </w:rPr>
            </w:pPr>
            <w:r>
              <w:rPr>
                <w:rFonts w:hint="eastAsia" w:ascii="宋体" w:hAnsi="宋体" w:cs="宋体"/>
                <w:kern w:val="0"/>
                <w:sz w:val="20"/>
              </w:rPr>
              <w:t>合同当事人关于本条款的约定</w:t>
            </w:r>
          </w:p>
        </w:tc>
        <w:tc>
          <w:tcPr>
            <w:tcW w:w="6615" w:type="dxa"/>
            <w:tcBorders>
              <w:top w:val="single" w:color="auto" w:sz="4" w:space="0"/>
              <w:left w:val="single" w:color="auto" w:sz="4" w:space="0"/>
              <w:bottom w:val="single" w:color="auto"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MS Mincho" w:hAnsi="MS Mincho" w:eastAsia="MS Mincho" w:cs="MS Mincho"/>
                <w:szCs w:val="21"/>
              </w:rPr>
              <w:t>☑</w:t>
            </w:r>
            <w:r>
              <w:rPr>
                <w:rFonts w:hint="eastAsia" w:ascii="宋体" w:hAnsi="宋体" w:cs="宋体"/>
                <w:kern w:val="0"/>
                <w:sz w:val="20"/>
              </w:rPr>
              <w:t>执行《泰州市建设工程争议评审规则》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3270" w:type="dxa"/>
            <w:gridSpan w:val="4"/>
            <w:vMerge w:val="continue"/>
            <w:tcBorders>
              <w:top w:val="single" w:color="auto" w:sz="4" w:space="0"/>
              <w:bottom w:val="single" w:color="auto" w:sz="4" w:space="0"/>
              <w:right w:val="single" w:color="auto" w:sz="4" w:space="0"/>
            </w:tcBorders>
            <w:vAlign w:val="center"/>
          </w:tcPr>
          <w:p>
            <w:pPr>
              <w:widowControl/>
              <w:jc w:val="left"/>
              <w:rPr>
                <w:rFonts w:ascii="华文中宋" w:hAnsi="华文中宋" w:eastAsia="华文中宋" w:cs="华文中宋"/>
                <w:kern w:val="0"/>
                <w:sz w:val="20"/>
              </w:rPr>
            </w:pPr>
          </w:p>
        </w:tc>
        <w:tc>
          <w:tcPr>
            <w:tcW w:w="6615" w:type="dxa"/>
            <w:tcBorders>
              <w:top w:val="single" w:color="auto" w:sz="4" w:space="0"/>
              <w:left w:val="single" w:color="auto" w:sz="4" w:space="0"/>
              <w:bottom w:val="single" w:color="auto"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eastAsiaTheme="minorEastAsia"/>
                <w:kern w:val="0"/>
                <w:sz w:val="20"/>
              </w:rPr>
            </w:pPr>
            <w:r>
              <w:rPr>
                <w:rFonts w:hint="eastAsia" w:ascii="宋体" w:hAnsi="宋体" w:cs="宋体"/>
                <w:kern w:val="0"/>
                <w:sz w:val="20"/>
              </w:rPr>
              <w:t>□其它：</w:t>
            </w:r>
            <w:r>
              <w:rPr>
                <w:rFonts w:hint="eastAsia" w:asciiTheme="minorEastAsia" w:hAnsiTheme="minorEastAsia" w:eastAsiaTheme="minorEastAsia"/>
                <w:u w:val="single"/>
              </w:rPr>
              <w:t xml:space="preserve">  /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9885" w:type="dxa"/>
            <w:gridSpan w:val="5"/>
            <w:tcBorders>
              <w:top w:val="single" w:color="auto" w:sz="4" w:space="0"/>
              <w:bottom w:val="single" w:color="auto"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ascii="黑体" w:hAnsi="宋体" w:eastAsia="黑体" w:cs="黑体"/>
                <w:kern w:val="0"/>
                <w:sz w:val="24"/>
              </w:rPr>
              <w:t xml:space="preserve">20.4 </w:t>
            </w:r>
            <w:r>
              <w:rPr>
                <w:rFonts w:hint="eastAsia" w:ascii="黑体" w:hAnsi="宋体" w:eastAsia="黑体" w:cs="黑体"/>
                <w:kern w:val="0"/>
                <w:sz w:val="24"/>
              </w:rPr>
              <w:t>仲裁或诉讼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6" w:hRule="atLeast"/>
        </w:trPr>
        <w:tc>
          <w:tcPr>
            <w:tcW w:w="3270" w:type="dxa"/>
            <w:gridSpan w:val="4"/>
            <w:vMerge w:val="restart"/>
            <w:tcBorders>
              <w:top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jc w:val="left"/>
              <w:textAlignment w:val="center"/>
            </w:pPr>
            <w:r>
              <w:rPr>
                <w:rFonts w:hint="eastAsia" w:ascii="宋体" w:hAnsi="宋体" w:cs="宋体"/>
                <w:kern w:val="0"/>
                <w:sz w:val="20"/>
              </w:rPr>
              <w:t>因合同及合同有关事项发生的争议，按第</w:t>
            </w:r>
            <w:r>
              <w:rPr>
                <w:rFonts w:hint="eastAsia" w:ascii="宋体" w:hAnsi="宋体" w:cs="宋体"/>
                <w:b/>
                <w:bCs/>
                <w:kern w:val="0"/>
                <w:sz w:val="20"/>
                <w:u w:val="single"/>
              </w:rPr>
              <w:t>（2）</w:t>
            </w:r>
            <w:r>
              <w:rPr>
                <w:rFonts w:hint="eastAsia" w:ascii="宋体" w:hAnsi="宋体" w:cs="宋体"/>
                <w:kern w:val="0"/>
                <w:sz w:val="20"/>
              </w:rPr>
              <w:t>种方式解决</w:t>
            </w:r>
          </w:p>
        </w:tc>
        <w:tc>
          <w:tcPr>
            <w:tcW w:w="6615" w:type="dxa"/>
            <w:tcBorders>
              <w:top w:val="single" w:color="auto" w:sz="4" w:space="0"/>
              <w:left w:val="single" w:color="auto" w:sz="4" w:space="0"/>
              <w:bottom w:val="single" w:color="auto" w:sz="4" w:space="0"/>
            </w:tcBorders>
            <w:tcMar>
              <w:top w:w="15" w:type="dxa"/>
              <w:left w:w="15" w:type="dxa"/>
              <w:bottom w:w="15" w:type="dxa"/>
              <w:right w:w="15" w:type="dxa"/>
            </w:tcMar>
            <w:vAlign w:val="center"/>
          </w:tcPr>
          <w:p>
            <w:pPr>
              <w:widowControl/>
              <w:adjustRightInd w:val="0"/>
              <w:snapToGrid w:val="0"/>
              <w:jc w:val="left"/>
              <w:textAlignment w:val="center"/>
              <w:rPr>
                <w:rFonts w:ascii="宋体" w:cs="宋体"/>
                <w:kern w:val="0"/>
                <w:sz w:val="20"/>
              </w:rPr>
            </w:pPr>
            <w:r>
              <w:rPr>
                <w:rFonts w:hint="eastAsia" w:ascii="宋体" w:hAnsi="宋体" w:cs="宋体"/>
                <w:kern w:val="0"/>
                <w:sz w:val="20"/>
              </w:rPr>
              <w:t>（</w:t>
            </w:r>
            <w:r>
              <w:rPr>
                <w:rFonts w:ascii="宋体" w:hAnsi="宋体" w:cs="宋体"/>
                <w:kern w:val="0"/>
                <w:sz w:val="20"/>
              </w:rPr>
              <w:t>1</w:t>
            </w:r>
            <w:r>
              <w:rPr>
                <w:rFonts w:hint="eastAsia" w:ascii="宋体" w:hAnsi="宋体" w:cs="宋体"/>
                <w:kern w:val="0"/>
                <w:sz w:val="20"/>
              </w:rPr>
              <w:t>）向泰州市仲裁委员会申请仲裁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70" w:type="dxa"/>
            <w:gridSpan w:val="4"/>
            <w:vMerge w:val="continue"/>
            <w:tcBorders>
              <w:top w:val="single" w:color="auto" w:sz="4" w:space="0"/>
              <w:bottom w:val="single" w:color="auto" w:sz="4" w:space="0"/>
              <w:right w:val="single" w:color="auto" w:sz="4" w:space="0"/>
            </w:tcBorders>
            <w:vAlign w:val="center"/>
          </w:tcPr>
          <w:p>
            <w:pPr>
              <w:widowControl/>
              <w:jc w:val="left"/>
            </w:pPr>
          </w:p>
        </w:tc>
        <w:tc>
          <w:tcPr>
            <w:tcW w:w="6615" w:type="dxa"/>
            <w:tcBorders>
              <w:top w:val="single" w:color="auto" w:sz="4" w:space="0"/>
              <w:left w:val="single" w:color="auto" w:sz="4" w:space="0"/>
              <w:bottom w:val="single" w:color="auto" w:sz="4" w:space="0"/>
            </w:tcBorders>
            <w:tcMar>
              <w:top w:w="15" w:type="dxa"/>
              <w:left w:w="15" w:type="dxa"/>
              <w:bottom w:w="15" w:type="dxa"/>
              <w:right w:w="15" w:type="dxa"/>
            </w:tcMar>
            <w:vAlign w:val="center"/>
          </w:tcPr>
          <w:p>
            <w:pPr>
              <w:widowControl/>
              <w:adjustRightInd w:val="0"/>
              <w:snapToGrid w:val="0"/>
              <w:jc w:val="left"/>
              <w:textAlignment w:val="center"/>
            </w:pPr>
            <w:r>
              <w:rPr>
                <w:rFonts w:hint="eastAsia" w:ascii="宋体" w:hAnsi="宋体" w:cs="宋体"/>
                <w:kern w:val="0"/>
                <w:sz w:val="20"/>
              </w:rPr>
              <w:t>（</w:t>
            </w:r>
            <w:r>
              <w:rPr>
                <w:rFonts w:ascii="宋体" w:hAnsi="宋体" w:cs="宋体"/>
                <w:kern w:val="0"/>
                <w:sz w:val="20"/>
              </w:rPr>
              <w:t>2</w:t>
            </w:r>
            <w:r>
              <w:rPr>
                <w:rFonts w:hint="eastAsia" w:ascii="宋体" w:hAnsi="宋体" w:cs="宋体"/>
                <w:kern w:val="0"/>
                <w:sz w:val="20"/>
              </w:rPr>
              <w:t>）向有管辖权的人民法院起诉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70" w:type="dxa"/>
            <w:gridSpan w:val="4"/>
            <w:tcBorders>
              <w:top w:val="single" w:color="auto" w:sz="4" w:space="0"/>
              <w:bottom w:val="single" w:color="auto" w:sz="4" w:space="0"/>
              <w:right w:val="single" w:color="auto" w:sz="4" w:space="0"/>
            </w:tcBorders>
            <w:vAlign w:val="center"/>
          </w:tcPr>
          <w:p>
            <w:pPr>
              <w:widowControl/>
              <w:jc w:val="left"/>
            </w:pPr>
          </w:p>
        </w:tc>
        <w:tc>
          <w:tcPr>
            <w:tcW w:w="6615" w:type="dxa"/>
            <w:tcBorders>
              <w:top w:val="single" w:color="auto" w:sz="4" w:space="0"/>
              <w:left w:val="single" w:color="auto" w:sz="4" w:space="0"/>
              <w:bottom w:val="single" w:color="auto" w:sz="4" w:space="0"/>
            </w:tcBorders>
            <w:tcMar>
              <w:top w:w="15" w:type="dxa"/>
              <w:left w:w="15" w:type="dxa"/>
              <w:bottom w:w="15" w:type="dxa"/>
              <w:right w:w="15" w:type="dxa"/>
            </w:tcMar>
            <w:vAlign w:val="center"/>
          </w:tcPr>
          <w:p>
            <w:pPr>
              <w:widowControl/>
              <w:adjustRightInd w:val="0"/>
              <w:snapToGrid w:val="0"/>
              <w:jc w:val="left"/>
              <w:textAlignment w:val="center"/>
              <w:rPr>
                <w:rFonts w:ascii="宋体" w:hAnsi="宋体" w:cs="宋体"/>
                <w:kern w:val="0"/>
                <w:sz w:val="20"/>
              </w:rPr>
            </w:pPr>
          </w:p>
        </w:tc>
      </w:tr>
    </w:tbl>
    <w:p>
      <w:pPr>
        <w:rPr>
          <w:rFonts w:ascii="黑体" w:hAnsi="黑体" w:eastAsia="黑体"/>
          <w:sz w:val="28"/>
        </w:rPr>
      </w:pPr>
    </w:p>
    <w:p>
      <w:r>
        <w:rPr>
          <w:rFonts w:hint="eastAsia"/>
        </w:rPr>
        <w:br w:type="page"/>
      </w:r>
    </w:p>
    <w:p>
      <w:pPr>
        <w:pStyle w:val="4"/>
      </w:pPr>
      <w:r>
        <w:rPr>
          <w:rFonts w:hint="eastAsia"/>
        </w:rPr>
        <w:t>第五章工程量清单</w:t>
      </w:r>
    </w:p>
    <w:p>
      <w:pPr>
        <w:pageBreakBefore w:val="0"/>
        <w:widowControl w:val="0"/>
        <w:kinsoku/>
        <w:wordWrap/>
        <w:overflowPunct/>
        <w:topLinePunct w:val="0"/>
        <w:autoSpaceDE/>
        <w:autoSpaceDN/>
        <w:bidi w:val="0"/>
        <w:adjustRightInd w:val="0"/>
        <w:snapToGrid w:val="0"/>
        <w:spacing w:line="360" w:lineRule="auto"/>
        <w:textAlignment w:val="auto"/>
        <w:rPr>
          <w:rFonts w:ascii="黑体" w:hAnsi="宋体" w:eastAsia="黑体" w:cs="黑体"/>
          <w:sz w:val="28"/>
          <w:szCs w:val="28"/>
        </w:rPr>
      </w:pPr>
      <w:bookmarkStart w:id="248" w:name="_Toc162409184"/>
      <w:bookmarkStart w:id="249" w:name="_Toc342296519"/>
      <w:bookmarkStart w:id="250" w:name="_Toc241459760"/>
      <w:bookmarkStart w:id="251" w:name="_Toc362252985"/>
      <w:r>
        <w:rPr>
          <w:rFonts w:ascii="黑体" w:hAnsi="宋体" w:eastAsia="黑体" w:cs="黑体"/>
          <w:sz w:val="28"/>
          <w:szCs w:val="28"/>
        </w:rPr>
        <w:t>1</w:t>
      </w:r>
      <w:bookmarkEnd w:id="248"/>
      <w:r>
        <w:rPr>
          <w:rFonts w:ascii="黑体" w:hAnsi="宋体" w:eastAsia="黑体" w:cs="黑体"/>
          <w:sz w:val="28"/>
          <w:szCs w:val="28"/>
        </w:rPr>
        <w:t>.</w:t>
      </w:r>
      <w:r>
        <w:rPr>
          <w:rFonts w:hint="eastAsia" w:ascii="黑体" w:hAnsi="宋体" w:eastAsia="黑体" w:cs="黑体"/>
          <w:sz w:val="28"/>
          <w:szCs w:val="28"/>
        </w:rPr>
        <w:t>工程量清单说明</w:t>
      </w:r>
      <w:bookmarkEnd w:id="249"/>
      <w:bookmarkEnd w:id="250"/>
      <w:bookmarkEnd w:id="251"/>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cs="仿宋_GB2312"/>
          <w:szCs w:val="21"/>
        </w:rPr>
      </w:pPr>
      <w:r>
        <w:rPr>
          <w:rFonts w:ascii="宋体" w:hAnsi="宋体" w:cs="仿宋_GB2312"/>
          <w:szCs w:val="21"/>
        </w:rPr>
        <w:t>1.1</w:t>
      </w:r>
      <w:r>
        <w:rPr>
          <w:rFonts w:hint="eastAsia" w:ascii="宋体" w:hAnsi="宋体" w:cs="仿宋_GB2312"/>
          <w:szCs w:val="21"/>
        </w:rPr>
        <w:t>本工程量清单是依据现行中华人民共和国国家标准《建设工程工程量清单计价规范》（</w:t>
      </w:r>
      <w:r>
        <w:rPr>
          <w:rFonts w:ascii="宋体" w:hAnsi="宋体" w:cs="仿宋_GB2312"/>
          <w:szCs w:val="21"/>
        </w:rPr>
        <w:t>GB50500—2013</w:t>
      </w:r>
      <w:r>
        <w:rPr>
          <w:rFonts w:hint="eastAsia" w:ascii="宋体" w:hAnsi="宋体" w:cs="仿宋_GB2312"/>
          <w:szCs w:val="21"/>
        </w:rPr>
        <w:t>）（以下简称“</w:t>
      </w:r>
      <w:r>
        <w:rPr>
          <w:rFonts w:ascii="宋体" w:hAnsi="宋体" w:cs="仿宋_GB2312"/>
          <w:szCs w:val="21"/>
        </w:rPr>
        <w:t>2013</w:t>
      </w:r>
      <w:r>
        <w:rPr>
          <w:rFonts w:hint="eastAsia" w:ascii="宋体" w:hAnsi="宋体" w:cs="仿宋_GB2312"/>
          <w:szCs w:val="21"/>
        </w:rPr>
        <w:t>版计价规范”）及《房屋建筑与装饰工程工程量计算规范》（</w:t>
      </w:r>
      <w:r>
        <w:rPr>
          <w:rFonts w:ascii="宋体" w:hAnsi="宋体" w:cs="仿宋_GB2312"/>
          <w:szCs w:val="21"/>
        </w:rPr>
        <w:t>GB50854-2013</w:t>
      </w:r>
      <w:r>
        <w:rPr>
          <w:rFonts w:hint="eastAsia" w:ascii="宋体" w:hAnsi="宋体" w:cs="仿宋_GB2312"/>
          <w:szCs w:val="21"/>
        </w:rPr>
        <w:t>）等</w:t>
      </w:r>
      <w:r>
        <w:rPr>
          <w:rFonts w:ascii="宋体" w:hAnsi="宋体" w:cs="仿宋_GB2312"/>
          <w:szCs w:val="21"/>
        </w:rPr>
        <w:t>9</w:t>
      </w:r>
      <w:r>
        <w:rPr>
          <w:rFonts w:hint="eastAsia" w:ascii="宋体" w:hAnsi="宋体" w:cs="仿宋_GB2312"/>
          <w:szCs w:val="21"/>
        </w:rPr>
        <w:t>本工程量计算规范（以下简称“</w:t>
      </w:r>
      <w:r>
        <w:rPr>
          <w:rFonts w:ascii="宋体" w:hAnsi="宋体" w:cs="仿宋_GB2312"/>
          <w:szCs w:val="21"/>
        </w:rPr>
        <w:t>2013</w:t>
      </w:r>
      <w:r>
        <w:rPr>
          <w:rFonts w:hint="eastAsia" w:ascii="宋体" w:hAnsi="宋体" w:cs="仿宋_GB2312"/>
          <w:szCs w:val="21"/>
        </w:rPr>
        <w:t>版计算规范”）以及招标文件中包括的图纸等编制。</w:t>
      </w:r>
      <w:r>
        <w:rPr>
          <w:rFonts w:ascii="宋体" w:hAnsi="宋体" w:cs="仿宋_GB2312"/>
          <w:szCs w:val="21"/>
        </w:rPr>
        <w:t>2013</w:t>
      </w:r>
      <w:r>
        <w:rPr>
          <w:rFonts w:hint="eastAsia" w:ascii="宋体" w:hAnsi="宋体" w:cs="仿宋_GB2312"/>
          <w:szCs w:val="21"/>
        </w:rPr>
        <w:t>版计算规范中规定的工程量计算规则中没有的子目，应在本章第</w:t>
      </w:r>
      <w:r>
        <w:rPr>
          <w:rFonts w:ascii="宋体" w:hAnsi="宋体" w:cs="仿宋_GB2312"/>
          <w:szCs w:val="21"/>
        </w:rPr>
        <w:t>1.4</w:t>
      </w:r>
      <w:r>
        <w:rPr>
          <w:rFonts w:hint="eastAsia" w:ascii="宋体" w:hAnsi="宋体" w:cs="仿宋_GB2312"/>
          <w:szCs w:val="21"/>
        </w:rPr>
        <w:t>款约定；</w:t>
      </w:r>
      <w:r>
        <w:rPr>
          <w:rFonts w:ascii="宋体" w:hAnsi="宋体" w:cs="仿宋_GB2312"/>
          <w:szCs w:val="21"/>
        </w:rPr>
        <w:t>2013</w:t>
      </w:r>
      <w:r>
        <w:rPr>
          <w:rFonts w:hint="eastAsia" w:ascii="宋体" w:hAnsi="宋体" w:cs="仿宋_GB2312"/>
          <w:szCs w:val="21"/>
        </w:rPr>
        <w:t>版计算规范中规定的工程量计算规则中没有且本章第</w:t>
      </w:r>
      <w:r>
        <w:rPr>
          <w:rFonts w:ascii="宋体" w:hAnsi="宋体" w:cs="仿宋_GB2312"/>
          <w:szCs w:val="21"/>
        </w:rPr>
        <w:t>1.4</w:t>
      </w:r>
      <w:r>
        <w:rPr>
          <w:rFonts w:hint="eastAsia" w:ascii="宋体" w:hAnsi="宋体" w:cs="仿宋_GB2312"/>
          <w:szCs w:val="21"/>
        </w:rPr>
        <w:t>款也未约定的，双方协商确定；协商不成的，可向省级或行业工程造价管理机构申请裁定或按照有合同约束力的图纸所标示尺寸的理论净量计算。计量采用中华人民共和国法定的基本计量单位。</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cs="仿宋_GB2312"/>
          <w:szCs w:val="21"/>
        </w:rPr>
      </w:pPr>
      <w:r>
        <w:rPr>
          <w:rFonts w:ascii="宋体" w:hAnsi="宋体" w:cs="仿宋_GB2312"/>
          <w:szCs w:val="21"/>
        </w:rPr>
        <w:t>1.2</w:t>
      </w:r>
      <w:r>
        <w:rPr>
          <w:rFonts w:hint="eastAsia" w:ascii="宋体" w:hAnsi="宋体" w:cs="仿宋_GB2312"/>
          <w:szCs w:val="21"/>
        </w:rPr>
        <w:t>本工程量清单应与招标文件中的投标人须知、通用合同条款、专用合同条款、技术标准和要求及图纸等章节内容一起阅读和理解。</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cs="仿宋_GB2312"/>
          <w:szCs w:val="21"/>
        </w:rPr>
      </w:pPr>
      <w:r>
        <w:rPr>
          <w:rFonts w:ascii="宋体" w:hAnsi="宋体" w:cs="仿宋_GB2312"/>
          <w:szCs w:val="21"/>
        </w:rPr>
        <w:t>1.3</w:t>
      </w:r>
      <w:r>
        <w:rPr>
          <w:rFonts w:hint="eastAsia" w:ascii="宋体" w:hAnsi="宋体" w:cs="仿宋_GB2312"/>
          <w:szCs w:val="21"/>
        </w:rPr>
        <w:t>本工程量清单仅是投标报价的共同基础，竣工结算的工程量按合同约定确定。合同价格的确定以及价款支付应遵循合同条款（包括通用合同条款和专用合同条款）、技术标准和要求以及本章的有关约定。</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cs="仿宋_GB2312"/>
          <w:szCs w:val="21"/>
          <w:shd w:val="pct10" w:color="auto" w:fill="FFFFFF"/>
        </w:rPr>
      </w:pPr>
      <w:r>
        <w:rPr>
          <w:rFonts w:ascii="宋体" w:hAnsi="宋体" w:cs="仿宋_GB2312"/>
          <w:szCs w:val="21"/>
          <w:shd w:val="pct10" w:color="auto" w:fill="FFFFFF"/>
        </w:rPr>
        <w:t>1.4</w:t>
      </w:r>
      <w:r>
        <w:rPr>
          <w:rFonts w:hint="eastAsia" w:ascii="宋体" w:hAnsi="宋体" w:cs="仿宋_GB2312"/>
          <w:szCs w:val="21"/>
          <w:shd w:val="pct10" w:color="auto" w:fill="FFFFFF"/>
        </w:rPr>
        <w:t>补充子目的子目特征、计量单位、工程量计算规则及工作内容说明如下：</w:t>
      </w:r>
      <w:r>
        <w:rPr>
          <w:rFonts w:hint="eastAsia" w:ascii="宋体" w:hAnsi="宋体" w:cs="仿宋_GB2312"/>
          <w:szCs w:val="21"/>
          <w:u w:val="single"/>
          <w:shd w:val="pct10" w:color="auto" w:fill="FFFFFF"/>
        </w:rPr>
        <w:t xml:space="preserve">  /  </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黑体" w:hAnsi="宋体" w:eastAsia="黑体" w:cs="黑体"/>
          <w:sz w:val="28"/>
          <w:szCs w:val="28"/>
        </w:rPr>
      </w:pPr>
      <w:r>
        <w:rPr>
          <w:rFonts w:ascii="宋体" w:hAnsi="宋体" w:cs="仿宋_GB2312"/>
          <w:szCs w:val="21"/>
        </w:rPr>
        <w:t xml:space="preserve">1.5 </w:t>
      </w:r>
      <w:bookmarkStart w:id="252" w:name="OLE_LINK2"/>
      <w:r>
        <w:rPr>
          <w:rFonts w:hint="eastAsia" w:ascii="宋体" w:hAnsi="宋体" w:cs="仿宋_GB2312"/>
          <w:szCs w:val="21"/>
        </w:rPr>
        <w:t>对</w:t>
      </w:r>
      <w:r>
        <w:rPr>
          <w:rFonts w:ascii="宋体" w:hAnsi="宋体" w:cs="仿宋_GB2312"/>
          <w:szCs w:val="21"/>
        </w:rPr>
        <w:t>2013</w:t>
      </w:r>
      <w:r>
        <w:rPr>
          <w:rFonts w:hint="eastAsia" w:ascii="宋体" w:hAnsi="宋体" w:cs="仿宋_GB2312"/>
          <w:szCs w:val="21"/>
        </w:rPr>
        <w:t>版计算规范中未列的措施项目，招标人可根据建设工程实际情况进行补充。对招标人所列的措施项目，投标人可根据工程实际与施工组织设计进行增补，但不应更改招标人已列措施项目。结算时，除工程变更引起施工方案改变外，承包人不得以招标工程措施项目清单缺项为由要求新增措施项目。</w:t>
      </w:r>
      <w:bookmarkEnd w:id="252"/>
      <w:bookmarkStart w:id="253" w:name="_Toc342296520"/>
      <w:bookmarkStart w:id="254" w:name="_Toc362252986"/>
      <w:bookmarkStart w:id="255" w:name="_Toc241459761"/>
    </w:p>
    <w:p>
      <w:pPr>
        <w:pageBreakBefore w:val="0"/>
        <w:widowControl w:val="0"/>
        <w:kinsoku/>
        <w:wordWrap/>
        <w:overflowPunct/>
        <w:topLinePunct w:val="0"/>
        <w:autoSpaceDE/>
        <w:autoSpaceDN/>
        <w:bidi w:val="0"/>
        <w:adjustRightInd w:val="0"/>
        <w:snapToGrid w:val="0"/>
        <w:spacing w:line="360" w:lineRule="auto"/>
        <w:textAlignment w:val="auto"/>
        <w:rPr>
          <w:rFonts w:ascii="黑体" w:hAnsi="宋体" w:eastAsia="黑体" w:cs="黑体"/>
          <w:sz w:val="28"/>
          <w:szCs w:val="28"/>
        </w:rPr>
      </w:pPr>
      <w:r>
        <w:rPr>
          <w:rFonts w:ascii="黑体" w:hAnsi="宋体" w:eastAsia="黑体" w:cs="黑体"/>
          <w:sz w:val="28"/>
          <w:szCs w:val="28"/>
        </w:rPr>
        <w:t>2.</w:t>
      </w:r>
      <w:r>
        <w:rPr>
          <w:rFonts w:hint="eastAsia" w:ascii="黑体" w:hAnsi="宋体" w:eastAsia="黑体" w:cs="黑体"/>
          <w:sz w:val="28"/>
          <w:szCs w:val="28"/>
        </w:rPr>
        <w:t>投标报价说明</w:t>
      </w:r>
      <w:bookmarkEnd w:id="253"/>
      <w:bookmarkEnd w:id="254"/>
      <w:bookmarkEnd w:id="255"/>
    </w:p>
    <w:p>
      <w:pPr>
        <w:pageBreakBefore w:val="0"/>
        <w:widowControl w:val="0"/>
        <w:kinsoku/>
        <w:wordWrap/>
        <w:overflowPunct/>
        <w:topLinePunct w:val="0"/>
        <w:autoSpaceDE/>
        <w:autoSpaceDN/>
        <w:bidi w:val="0"/>
        <w:spacing w:line="360" w:lineRule="auto"/>
        <w:ind w:firstLine="315" w:firstLineChars="150"/>
        <w:textAlignment w:val="auto"/>
      </w:pPr>
      <w:r>
        <w:t>2.1</w:t>
      </w:r>
      <w:r>
        <w:rPr>
          <w:rFonts w:hint="eastAsia"/>
        </w:rPr>
        <w:t>投标报价应根据招标文件中的有关计价要求，并按照下列依据自主报价</w:t>
      </w:r>
      <w:r>
        <w:t>:</w:t>
      </w:r>
    </w:p>
    <w:p>
      <w:pPr>
        <w:pageBreakBefore w:val="0"/>
        <w:widowControl w:val="0"/>
        <w:kinsoku/>
        <w:wordWrap/>
        <w:overflowPunct/>
        <w:topLinePunct w:val="0"/>
        <w:autoSpaceDE/>
        <w:autoSpaceDN/>
        <w:bidi w:val="0"/>
        <w:spacing w:line="360" w:lineRule="auto"/>
        <w:ind w:firstLine="315" w:firstLineChars="150"/>
        <w:textAlignment w:val="auto"/>
      </w:pPr>
      <w:r>
        <w:rPr>
          <w:rFonts w:hint="eastAsia"/>
        </w:rPr>
        <w:t>（</w:t>
      </w:r>
      <w:r>
        <w:t>1</w:t>
      </w:r>
      <w:r>
        <w:rPr>
          <w:rFonts w:hint="eastAsia"/>
        </w:rPr>
        <w:t>）本招标文件；</w:t>
      </w:r>
    </w:p>
    <w:p>
      <w:pPr>
        <w:pageBreakBefore w:val="0"/>
        <w:widowControl w:val="0"/>
        <w:kinsoku/>
        <w:wordWrap/>
        <w:overflowPunct/>
        <w:topLinePunct w:val="0"/>
        <w:autoSpaceDE/>
        <w:autoSpaceDN/>
        <w:bidi w:val="0"/>
        <w:spacing w:line="360" w:lineRule="auto"/>
        <w:ind w:firstLine="315" w:firstLineChars="150"/>
        <w:textAlignment w:val="auto"/>
      </w:pPr>
      <w:r>
        <w:rPr>
          <w:rFonts w:hint="eastAsia"/>
        </w:rPr>
        <w:t>（</w:t>
      </w:r>
      <w:r>
        <w:t>2</w:t>
      </w:r>
      <w:r>
        <w:rPr>
          <w:rFonts w:hint="eastAsia"/>
        </w:rPr>
        <w:t>）《建设工程工程量清单计价规范》（</w:t>
      </w:r>
      <w:r>
        <w:t>GB50500—2013</w:t>
      </w:r>
      <w:r>
        <w:rPr>
          <w:rFonts w:hint="eastAsia"/>
        </w:rPr>
        <w:t>）及《房屋建筑与装饰工程工程量计算规范》（</w:t>
      </w:r>
      <w:r>
        <w:t>GB50854-2013</w:t>
      </w:r>
      <w:r>
        <w:rPr>
          <w:rFonts w:hint="eastAsia"/>
        </w:rPr>
        <w:t>）等</w:t>
      </w:r>
      <w:r>
        <w:t>9</w:t>
      </w:r>
      <w:r>
        <w:rPr>
          <w:rFonts w:hint="eastAsia"/>
        </w:rPr>
        <w:t>本工程量计算规范；</w:t>
      </w:r>
    </w:p>
    <w:p>
      <w:pPr>
        <w:pageBreakBefore w:val="0"/>
        <w:widowControl w:val="0"/>
        <w:kinsoku/>
        <w:wordWrap/>
        <w:overflowPunct/>
        <w:topLinePunct w:val="0"/>
        <w:autoSpaceDE/>
        <w:autoSpaceDN/>
        <w:bidi w:val="0"/>
        <w:spacing w:line="360" w:lineRule="auto"/>
        <w:ind w:firstLine="315" w:firstLineChars="150"/>
        <w:textAlignment w:val="auto"/>
      </w:pPr>
      <w:r>
        <w:rPr>
          <w:rFonts w:hint="eastAsia"/>
        </w:rPr>
        <w:t>（</w:t>
      </w:r>
      <w:r>
        <w:t>3</w:t>
      </w:r>
      <w:r>
        <w:rPr>
          <w:rFonts w:hint="eastAsia"/>
        </w:rPr>
        <w:t>）国家或省级、行业建设主管部门颁发的计价办法；</w:t>
      </w:r>
    </w:p>
    <w:p>
      <w:pPr>
        <w:pageBreakBefore w:val="0"/>
        <w:widowControl w:val="0"/>
        <w:kinsoku/>
        <w:wordWrap/>
        <w:overflowPunct/>
        <w:topLinePunct w:val="0"/>
        <w:autoSpaceDE/>
        <w:autoSpaceDN/>
        <w:bidi w:val="0"/>
        <w:spacing w:line="360" w:lineRule="auto"/>
        <w:ind w:firstLine="315" w:firstLineChars="150"/>
        <w:textAlignment w:val="auto"/>
      </w:pPr>
      <w:r>
        <w:rPr>
          <w:rFonts w:hint="eastAsia"/>
        </w:rPr>
        <w:t>（</w:t>
      </w:r>
      <w:r>
        <w:t>4</w:t>
      </w:r>
      <w:r>
        <w:rPr>
          <w:rFonts w:hint="eastAsia"/>
        </w:rPr>
        <w:t>）企业定额，国家或省级、行业建设主管部门颁发的计价定额；</w:t>
      </w:r>
    </w:p>
    <w:p>
      <w:pPr>
        <w:pageBreakBefore w:val="0"/>
        <w:widowControl w:val="0"/>
        <w:kinsoku/>
        <w:wordWrap/>
        <w:overflowPunct/>
        <w:topLinePunct w:val="0"/>
        <w:autoSpaceDE/>
        <w:autoSpaceDN/>
        <w:bidi w:val="0"/>
        <w:spacing w:line="360" w:lineRule="auto"/>
        <w:ind w:firstLine="315" w:firstLineChars="150"/>
        <w:textAlignment w:val="auto"/>
      </w:pPr>
      <w:r>
        <w:rPr>
          <w:rFonts w:hint="eastAsia"/>
        </w:rPr>
        <w:t>（</w:t>
      </w:r>
      <w:r>
        <w:t>5</w:t>
      </w:r>
      <w:r>
        <w:rPr>
          <w:rFonts w:hint="eastAsia"/>
        </w:rPr>
        <w:t>）招标文件（包括工程量清单）的澄清、补充和修改文件；</w:t>
      </w:r>
    </w:p>
    <w:p>
      <w:pPr>
        <w:pageBreakBefore w:val="0"/>
        <w:widowControl w:val="0"/>
        <w:kinsoku/>
        <w:wordWrap/>
        <w:overflowPunct/>
        <w:topLinePunct w:val="0"/>
        <w:autoSpaceDE/>
        <w:autoSpaceDN/>
        <w:bidi w:val="0"/>
        <w:spacing w:line="360" w:lineRule="auto"/>
        <w:ind w:firstLine="315" w:firstLineChars="150"/>
        <w:textAlignment w:val="auto"/>
      </w:pPr>
      <w:r>
        <w:rPr>
          <w:rFonts w:hint="eastAsia"/>
        </w:rPr>
        <w:t>（</w:t>
      </w:r>
      <w:r>
        <w:t>6</w:t>
      </w:r>
      <w:r>
        <w:rPr>
          <w:rFonts w:hint="eastAsia"/>
        </w:rPr>
        <w:t>）建设工程设计文件及相关资料；</w:t>
      </w:r>
    </w:p>
    <w:p>
      <w:pPr>
        <w:pageBreakBefore w:val="0"/>
        <w:widowControl w:val="0"/>
        <w:kinsoku/>
        <w:wordWrap/>
        <w:overflowPunct/>
        <w:topLinePunct w:val="0"/>
        <w:autoSpaceDE/>
        <w:autoSpaceDN/>
        <w:bidi w:val="0"/>
        <w:spacing w:line="360" w:lineRule="auto"/>
        <w:ind w:firstLine="315" w:firstLineChars="150"/>
        <w:textAlignment w:val="auto"/>
      </w:pPr>
      <w:r>
        <w:rPr>
          <w:rFonts w:hint="eastAsia"/>
        </w:rPr>
        <w:t>（</w:t>
      </w:r>
      <w:r>
        <w:t>7</w:t>
      </w:r>
      <w:r>
        <w:rPr>
          <w:rFonts w:hint="eastAsia"/>
        </w:rPr>
        <w:t>）施工现场情况、工程特点及拟定的投标施工组织设计或施工方案；</w:t>
      </w:r>
    </w:p>
    <w:p>
      <w:pPr>
        <w:pageBreakBefore w:val="0"/>
        <w:widowControl w:val="0"/>
        <w:kinsoku/>
        <w:wordWrap/>
        <w:overflowPunct/>
        <w:topLinePunct w:val="0"/>
        <w:autoSpaceDE/>
        <w:autoSpaceDN/>
        <w:bidi w:val="0"/>
        <w:spacing w:line="360" w:lineRule="auto"/>
        <w:ind w:firstLine="315" w:firstLineChars="150"/>
        <w:textAlignment w:val="auto"/>
      </w:pPr>
      <w:r>
        <w:rPr>
          <w:rFonts w:hint="eastAsia"/>
        </w:rPr>
        <w:t>（</w:t>
      </w:r>
      <w:r>
        <w:t>8</w:t>
      </w:r>
      <w:r>
        <w:rPr>
          <w:rFonts w:hint="eastAsia"/>
        </w:rPr>
        <w:t>）与建设项目相关的标准、规定等技术资料；</w:t>
      </w:r>
    </w:p>
    <w:p>
      <w:pPr>
        <w:pageBreakBefore w:val="0"/>
        <w:widowControl w:val="0"/>
        <w:kinsoku/>
        <w:wordWrap/>
        <w:overflowPunct/>
        <w:topLinePunct w:val="0"/>
        <w:autoSpaceDE/>
        <w:autoSpaceDN/>
        <w:bidi w:val="0"/>
        <w:spacing w:line="360" w:lineRule="auto"/>
        <w:ind w:firstLine="315" w:firstLineChars="150"/>
        <w:textAlignment w:val="auto"/>
      </w:pPr>
      <w:r>
        <w:rPr>
          <w:rFonts w:hint="eastAsia"/>
        </w:rPr>
        <w:t>（</w:t>
      </w:r>
      <w:r>
        <w:t>9</w:t>
      </w:r>
      <w:r>
        <w:rPr>
          <w:rFonts w:hint="eastAsia"/>
        </w:rPr>
        <w:t>）市场价格信息或工程造价管理机构发布的工程造价信息；</w:t>
      </w:r>
    </w:p>
    <w:p>
      <w:pPr>
        <w:pageBreakBefore w:val="0"/>
        <w:widowControl w:val="0"/>
        <w:kinsoku/>
        <w:wordWrap/>
        <w:overflowPunct/>
        <w:topLinePunct w:val="0"/>
        <w:autoSpaceDE/>
        <w:autoSpaceDN/>
        <w:bidi w:val="0"/>
        <w:spacing w:line="360" w:lineRule="auto"/>
        <w:ind w:firstLine="315" w:firstLineChars="150"/>
        <w:textAlignment w:val="auto"/>
      </w:pPr>
      <w:r>
        <w:rPr>
          <w:rFonts w:hint="eastAsia"/>
        </w:rPr>
        <w:t>（</w:t>
      </w:r>
      <w:r>
        <w:t>10</w:t>
      </w:r>
      <w:r>
        <w:rPr>
          <w:rFonts w:hint="eastAsia"/>
        </w:rPr>
        <w:t>）其他的相关资料。</w:t>
      </w:r>
    </w:p>
    <w:p>
      <w:pPr>
        <w:pageBreakBefore w:val="0"/>
        <w:widowControl w:val="0"/>
        <w:kinsoku/>
        <w:wordWrap/>
        <w:overflowPunct/>
        <w:topLinePunct w:val="0"/>
        <w:autoSpaceDE/>
        <w:autoSpaceDN/>
        <w:bidi w:val="0"/>
        <w:spacing w:line="360" w:lineRule="auto"/>
        <w:ind w:firstLine="420" w:firstLineChars="200"/>
        <w:textAlignment w:val="auto"/>
        <w:rPr>
          <w:rFonts w:hAnsi="宋体"/>
          <w:szCs w:val="21"/>
        </w:rPr>
      </w:pPr>
      <w:r>
        <w:rPr>
          <w:szCs w:val="21"/>
        </w:rPr>
        <w:t xml:space="preserve">2.2 </w:t>
      </w:r>
      <w:r>
        <w:rPr>
          <w:rFonts w:hint="eastAsia"/>
          <w:szCs w:val="21"/>
        </w:rPr>
        <w:t>投标人应按招标工程量清单填报价格。项目编码、项目名称、项目特征、计量单位、工程量必须与招标工程量清单一致</w:t>
      </w:r>
      <w:r>
        <w:rPr>
          <w:rFonts w:hint="eastAsia" w:hAnsi="宋体"/>
          <w:szCs w:val="21"/>
        </w:rPr>
        <w:t>。</w:t>
      </w:r>
    </w:p>
    <w:p>
      <w:pPr>
        <w:pageBreakBefore w:val="0"/>
        <w:widowControl w:val="0"/>
        <w:kinsoku/>
        <w:wordWrap/>
        <w:overflowPunct/>
        <w:topLinePunct w:val="0"/>
        <w:autoSpaceDE/>
        <w:autoSpaceDN/>
        <w:bidi w:val="0"/>
        <w:spacing w:line="360" w:lineRule="auto"/>
        <w:ind w:firstLine="420" w:firstLineChars="200"/>
        <w:textAlignment w:val="auto"/>
        <w:rPr>
          <w:szCs w:val="21"/>
        </w:rPr>
      </w:pPr>
      <w:r>
        <w:rPr>
          <w:szCs w:val="21"/>
        </w:rPr>
        <w:t xml:space="preserve">2.3 </w:t>
      </w:r>
      <w:r>
        <w:rPr>
          <w:rFonts w:hint="eastAsia"/>
          <w:szCs w:val="21"/>
        </w:rPr>
        <w:t>综合单价中应包含招标文件中划分的应由投标人承担的风险范围及其费用。</w:t>
      </w:r>
    </w:p>
    <w:p>
      <w:pPr>
        <w:pageBreakBefore w:val="0"/>
        <w:widowControl w:val="0"/>
        <w:kinsoku/>
        <w:wordWrap/>
        <w:overflowPunct/>
        <w:topLinePunct w:val="0"/>
        <w:autoSpaceDE/>
        <w:autoSpaceDN/>
        <w:bidi w:val="0"/>
        <w:spacing w:line="360" w:lineRule="auto"/>
        <w:ind w:firstLine="420" w:firstLineChars="200"/>
        <w:textAlignment w:val="auto"/>
        <w:rPr>
          <w:rFonts w:hAnsi="宋体"/>
          <w:szCs w:val="21"/>
        </w:rPr>
      </w:pPr>
      <w:r>
        <w:rPr>
          <w:szCs w:val="21"/>
        </w:rPr>
        <w:t xml:space="preserve">2.4 </w:t>
      </w:r>
      <w:r>
        <w:rPr>
          <w:rFonts w:hint="eastAsia" w:hAnsi="宋体"/>
          <w:szCs w:val="21"/>
        </w:rPr>
        <w:t>分部分项工程项目和单价措施项目，应根据招标文件和招标工程量清单项目中的特征描述确定综合单价计算。如出现招标工程量清单特征描述与设计图纸不符时，投标人应以招标工程量清单的项目特征描述为准，确定投标报价的综合单价。</w:t>
      </w:r>
    </w:p>
    <w:p>
      <w:pPr>
        <w:pageBreakBefore w:val="0"/>
        <w:widowControl w:val="0"/>
        <w:kinsoku/>
        <w:wordWrap/>
        <w:overflowPunct/>
        <w:topLinePunct w:val="0"/>
        <w:autoSpaceDE/>
        <w:autoSpaceDN/>
        <w:bidi w:val="0"/>
        <w:spacing w:line="360" w:lineRule="auto"/>
        <w:ind w:firstLine="420" w:firstLineChars="200"/>
        <w:textAlignment w:val="auto"/>
        <w:rPr>
          <w:szCs w:val="21"/>
        </w:rPr>
      </w:pPr>
      <w:r>
        <w:rPr>
          <w:szCs w:val="21"/>
        </w:rPr>
        <w:t xml:space="preserve">2.5 </w:t>
      </w:r>
      <w:r>
        <w:rPr>
          <w:rFonts w:hint="eastAsia" w:hAnsi="宋体"/>
          <w:szCs w:val="21"/>
        </w:rPr>
        <w:t>总价措施项目的金额应根据招标文件及投标时拟定的施工组织设计或施工方案，按计价规范的规定自主确定。但</w:t>
      </w:r>
      <w:r>
        <w:rPr>
          <w:rFonts w:hint="eastAsia"/>
          <w:szCs w:val="21"/>
        </w:rPr>
        <w:t>安全文明施工费应按照招标工程量清单所列的费率和计算基础确定。</w:t>
      </w:r>
    </w:p>
    <w:p>
      <w:pPr>
        <w:pageBreakBefore w:val="0"/>
        <w:widowControl w:val="0"/>
        <w:kinsoku/>
        <w:wordWrap/>
        <w:overflowPunct/>
        <w:topLinePunct w:val="0"/>
        <w:autoSpaceDE/>
        <w:autoSpaceDN/>
        <w:bidi w:val="0"/>
        <w:spacing w:line="360" w:lineRule="auto"/>
        <w:ind w:firstLine="420" w:firstLineChars="200"/>
        <w:textAlignment w:val="auto"/>
        <w:rPr>
          <w:szCs w:val="21"/>
        </w:rPr>
      </w:pPr>
      <w:r>
        <w:rPr>
          <w:szCs w:val="21"/>
        </w:rPr>
        <w:t xml:space="preserve">2.6 </w:t>
      </w:r>
      <w:r>
        <w:rPr>
          <w:rFonts w:hint="eastAsia"/>
          <w:szCs w:val="21"/>
        </w:rPr>
        <w:t>其他项目费应按下列规定报价：</w:t>
      </w:r>
    </w:p>
    <w:p>
      <w:pPr>
        <w:pageBreakBefore w:val="0"/>
        <w:widowControl w:val="0"/>
        <w:kinsoku/>
        <w:wordWrap/>
        <w:overflowPunct/>
        <w:topLinePunct w:val="0"/>
        <w:autoSpaceDE/>
        <w:autoSpaceDN/>
        <w:bidi w:val="0"/>
        <w:spacing w:line="360" w:lineRule="auto"/>
        <w:ind w:firstLine="420" w:firstLineChars="200"/>
        <w:textAlignment w:val="auto"/>
        <w:rPr>
          <w:szCs w:val="21"/>
        </w:rPr>
      </w:pPr>
      <w:r>
        <w:rPr>
          <w:rFonts w:hint="eastAsia"/>
          <w:szCs w:val="21"/>
        </w:rPr>
        <w:t>（</w:t>
      </w:r>
      <w:r>
        <w:rPr>
          <w:szCs w:val="21"/>
        </w:rPr>
        <w:t>1</w:t>
      </w:r>
      <w:r>
        <w:rPr>
          <w:rFonts w:hint="eastAsia"/>
          <w:szCs w:val="21"/>
        </w:rPr>
        <w:t>）暂列金额应按招标工程量清单中列出的金额填写；</w:t>
      </w:r>
    </w:p>
    <w:p>
      <w:pPr>
        <w:pStyle w:val="31"/>
        <w:pageBreakBefore w:val="0"/>
        <w:widowControl w:val="0"/>
        <w:kinsoku/>
        <w:wordWrap/>
        <w:overflowPunct/>
        <w:topLinePunct w:val="0"/>
        <w:autoSpaceDE/>
        <w:autoSpaceDN/>
        <w:bidi w:val="0"/>
        <w:spacing w:line="360" w:lineRule="auto"/>
        <w:ind w:firstLine="420" w:firstLineChars="200"/>
        <w:textAlignment w:val="auto"/>
      </w:pPr>
      <w:r>
        <w:rPr>
          <w:rFonts w:hint="eastAsia"/>
        </w:rPr>
        <w:t>（</w:t>
      </w:r>
      <w:r>
        <w:t>2</w:t>
      </w:r>
      <w:r>
        <w:rPr>
          <w:rFonts w:hint="eastAsia"/>
        </w:rPr>
        <w:t>）材料、工程设备暂估价应按招标工程量清单中列出的单价计入综合单价；</w:t>
      </w:r>
    </w:p>
    <w:p>
      <w:pPr>
        <w:pageBreakBefore w:val="0"/>
        <w:widowControl w:val="0"/>
        <w:kinsoku/>
        <w:wordWrap/>
        <w:overflowPunct/>
        <w:topLinePunct w:val="0"/>
        <w:autoSpaceDE/>
        <w:autoSpaceDN/>
        <w:bidi w:val="0"/>
        <w:spacing w:line="360" w:lineRule="auto"/>
        <w:ind w:firstLine="420" w:firstLineChars="200"/>
        <w:textAlignment w:val="auto"/>
        <w:rPr>
          <w:szCs w:val="21"/>
        </w:rPr>
      </w:pPr>
      <w:r>
        <w:rPr>
          <w:rFonts w:hint="eastAsia"/>
          <w:szCs w:val="21"/>
        </w:rPr>
        <w:t>（</w:t>
      </w:r>
      <w:r>
        <w:rPr>
          <w:szCs w:val="21"/>
        </w:rPr>
        <w:t>3</w:t>
      </w:r>
      <w:r>
        <w:rPr>
          <w:rFonts w:hint="eastAsia"/>
          <w:szCs w:val="21"/>
        </w:rPr>
        <w:t>）专业工程暂估价应按招标工程量清单中列出的金额填写；</w:t>
      </w:r>
    </w:p>
    <w:p>
      <w:pPr>
        <w:pageBreakBefore w:val="0"/>
        <w:widowControl w:val="0"/>
        <w:kinsoku/>
        <w:wordWrap/>
        <w:overflowPunct/>
        <w:topLinePunct w:val="0"/>
        <w:autoSpaceDE/>
        <w:autoSpaceDN/>
        <w:bidi w:val="0"/>
        <w:spacing w:line="360" w:lineRule="auto"/>
        <w:ind w:firstLine="420" w:firstLineChars="200"/>
        <w:textAlignment w:val="auto"/>
        <w:rPr>
          <w:szCs w:val="21"/>
        </w:rPr>
      </w:pPr>
      <w:r>
        <w:rPr>
          <w:rFonts w:hint="eastAsia"/>
          <w:szCs w:val="21"/>
        </w:rPr>
        <w:t>（</w:t>
      </w:r>
      <w:r>
        <w:rPr>
          <w:szCs w:val="21"/>
        </w:rPr>
        <w:t>4</w:t>
      </w:r>
      <w:r>
        <w:rPr>
          <w:rFonts w:hint="eastAsia"/>
          <w:szCs w:val="21"/>
        </w:rPr>
        <w:t>）计日工应按招标工程量清单中列出的项目和数量，自主确定综合单价并计算计日工总额；</w:t>
      </w:r>
    </w:p>
    <w:p>
      <w:pPr>
        <w:pageBreakBefore w:val="0"/>
        <w:widowControl w:val="0"/>
        <w:kinsoku/>
        <w:wordWrap/>
        <w:overflowPunct/>
        <w:topLinePunct w:val="0"/>
        <w:autoSpaceDE/>
        <w:autoSpaceDN/>
        <w:bidi w:val="0"/>
        <w:spacing w:line="360" w:lineRule="auto"/>
        <w:ind w:firstLine="420" w:firstLineChars="200"/>
        <w:textAlignment w:val="auto"/>
        <w:rPr>
          <w:szCs w:val="21"/>
        </w:rPr>
      </w:pPr>
      <w:r>
        <w:rPr>
          <w:rFonts w:hint="eastAsia"/>
          <w:szCs w:val="21"/>
        </w:rPr>
        <w:t>（</w:t>
      </w:r>
      <w:r>
        <w:rPr>
          <w:szCs w:val="21"/>
        </w:rPr>
        <w:t>5</w:t>
      </w:r>
      <w:r>
        <w:rPr>
          <w:rFonts w:hint="eastAsia"/>
          <w:szCs w:val="21"/>
        </w:rPr>
        <w:t>）总承包服务费应根据招标工程量清单中列出的内容</w:t>
      </w:r>
      <w:r>
        <w:rPr>
          <w:rFonts w:hint="eastAsia" w:hAnsi="宋体"/>
          <w:szCs w:val="21"/>
        </w:rPr>
        <w:t>和供应材料、设备情况，按照招标人提出的协调、配合与服务要求和施工现场管理需要</w:t>
      </w:r>
      <w:r>
        <w:rPr>
          <w:rFonts w:hint="eastAsia"/>
          <w:szCs w:val="21"/>
        </w:rPr>
        <w:t>自主确定。</w:t>
      </w:r>
    </w:p>
    <w:p>
      <w:pPr>
        <w:pageBreakBefore w:val="0"/>
        <w:widowControl w:val="0"/>
        <w:kinsoku/>
        <w:wordWrap/>
        <w:overflowPunct/>
        <w:topLinePunct w:val="0"/>
        <w:autoSpaceDE/>
        <w:autoSpaceDN/>
        <w:bidi w:val="0"/>
        <w:spacing w:line="360" w:lineRule="auto"/>
        <w:ind w:firstLine="420" w:firstLineChars="200"/>
        <w:textAlignment w:val="auto"/>
        <w:rPr>
          <w:szCs w:val="21"/>
        </w:rPr>
      </w:pPr>
      <w:r>
        <w:rPr>
          <w:szCs w:val="21"/>
        </w:rPr>
        <w:t xml:space="preserve">2.7 </w:t>
      </w:r>
      <w:r>
        <w:rPr>
          <w:rFonts w:hint="eastAsia"/>
          <w:szCs w:val="21"/>
        </w:rPr>
        <w:t>规费和税金应按招标工程量清单所列的费率和计算基础确定。</w:t>
      </w:r>
    </w:p>
    <w:p>
      <w:pPr>
        <w:pageBreakBefore w:val="0"/>
        <w:widowControl w:val="0"/>
        <w:kinsoku/>
        <w:wordWrap/>
        <w:overflowPunct/>
        <w:topLinePunct w:val="0"/>
        <w:autoSpaceDE/>
        <w:autoSpaceDN/>
        <w:bidi w:val="0"/>
        <w:spacing w:line="360" w:lineRule="auto"/>
        <w:ind w:firstLine="420" w:firstLineChars="200"/>
        <w:textAlignment w:val="auto"/>
        <w:rPr>
          <w:szCs w:val="21"/>
        </w:rPr>
      </w:pPr>
      <w:r>
        <w:rPr>
          <w:szCs w:val="21"/>
        </w:rPr>
        <w:t xml:space="preserve">2.8 </w:t>
      </w:r>
      <w:r>
        <w:rPr>
          <w:rFonts w:hint="eastAsia"/>
          <w:szCs w:val="21"/>
        </w:rPr>
        <w:t>招标工程量清单与计价表中列明的所有需要填写的单价和合价的项目，投标人均应填写且只允许有一个报价。未填写单价和合价的项目，视为此项费用已包含在已标价工程量清单中其他项目的单价和合价之中。竣工结算时，此项目不得重新组价予以调整。</w:t>
      </w:r>
    </w:p>
    <w:p>
      <w:pPr>
        <w:pageBreakBefore w:val="0"/>
        <w:widowControl w:val="0"/>
        <w:kinsoku/>
        <w:wordWrap/>
        <w:overflowPunct/>
        <w:topLinePunct w:val="0"/>
        <w:autoSpaceDE/>
        <w:autoSpaceDN/>
        <w:bidi w:val="0"/>
        <w:spacing w:line="360" w:lineRule="auto"/>
        <w:ind w:firstLine="420" w:firstLineChars="200"/>
        <w:textAlignment w:val="auto"/>
      </w:pPr>
      <w:r>
        <w:t xml:space="preserve">2.9 </w:t>
      </w:r>
      <w:r>
        <w:rPr>
          <w:rFonts w:hint="eastAsia"/>
        </w:rPr>
        <w:t>投标总价应当与分部分项工程费、措施项目费、其他项目费和规费、税金的合计金额一致。</w:t>
      </w:r>
    </w:p>
    <w:p>
      <w:pPr>
        <w:pageBreakBefore w:val="0"/>
        <w:widowControl w:val="0"/>
        <w:kinsoku/>
        <w:wordWrap/>
        <w:overflowPunct/>
        <w:topLinePunct w:val="0"/>
        <w:autoSpaceDE/>
        <w:autoSpaceDN/>
        <w:bidi w:val="0"/>
        <w:spacing w:line="360" w:lineRule="auto"/>
        <w:ind w:firstLine="420" w:firstLineChars="200"/>
        <w:textAlignment w:val="auto"/>
        <w:rPr>
          <w:rFonts w:hAnsi="宋体"/>
        </w:rPr>
      </w:pPr>
      <w:r>
        <w:rPr>
          <w:szCs w:val="21"/>
        </w:rPr>
        <w:t xml:space="preserve">2.10 </w:t>
      </w:r>
      <w:r>
        <w:rPr>
          <w:rFonts w:hint="eastAsia" w:hAnsi="宋体"/>
          <w:szCs w:val="21"/>
        </w:rPr>
        <w:t>投标报价</w:t>
      </w:r>
      <w:r>
        <w:rPr>
          <w:rFonts w:hint="eastAsia"/>
          <w:szCs w:val="21"/>
        </w:rPr>
        <w:t>表格按本工程工程量清单表格要求填写，并</w:t>
      </w:r>
      <w:r>
        <w:rPr>
          <w:rFonts w:hint="eastAsia" w:hAnsi="宋体"/>
        </w:rPr>
        <w:t>应附上《工程量清单综合单价分析表》、《承包人提供主要材料和工程设备一览表》。</w:t>
      </w:r>
    </w:p>
    <w:p>
      <w:pPr>
        <w:pageBreakBefore w:val="0"/>
        <w:widowControl w:val="0"/>
        <w:kinsoku/>
        <w:wordWrap/>
        <w:overflowPunct/>
        <w:topLinePunct w:val="0"/>
        <w:autoSpaceDE/>
        <w:autoSpaceDN/>
        <w:bidi w:val="0"/>
        <w:adjustRightInd w:val="0"/>
        <w:snapToGrid w:val="0"/>
        <w:spacing w:line="360" w:lineRule="auto"/>
        <w:textAlignment w:val="auto"/>
        <w:rPr>
          <w:rFonts w:ascii="黑体" w:hAnsi="宋体" w:eastAsia="黑体" w:cs="黑体"/>
          <w:sz w:val="28"/>
          <w:szCs w:val="28"/>
        </w:rPr>
      </w:pPr>
      <w:r>
        <w:rPr>
          <w:rFonts w:ascii="黑体" w:hAnsi="宋体" w:eastAsia="黑体" w:cs="黑体"/>
          <w:sz w:val="28"/>
          <w:szCs w:val="28"/>
        </w:rPr>
        <w:t>3.</w:t>
      </w:r>
      <w:r>
        <w:rPr>
          <w:rFonts w:hint="eastAsia" w:ascii="黑体" w:hAnsi="宋体" w:eastAsia="黑体" w:cs="黑体"/>
          <w:sz w:val="28"/>
          <w:szCs w:val="28"/>
        </w:rPr>
        <w:t>招标控制价</w:t>
      </w:r>
    </w:p>
    <w:p>
      <w:pPr>
        <w:pageBreakBefore w:val="0"/>
        <w:widowControl w:val="0"/>
        <w:kinsoku/>
        <w:wordWrap/>
        <w:overflowPunct/>
        <w:topLinePunct w:val="0"/>
        <w:autoSpaceDE/>
        <w:autoSpaceDN/>
        <w:bidi w:val="0"/>
        <w:adjustRightInd w:val="0"/>
        <w:snapToGrid w:val="0"/>
        <w:spacing w:line="360" w:lineRule="auto"/>
        <w:ind w:firstLine="360" w:firstLineChars="150"/>
        <w:textAlignment w:val="auto"/>
        <w:rPr>
          <w:rFonts w:ascii="黑体" w:hAnsi="宋体" w:eastAsia="黑体" w:cs="黑体"/>
          <w:sz w:val="24"/>
        </w:rPr>
      </w:pPr>
      <w:r>
        <w:rPr>
          <w:rFonts w:ascii="黑体" w:hAnsi="宋体" w:eastAsia="黑体" w:cs="黑体"/>
          <w:sz w:val="24"/>
        </w:rPr>
        <w:t>3.1</w:t>
      </w:r>
      <w:r>
        <w:rPr>
          <w:rFonts w:hint="eastAsia" w:ascii="黑体" w:hAnsi="宋体" w:eastAsia="黑体" w:cs="黑体"/>
          <w:sz w:val="24"/>
        </w:rPr>
        <w:t>一般规定</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cs="仿宋_GB2312"/>
          <w:szCs w:val="21"/>
        </w:rPr>
      </w:pPr>
      <w:r>
        <w:rPr>
          <w:rFonts w:ascii="宋体" w:hAnsi="宋体" w:cs="仿宋_GB2312"/>
          <w:szCs w:val="21"/>
        </w:rPr>
        <w:t>3.1.1</w:t>
      </w:r>
      <w:r>
        <w:rPr>
          <w:rFonts w:hint="eastAsia" w:ascii="宋体" w:hAnsi="宋体" w:cs="仿宋_GB2312"/>
          <w:szCs w:val="21"/>
        </w:rPr>
        <w:t>　国有资金投资的建设工程招标，招标人必须编制招标控制价。</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cs="仿宋_GB2312"/>
          <w:szCs w:val="21"/>
        </w:rPr>
      </w:pPr>
      <w:r>
        <w:rPr>
          <w:rFonts w:ascii="宋体" w:hAnsi="宋体" w:cs="仿宋_GB2312"/>
          <w:szCs w:val="21"/>
        </w:rPr>
        <w:t>3.1.2</w:t>
      </w:r>
      <w:r>
        <w:rPr>
          <w:rFonts w:hint="eastAsia" w:ascii="宋体" w:hAnsi="宋体" w:cs="仿宋_GB2312"/>
          <w:szCs w:val="21"/>
        </w:rPr>
        <w:t>　招标控制价应由具有编制能力的招标人或受其委托具有相应资质的工程造价咨询人编制和复核。</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cs="仿宋_GB2312"/>
          <w:szCs w:val="21"/>
        </w:rPr>
      </w:pPr>
      <w:r>
        <w:rPr>
          <w:rFonts w:ascii="宋体" w:hAnsi="宋体" w:cs="仿宋_GB2312"/>
          <w:szCs w:val="21"/>
        </w:rPr>
        <w:t>3.1.3</w:t>
      </w:r>
      <w:r>
        <w:rPr>
          <w:rFonts w:hint="eastAsia" w:ascii="宋体" w:hAnsi="宋体" w:cs="仿宋_GB2312"/>
          <w:szCs w:val="21"/>
        </w:rPr>
        <w:t>　工程造价咨询人接受招标人委托编制招标控制价，不得再就同一工程接受投标人委托编制投标报价。</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cs="仿宋_GB2312"/>
          <w:szCs w:val="21"/>
        </w:rPr>
      </w:pPr>
      <w:r>
        <w:rPr>
          <w:rFonts w:ascii="宋体" w:hAnsi="宋体" w:cs="仿宋_GB2312"/>
          <w:szCs w:val="21"/>
        </w:rPr>
        <w:t>3.1.4</w:t>
      </w:r>
      <w:r>
        <w:rPr>
          <w:rFonts w:hint="eastAsia" w:ascii="宋体" w:hAnsi="宋体" w:cs="仿宋_GB2312"/>
          <w:szCs w:val="21"/>
        </w:rPr>
        <w:t>　招标控制价应根据下列依据编制与复核：</w:t>
      </w:r>
    </w:p>
    <w:p>
      <w:pPr>
        <w:pageBreakBefore w:val="0"/>
        <w:widowControl w:val="0"/>
        <w:kinsoku/>
        <w:wordWrap/>
        <w:overflowPunct/>
        <w:topLinePunct w:val="0"/>
        <w:autoSpaceDE/>
        <w:autoSpaceDN/>
        <w:bidi w:val="0"/>
        <w:spacing w:line="360" w:lineRule="auto"/>
        <w:ind w:firstLine="210" w:firstLineChars="100"/>
        <w:textAlignment w:val="auto"/>
      </w:pPr>
      <w:r>
        <w:rPr>
          <w:rFonts w:hint="eastAsia"/>
        </w:rPr>
        <w:t>（</w:t>
      </w:r>
      <w:r>
        <w:t>1</w:t>
      </w:r>
      <w:r>
        <w:rPr>
          <w:rFonts w:hint="eastAsia"/>
        </w:rPr>
        <w:t>）《建设工程工程量清单计价规范》（</w:t>
      </w:r>
      <w:r>
        <w:t>GB50500—2013</w:t>
      </w:r>
      <w:r>
        <w:rPr>
          <w:rFonts w:hint="eastAsia"/>
        </w:rPr>
        <w:t>）及《房屋建筑与装饰工程工程量计算规范》（</w:t>
      </w:r>
      <w:r>
        <w:t>GB50854-2013</w:t>
      </w:r>
      <w:r>
        <w:rPr>
          <w:rFonts w:hint="eastAsia"/>
        </w:rPr>
        <w:t>）等</w:t>
      </w:r>
      <w:r>
        <w:t>9</w:t>
      </w:r>
      <w:r>
        <w:rPr>
          <w:rFonts w:hint="eastAsia"/>
        </w:rPr>
        <w:t>本工程量计算规范；</w:t>
      </w:r>
    </w:p>
    <w:p>
      <w:pPr>
        <w:pageBreakBefore w:val="0"/>
        <w:widowControl w:val="0"/>
        <w:kinsoku/>
        <w:wordWrap/>
        <w:overflowPunct/>
        <w:topLinePunct w:val="0"/>
        <w:autoSpaceDE/>
        <w:autoSpaceDN/>
        <w:bidi w:val="0"/>
        <w:spacing w:line="360" w:lineRule="auto"/>
        <w:ind w:firstLine="210" w:firstLineChars="100"/>
        <w:textAlignment w:val="auto"/>
      </w:pPr>
      <w:r>
        <w:rPr>
          <w:rFonts w:hint="eastAsia"/>
        </w:rPr>
        <w:t>（</w:t>
      </w:r>
      <w:r>
        <w:t>2</w:t>
      </w:r>
      <w:r>
        <w:rPr>
          <w:rFonts w:hint="eastAsia"/>
        </w:rPr>
        <w:t>）国家或省级、行业建设主管部门颁发的计价定额和计价办法；</w:t>
      </w:r>
    </w:p>
    <w:p>
      <w:pPr>
        <w:pageBreakBefore w:val="0"/>
        <w:widowControl w:val="0"/>
        <w:kinsoku/>
        <w:wordWrap/>
        <w:overflowPunct/>
        <w:topLinePunct w:val="0"/>
        <w:autoSpaceDE/>
        <w:autoSpaceDN/>
        <w:bidi w:val="0"/>
        <w:spacing w:line="360" w:lineRule="auto"/>
        <w:ind w:firstLine="210" w:firstLineChars="100"/>
        <w:textAlignment w:val="auto"/>
      </w:pPr>
      <w:r>
        <w:rPr>
          <w:rFonts w:hint="eastAsia"/>
        </w:rPr>
        <w:t>（</w:t>
      </w:r>
      <w:r>
        <w:t>3</w:t>
      </w:r>
      <w:r>
        <w:rPr>
          <w:rFonts w:hint="eastAsia"/>
        </w:rPr>
        <w:t>）建设工程设计文件及相关资料；</w:t>
      </w:r>
    </w:p>
    <w:p>
      <w:pPr>
        <w:pageBreakBefore w:val="0"/>
        <w:widowControl w:val="0"/>
        <w:kinsoku/>
        <w:wordWrap/>
        <w:overflowPunct/>
        <w:topLinePunct w:val="0"/>
        <w:autoSpaceDE/>
        <w:autoSpaceDN/>
        <w:bidi w:val="0"/>
        <w:spacing w:line="360" w:lineRule="auto"/>
        <w:ind w:firstLine="210" w:firstLineChars="100"/>
        <w:textAlignment w:val="auto"/>
      </w:pPr>
      <w:r>
        <w:rPr>
          <w:rFonts w:hint="eastAsia"/>
        </w:rPr>
        <w:t>（</w:t>
      </w:r>
      <w:r>
        <w:t>4</w:t>
      </w:r>
      <w:r>
        <w:rPr>
          <w:rFonts w:hint="eastAsia"/>
        </w:rPr>
        <w:t>）拟定的招标文件及招标工程量清单；</w:t>
      </w:r>
    </w:p>
    <w:p>
      <w:pPr>
        <w:pageBreakBefore w:val="0"/>
        <w:widowControl w:val="0"/>
        <w:kinsoku/>
        <w:wordWrap/>
        <w:overflowPunct/>
        <w:topLinePunct w:val="0"/>
        <w:autoSpaceDE/>
        <w:autoSpaceDN/>
        <w:bidi w:val="0"/>
        <w:spacing w:line="360" w:lineRule="auto"/>
        <w:ind w:firstLine="210" w:firstLineChars="100"/>
        <w:textAlignment w:val="auto"/>
      </w:pPr>
      <w:r>
        <w:rPr>
          <w:rFonts w:hint="eastAsia"/>
        </w:rPr>
        <w:t>（</w:t>
      </w:r>
      <w:r>
        <w:t>5</w:t>
      </w:r>
      <w:r>
        <w:rPr>
          <w:rFonts w:hint="eastAsia"/>
        </w:rPr>
        <w:t>）与建设项目相关的标准、规范、技术资料；</w:t>
      </w:r>
    </w:p>
    <w:p>
      <w:pPr>
        <w:pageBreakBefore w:val="0"/>
        <w:widowControl w:val="0"/>
        <w:kinsoku/>
        <w:wordWrap/>
        <w:overflowPunct/>
        <w:topLinePunct w:val="0"/>
        <w:autoSpaceDE/>
        <w:autoSpaceDN/>
        <w:bidi w:val="0"/>
        <w:spacing w:line="360" w:lineRule="auto"/>
        <w:ind w:firstLine="210" w:firstLineChars="100"/>
        <w:textAlignment w:val="auto"/>
      </w:pPr>
      <w:r>
        <w:rPr>
          <w:rFonts w:hint="eastAsia"/>
        </w:rPr>
        <w:t>（</w:t>
      </w:r>
      <w:r>
        <w:t>6</w:t>
      </w:r>
      <w:r>
        <w:rPr>
          <w:rFonts w:hint="eastAsia"/>
        </w:rPr>
        <w:t>）施工现场情况、工程特点及常规施工方案；</w:t>
      </w:r>
    </w:p>
    <w:p>
      <w:pPr>
        <w:pageBreakBefore w:val="0"/>
        <w:widowControl w:val="0"/>
        <w:kinsoku/>
        <w:wordWrap/>
        <w:overflowPunct/>
        <w:topLinePunct w:val="0"/>
        <w:autoSpaceDE/>
        <w:autoSpaceDN/>
        <w:bidi w:val="0"/>
        <w:spacing w:line="360" w:lineRule="auto"/>
        <w:ind w:firstLine="210" w:firstLineChars="100"/>
        <w:textAlignment w:val="auto"/>
      </w:pPr>
      <w:r>
        <w:rPr>
          <w:rFonts w:hint="eastAsia"/>
        </w:rPr>
        <w:t>（</w:t>
      </w:r>
      <w:r>
        <w:t>7</w:t>
      </w:r>
      <w:r>
        <w:rPr>
          <w:rFonts w:hint="eastAsia"/>
        </w:rPr>
        <w:t>）工程造价管理机构发布的工程造价信息，当工程造价信息没有发布时，参照市场价；</w:t>
      </w:r>
    </w:p>
    <w:p>
      <w:pPr>
        <w:pageBreakBefore w:val="0"/>
        <w:widowControl w:val="0"/>
        <w:kinsoku/>
        <w:wordWrap/>
        <w:overflowPunct/>
        <w:topLinePunct w:val="0"/>
        <w:autoSpaceDE/>
        <w:autoSpaceDN/>
        <w:bidi w:val="0"/>
        <w:spacing w:line="360" w:lineRule="auto"/>
        <w:ind w:firstLine="210" w:firstLineChars="100"/>
        <w:textAlignment w:val="auto"/>
      </w:pPr>
      <w:r>
        <w:rPr>
          <w:rFonts w:hint="eastAsia"/>
        </w:rPr>
        <w:t>（</w:t>
      </w:r>
      <w:r>
        <w:t>8</w:t>
      </w:r>
      <w:r>
        <w:rPr>
          <w:rFonts w:hint="eastAsia"/>
        </w:rPr>
        <w:t>）其他相关资料</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cs="仿宋_GB2312"/>
          <w:szCs w:val="21"/>
        </w:rPr>
      </w:pPr>
      <w:r>
        <w:rPr>
          <w:rFonts w:ascii="宋体" w:hAnsi="宋体" w:cs="仿宋_GB2312"/>
          <w:szCs w:val="21"/>
        </w:rPr>
        <w:t>3.1.5</w:t>
      </w:r>
      <w:r>
        <w:rPr>
          <w:rFonts w:hint="eastAsia" w:ascii="宋体" w:hAnsi="宋体" w:cs="仿宋_GB2312"/>
          <w:szCs w:val="21"/>
        </w:rPr>
        <w:t>　当招标控制价超过批准的概算时，招标人应将其报原概算审批部门审核。</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cs="仿宋_GB2312"/>
          <w:szCs w:val="21"/>
        </w:rPr>
      </w:pPr>
      <w:r>
        <w:rPr>
          <w:rFonts w:ascii="宋体" w:hAnsi="宋体" w:cs="仿宋_GB2312"/>
          <w:szCs w:val="21"/>
        </w:rPr>
        <w:t>3.1.6</w:t>
      </w:r>
      <w:r>
        <w:rPr>
          <w:rFonts w:hint="eastAsia" w:ascii="宋体" w:hAnsi="宋体" w:cs="仿宋_GB2312"/>
          <w:szCs w:val="21"/>
        </w:rPr>
        <w:t>　招标人应在发布招标文件时公布招标控制价，同时应将招标控制价及有关资料报送工程所在地或有该工程管辖权的行业管理部门工程造价管理机构备查。</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cs="仿宋_GB2312"/>
          <w:szCs w:val="21"/>
        </w:rPr>
      </w:pPr>
      <w:r>
        <w:rPr>
          <w:rFonts w:ascii="宋体" w:hAnsi="宋体" w:cs="仿宋_GB2312"/>
          <w:szCs w:val="21"/>
        </w:rPr>
        <w:t>3.1.7</w:t>
      </w:r>
      <w:r>
        <w:rPr>
          <w:rFonts w:hint="eastAsia" w:ascii="宋体" w:hAnsi="宋体" w:cs="仿宋_GB2312"/>
          <w:szCs w:val="21"/>
        </w:rPr>
        <w:t>同一单位工程的项目编码不得有重复，不强制要求同一招标工程的项目编码不得重复。招标控制价的清单编码排序必须与工程量清单编码排序一致，同一标段内多个单位工程的清单编码按单位工程排序。</w:t>
      </w:r>
    </w:p>
    <w:p>
      <w:pPr>
        <w:pageBreakBefore w:val="0"/>
        <w:widowControl w:val="0"/>
        <w:kinsoku/>
        <w:wordWrap/>
        <w:overflowPunct/>
        <w:topLinePunct w:val="0"/>
        <w:autoSpaceDE/>
        <w:autoSpaceDN/>
        <w:bidi w:val="0"/>
        <w:adjustRightInd w:val="0"/>
        <w:snapToGrid w:val="0"/>
        <w:spacing w:line="360" w:lineRule="auto"/>
        <w:textAlignment w:val="auto"/>
        <w:rPr>
          <w:rFonts w:ascii="黑体" w:hAnsi="宋体" w:eastAsia="黑体" w:cs="黑体"/>
          <w:sz w:val="24"/>
        </w:rPr>
      </w:pPr>
      <w:r>
        <w:rPr>
          <w:rFonts w:ascii="黑体" w:hAnsi="宋体" w:eastAsia="黑体" w:cs="黑体"/>
          <w:sz w:val="24"/>
        </w:rPr>
        <w:t>3.2</w:t>
      </w:r>
      <w:r>
        <w:rPr>
          <w:rFonts w:hint="eastAsia" w:ascii="黑体" w:hAnsi="宋体" w:eastAsia="黑体" w:cs="黑体"/>
          <w:sz w:val="24"/>
        </w:rPr>
        <w:t>招标控制价的发布及修正</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cs="仿宋_GB2312"/>
          <w:szCs w:val="21"/>
        </w:rPr>
      </w:pPr>
      <w:r>
        <w:rPr>
          <w:rFonts w:hint="eastAsia" w:ascii="宋体" w:hAnsi="宋体" w:cs="仿宋_GB2312"/>
          <w:szCs w:val="21"/>
        </w:rPr>
        <w:t>招标控制价应当在招标文件发布的同时发布，并提供给投标人。投标人如有疑义，应于投标截止时间</w:t>
      </w:r>
      <w:r>
        <w:rPr>
          <w:rFonts w:ascii="宋体" w:hAnsi="宋体" w:cs="仿宋_GB2312"/>
          <w:szCs w:val="21"/>
        </w:rPr>
        <w:t>15</w:t>
      </w:r>
      <w:r>
        <w:rPr>
          <w:rFonts w:hint="eastAsia" w:ascii="宋体" w:hAnsi="宋体" w:cs="仿宋_GB2312"/>
          <w:szCs w:val="21"/>
        </w:rPr>
        <w:t>天前，书面向招标人提出异议或修正要求。招标人必须在投标截止时间</w:t>
      </w:r>
      <w:r>
        <w:rPr>
          <w:rFonts w:ascii="宋体" w:hAnsi="宋体" w:cs="仿宋_GB2312"/>
          <w:szCs w:val="21"/>
        </w:rPr>
        <w:t>10</w:t>
      </w:r>
      <w:r>
        <w:rPr>
          <w:rFonts w:hint="eastAsia" w:ascii="宋体" w:hAnsi="宋体" w:cs="仿宋_GB2312"/>
          <w:szCs w:val="21"/>
        </w:rPr>
        <w:t>天前书面答复经修正后的招标控制价。</w:t>
      </w:r>
    </w:p>
    <w:p>
      <w:pPr>
        <w:pStyle w:val="32"/>
        <w:pageBreakBefore w:val="0"/>
        <w:widowControl w:val="0"/>
        <w:kinsoku/>
        <w:wordWrap/>
        <w:overflowPunct/>
        <w:topLinePunct w:val="0"/>
        <w:autoSpaceDE/>
        <w:autoSpaceDN/>
        <w:bidi w:val="0"/>
        <w:spacing w:line="360" w:lineRule="auto"/>
        <w:jc w:val="both"/>
        <w:textAlignment w:val="auto"/>
      </w:pPr>
      <w:r>
        <w:t>4.</w:t>
      </w:r>
      <w:r>
        <w:rPr>
          <w:rFonts w:hint="eastAsia"/>
        </w:rPr>
        <w:t>合同价款调整</w:t>
      </w:r>
    </w:p>
    <w:p>
      <w:pPr>
        <w:pageBreakBefore w:val="0"/>
        <w:widowControl w:val="0"/>
        <w:kinsoku/>
        <w:wordWrap/>
        <w:overflowPunct/>
        <w:topLinePunct w:val="0"/>
        <w:autoSpaceDE/>
        <w:autoSpaceDN/>
        <w:bidi w:val="0"/>
        <w:spacing w:line="360" w:lineRule="auto"/>
        <w:ind w:firstLine="315" w:firstLineChars="150"/>
        <w:textAlignment w:val="auto"/>
      </w:pPr>
      <w:r>
        <w:t>4.1</w:t>
      </w:r>
      <w:r>
        <w:rPr>
          <w:rFonts w:hint="eastAsia"/>
        </w:rPr>
        <w:t>下列事项（但不限于）发生，发承包双方应当调整合同价款：</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cs="仿宋_GB2312"/>
          <w:szCs w:val="21"/>
        </w:rPr>
      </w:pPr>
      <w:r>
        <w:rPr>
          <w:rFonts w:ascii="宋体" w:hAnsi="宋体" w:cs="仿宋_GB2312"/>
          <w:szCs w:val="21"/>
        </w:rPr>
        <w:t>1)</w:t>
      </w:r>
      <w:r>
        <w:rPr>
          <w:rFonts w:hint="eastAsia" w:ascii="宋体" w:hAnsi="宋体" w:cs="仿宋_GB2312"/>
          <w:szCs w:val="21"/>
        </w:rPr>
        <w:t>法律法规变化；</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cs="仿宋_GB2312"/>
          <w:szCs w:val="21"/>
        </w:rPr>
      </w:pPr>
      <w:r>
        <w:rPr>
          <w:rFonts w:ascii="宋体" w:hAnsi="宋体" w:cs="仿宋_GB2312"/>
          <w:szCs w:val="21"/>
        </w:rPr>
        <w:t>2)</w:t>
      </w:r>
      <w:r>
        <w:rPr>
          <w:rFonts w:hint="eastAsia" w:ascii="宋体" w:hAnsi="宋体" w:cs="仿宋_GB2312"/>
          <w:szCs w:val="21"/>
        </w:rPr>
        <w:t>工程变更；</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cs="仿宋_GB2312"/>
          <w:szCs w:val="21"/>
        </w:rPr>
      </w:pPr>
      <w:r>
        <w:rPr>
          <w:rFonts w:ascii="宋体" w:hAnsi="宋体" w:cs="仿宋_GB2312"/>
          <w:szCs w:val="21"/>
        </w:rPr>
        <w:t>3)</w:t>
      </w:r>
      <w:r>
        <w:rPr>
          <w:rFonts w:hint="eastAsia" w:ascii="宋体" w:hAnsi="宋体" w:cs="仿宋_GB2312"/>
          <w:szCs w:val="21"/>
        </w:rPr>
        <w:t>项目特征不符；</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cs="仿宋_GB2312"/>
          <w:szCs w:val="21"/>
        </w:rPr>
      </w:pPr>
      <w:r>
        <w:rPr>
          <w:rFonts w:ascii="宋体" w:hAnsi="宋体" w:cs="仿宋_GB2312"/>
          <w:szCs w:val="21"/>
        </w:rPr>
        <w:t>4)</w:t>
      </w:r>
      <w:r>
        <w:rPr>
          <w:rFonts w:hint="eastAsia" w:ascii="宋体" w:hAnsi="宋体" w:cs="仿宋_GB2312"/>
          <w:szCs w:val="21"/>
        </w:rPr>
        <w:t>工程量清单缺项；</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cs="仿宋_GB2312"/>
          <w:szCs w:val="21"/>
        </w:rPr>
      </w:pPr>
      <w:r>
        <w:rPr>
          <w:rFonts w:ascii="宋体" w:hAnsi="宋体" w:cs="仿宋_GB2312"/>
          <w:szCs w:val="21"/>
        </w:rPr>
        <w:t>5)</w:t>
      </w:r>
      <w:r>
        <w:rPr>
          <w:rFonts w:hint="eastAsia" w:ascii="宋体" w:hAnsi="宋体" w:cs="仿宋_GB2312"/>
          <w:szCs w:val="21"/>
        </w:rPr>
        <w:t>工程量偏差；</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cs="仿宋_GB2312"/>
          <w:szCs w:val="21"/>
        </w:rPr>
      </w:pPr>
      <w:r>
        <w:rPr>
          <w:rFonts w:ascii="宋体" w:hAnsi="宋体" w:cs="仿宋_GB2312"/>
          <w:szCs w:val="21"/>
        </w:rPr>
        <w:t>6)</w:t>
      </w:r>
      <w:r>
        <w:rPr>
          <w:rFonts w:hint="eastAsia" w:ascii="宋体" w:hAnsi="宋体" w:cs="仿宋_GB2312"/>
          <w:szCs w:val="21"/>
        </w:rPr>
        <w:t>计日工；</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cs="仿宋_GB2312"/>
          <w:szCs w:val="21"/>
        </w:rPr>
      </w:pPr>
      <w:r>
        <w:rPr>
          <w:rFonts w:ascii="宋体" w:hAnsi="宋体" w:cs="仿宋_GB2312"/>
          <w:szCs w:val="21"/>
        </w:rPr>
        <w:t>7)</w:t>
      </w:r>
      <w:r>
        <w:rPr>
          <w:rFonts w:hint="eastAsia" w:ascii="宋体" w:hAnsi="宋体" w:cs="仿宋_GB2312"/>
          <w:szCs w:val="21"/>
        </w:rPr>
        <w:t>物价变化；</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cs="仿宋_GB2312"/>
          <w:szCs w:val="21"/>
        </w:rPr>
      </w:pPr>
      <w:r>
        <w:rPr>
          <w:rFonts w:ascii="宋体" w:hAnsi="宋体" w:cs="仿宋_GB2312"/>
          <w:szCs w:val="21"/>
        </w:rPr>
        <w:t>8)</w:t>
      </w:r>
      <w:r>
        <w:rPr>
          <w:rFonts w:hint="eastAsia" w:ascii="宋体" w:hAnsi="宋体" w:cs="仿宋_GB2312"/>
          <w:szCs w:val="21"/>
        </w:rPr>
        <w:t>暂估价；</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cs="仿宋_GB2312"/>
          <w:szCs w:val="21"/>
        </w:rPr>
      </w:pPr>
      <w:r>
        <w:rPr>
          <w:rFonts w:ascii="宋体" w:hAnsi="宋体" w:cs="仿宋_GB2312"/>
          <w:szCs w:val="21"/>
        </w:rPr>
        <w:t>9)</w:t>
      </w:r>
      <w:r>
        <w:rPr>
          <w:rFonts w:hint="eastAsia" w:ascii="宋体" w:hAnsi="宋体" w:cs="仿宋_GB2312"/>
          <w:szCs w:val="21"/>
        </w:rPr>
        <w:t>不可抗力；</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cs="仿宋_GB2312"/>
          <w:szCs w:val="21"/>
        </w:rPr>
      </w:pPr>
      <w:r>
        <w:rPr>
          <w:rFonts w:ascii="宋体" w:hAnsi="宋体" w:cs="仿宋_GB2312"/>
          <w:szCs w:val="21"/>
        </w:rPr>
        <w:t>10)</w:t>
      </w:r>
      <w:r>
        <w:rPr>
          <w:rFonts w:hint="eastAsia" w:ascii="宋体" w:hAnsi="宋体" w:cs="仿宋_GB2312"/>
          <w:szCs w:val="21"/>
        </w:rPr>
        <w:t>提前竣工（赶工补偿）；</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cs="仿宋_GB2312"/>
          <w:szCs w:val="21"/>
        </w:rPr>
      </w:pPr>
      <w:r>
        <w:rPr>
          <w:rFonts w:ascii="宋体" w:hAnsi="宋体" w:cs="仿宋_GB2312"/>
          <w:szCs w:val="21"/>
        </w:rPr>
        <w:t>11)</w:t>
      </w:r>
      <w:r>
        <w:rPr>
          <w:rFonts w:hint="eastAsia" w:ascii="宋体" w:hAnsi="宋体" w:cs="仿宋_GB2312"/>
          <w:szCs w:val="21"/>
        </w:rPr>
        <w:t>误期赔偿；</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cs="仿宋_GB2312"/>
          <w:szCs w:val="21"/>
        </w:rPr>
      </w:pPr>
      <w:r>
        <w:rPr>
          <w:rFonts w:ascii="宋体" w:hAnsi="宋体" w:cs="仿宋_GB2312"/>
          <w:szCs w:val="21"/>
        </w:rPr>
        <w:t>12)</w:t>
      </w:r>
      <w:r>
        <w:rPr>
          <w:rFonts w:hint="eastAsia" w:ascii="宋体" w:hAnsi="宋体" w:cs="仿宋_GB2312"/>
          <w:szCs w:val="21"/>
        </w:rPr>
        <w:t>索赔；</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cs="仿宋_GB2312"/>
          <w:szCs w:val="21"/>
        </w:rPr>
      </w:pPr>
      <w:r>
        <w:rPr>
          <w:rFonts w:ascii="宋体" w:hAnsi="宋体" w:cs="仿宋_GB2312"/>
          <w:szCs w:val="21"/>
        </w:rPr>
        <w:t>13)</w:t>
      </w:r>
      <w:r>
        <w:rPr>
          <w:rFonts w:hint="eastAsia" w:ascii="宋体" w:hAnsi="宋体" w:cs="仿宋_GB2312"/>
          <w:szCs w:val="21"/>
        </w:rPr>
        <w:t>现场签证；</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cs="仿宋_GB2312"/>
          <w:szCs w:val="21"/>
        </w:rPr>
      </w:pPr>
      <w:r>
        <w:rPr>
          <w:rFonts w:ascii="宋体" w:hAnsi="宋体" w:cs="仿宋_GB2312"/>
          <w:szCs w:val="21"/>
        </w:rPr>
        <w:t>14)</w:t>
      </w:r>
      <w:r>
        <w:rPr>
          <w:rFonts w:hint="eastAsia" w:ascii="宋体" w:hAnsi="宋体" w:cs="仿宋_GB2312"/>
          <w:szCs w:val="21"/>
        </w:rPr>
        <w:t>暂列金额；</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cs="仿宋_GB2312"/>
          <w:szCs w:val="21"/>
        </w:rPr>
      </w:pPr>
      <w:r>
        <w:rPr>
          <w:rFonts w:ascii="宋体" w:hAnsi="宋体" w:cs="仿宋_GB2312"/>
          <w:szCs w:val="21"/>
        </w:rPr>
        <w:t>15</w:t>
      </w:r>
      <w:r>
        <w:rPr>
          <w:rFonts w:hint="eastAsia" w:ascii="宋体" w:hAnsi="宋体" w:cs="仿宋_GB2312"/>
          <w:szCs w:val="21"/>
        </w:rPr>
        <w:t>）发承包双方约定的其他调整事项。</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cs="仿宋_GB2312"/>
          <w:szCs w:val="21"/>
        </w:rPr>
      </w:pPr>
      <w:r>
        <w:rPr>
          <w:rFonts w:ascii="宋体" w:hAnsi="宋体" w:cs="仿宋_GB2312"/>
          <w:szCs w:val="21"/>
        </w:rPr>
        <w:t>4.2</w:t>
      </w:r>
      <w:r>
        <w:rPr>
          <w:rFonts w:hint="eastAsia" w:ascii="宋体" w:hAnsi="宋体" w:cs="仿宋_GB2312"/>
          <w:szCs w:val="21"/>
        </w:rPr>
        <w:t>工程量必须以承包人完成合同工程应予计量的工程量确定。</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cs="仿宋_GB2312"/>
          <w:szCs w:val="21"/>
        </w:rPr>
      </w:pPr>
      <w:r>
        <w:rPr>
          <w:rFonts w:ascii="宋体" w:hAnsi="宋体" w:cs="仿宋_GB2312"/>
          <w:szCs w:val="21"/>
        </w:rPr>
        <w:t>4.3</w:t>
      </w:r>
      <w:r>
        <w:rPr>
          <w:rFonts w:hint="eastAsia" w:ascii="宋体" w:hAnsi="宋体" w:cs="仿宋_GB2312"/>
          <w:szCs w:val="21"/>
        </w:rPr>
        <w:t>除合同另有约定外，施工中进行工程计量，当发现招标工程量清单中出现缺项、工程量偏差，或因工程变更引起工程量增减时，按承包人在履行合同义务中完成的工程量计算。</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cs="仿宋_GB2312"/>
          <w:szCs w:val="21"/>
        </w:rPr>
      </w:pPr>
      <w:r>
        <w:rPr>
          <w:rFonts w:ascii="宋体" w:hAnsi="宋体" w:cs="仿宋_GB2312"/>
          <w:szCs w:val="21"/>
        </w:rPr>
        <w:t>4.4</w:t>
      </w:r>
      <w:r>
        <w:rPr>
          <w:rFonts w:hint="eastAsia" w:ascii="宋体" w:hAnsi="宋体" w:cs="仿宋_GB2312"/>
          <w:szCs w:val="21"/>
        </w:rPr>
        <w:t>工程变更</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cs="仿宋_GB2312"/>
          <w:szCs w:val="21"/>
        </w:rPr>
      </w:pPr>
      <w:r>
        <w:rPr>
          <w:rFonts w:ascii="宋体" w:hAnsi="宋体" w:cs="仿宋_GB2312"/>
          <w:szCs w:val="21"/>
        </w:rPr>
        <w:t>4.4.1</w:t>
      </w:r>
      <w:r>
        <w:rPr>
          <w:rFonts w:hint="eastAsia" w:ascii="宋体" w:hAnsi="宋体" w:cs="仿宋_GB2312"/>
          <w:szCs w:val="21"/>
        </w:rPr>
        <w:t>因工程变更引起的已标价工程量清单项目发生变化时，应按照下列规定调整：</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cs="仿宋_GB2312"/>
          <w:szCs w:val="21"/>
        </w:rPr>
      </w:pPr>
      <w:r>
        <w:rPr>
          <w:rFonts w:ascii="宋体" w:hAnsi="宋体" w:cs="仿宋_GB2312"/>
          <w:szCs w:val="21"/>
        </w:rPr>
        <w:t>1)</w:t>
      </w:r>
      <w:r>
        <w:rPr>
          <w:rFonts w:hint="eastAsia" w:ascii="宋体" w:hAnsi="宋体" w:cs="仿宋_GB2312"/>
          <w:szCs w:val="21"/>
        </w:rPr>
        <w:t>已标价工程量清单中有适用于变更工程项目的，采用该项目的单价。</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cs="仿宋_GB2312"/>
          <w:szCs w:val="21"/>
        </w:rPr>
      </w:pPr>
      <w:r>
        <w:rPr>
          <w:rFonts w:ascii="宋体" w:hAnsi="宋体" w:cs="仿宋_GB2312"/>
          <w:szCs w:val="21"/>
        </w:rPr>
        <w:t>2)</w:t>
      </w:r>
      <w:r>
        <w:rPr>
          <w:rFonts w:hint="eastAsia" w:ascii="宋体" w:hAnsi="宋体" w:cs="仿宋_GB2312"/>
          <w:szCs w:val="21"/>
        </w:rPr>
        <w:t>已标价工程量清单中没有适用但有类似于变更工程项目的，参照类似项目的单价。</w:t>
      </w:r>
    </w:p>
    <w:p>
      <w:pPr>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ascii="宋体" w:cs="仿宋_GB2312"/>
          <w:szCs w:val="21"/>
        </w:rPr>
      </w:pPr>
      <w:r>
        <w:rPr>
          <w:rFonts w:ascii="宋体" w:hAnsi="宋体" w:cs="仿宋_GB2312"/>
          <w:szCs w:val="21"/>
        </w:rPr>
        <w:t>3)</w:t>
      </w:r>
      <w:r>
        <w:rPr>
          <w:rFonts w:hint="eastAsia" w:ascii="宋体" w:hAnsi="宋体" w:cs="仿宋_GB2312"/>
          <w:szCs w:val="21"/>
        </w:rPr>
        <w:t>已标价工程量清单中没有适用也没有类似于变更工程项目的，由承包人按照本项目招标控制价编制方法计算出该工程量清单的综合单价，然后乘以</w:t>
      </w:r>
      <w:r>
        <w:rPr>
          <w:rFonts w:ascii="宋体" w:hAnsi="宋体" w:cs="仿宋_GB2312"/>
          <w:szCs w:val="21"/>
        </w:rPr>
        <w:t>K</w:t>
      </w:r>
      <w:r>
        <w:rPr>
          <w:rFonts w:hint="eastAsia" w:ascii="宋体" w:hAnsi="宋体" w:cs="仿宋_GB2312"/>
          <w:szCs w:val="21"/>
        </w:rPr>
        <w:t>值下浮，并报发包人确认后调整。</w:t>
      </w:r>
    </w:p>
    <w:p>
      <w:pPr>
        <w:pageBreakBefore w:val="0"/>
        <w:widowControl w:val="0"/>
        <w:kinsoku/>
        <w:wordWrap/>
        <w:overflowPunct/>
        <w:topLinePunct w:val="0"/>
        <w:autoSpaceDE/>
        <w:autoSpaceDN/>
        <w:bidi w:val="0"/>
        <w:spacing w:line="360" w:lineRule="auto"/>
        <w:ind w:firstLine="210" w:firstLineChars="100"/>
        <w:textAlignment w:val="auto"/>
        <w:rPr>
          <w:rFonts w:ascii="宋体"/>
          <w:szCs w:val="21"/>
        </w:rPr>
      </w:pPr>
      <w:r>
        <w:rPr>
          <w:rFonts w:ascii="宋体" w:hAnsi="宋体"/>
          <w:szCs w:val="21"/>
        </w:rPr>
        <w:t>K</w:t>
      </w:r>
      <w:r>
        <w:rPr>
          <w:rFonts w:hint="eastAsia" w:ascii="宋体" w:hAnsi="宋体"/>
          <w:szCs w:val="21"/>
        </w:rPr>
        <w:t>值</w:t>
      </w:r>
      <w:r>
        <w:rPr>
          <w:rFonts w:ascii="宋体" w:hAnsi="宋体"/>
          <w:szCs w:val="21"/>
        </w:rPr>
        <w:t>= [</w:t>
      </w:r>
      <w:r>
        <w:rPr>
          <w:rFonts w:hint="eastAsia" w:ascii="宋体" w:hAnsi="宋体"/>
          <w:szCs w:val="21"/>
        </w:rPr>
        <w:t>中标价</w:t>
      </w:r>
      <w:r>
        <w:rPr>
          <w:rFonts w:ascii="宋体"/>
          <w:szCs w:val="21"/>
        </w:rPr>
        <w:t>-</w:t>
      </w:r>
      <w:r>
        <w:rPr>
          <w:rFonts w:hint="eastAsia" w:ascii="宋体" w:hAnsi="宋体"/>
          <w:szCs w:val="21"/>
        </w:rPr>
        <w:t>暂列金额</w:t>
      </w:r>
      <w:r>
        <w:rPr>
          <w:rFonts w:ascii="宋体"/>
          <w:szCs w:val="21"/>
        </w:rPr>
        <w:t>-</w:t>
      </w:r>
      <w:r>
        <w:rPr>
          <w:rFonts w:hint="eastAsia" w:ascii="宋体" w:hAnsi="宋体"/>
          <w:szCs w:val="21"/>
        </w:rPr>
        <w:t>暂估价</w:t>
      </w:r>
      <w:r>
        <w:rPr>
          <w:rFonts w:ascii="宋体"/>
          <w:szCs w:val="21"/>
        </w:rPr>
        <w:t>-</w:t>
      </w:r>
      <w:r>
        <w:rPr>
          <w:rFonts w:hint="eastAsia" w:ascii="宋体" w:hAnsi="宋体"/>
          <w:szCs w:val="21"/>
        </w:rPr>
        <w:t>甲供材</w:t>
      </w:r>
      <w:r>
        <w:rPr>
          <w:rFonts w:ascii="宋体" w:hAnsi="宋体"/>
          <w:szCs w:val="21"/>
        </w:rPr>
        <w:t>]</w:t>
      </w:r>
      <w:r>
        <w:rPr>
          <w:rFonts w:hint="eastAsia" w:ascii="宋体" w:hAnsi="宋体"/>
          <w:szCs w:val="21"/>
        </w:rPr>
        <w:t>／</w:t>
      </w:r>
      <w:r>
        <w:rPr>
          <w:rFonts w:ascii="宋体" w:hAnsi="宋体"/>
          <w:szCs w:val="21"/>
        </w:rPr>
        <w:t>[</w:t>
      </w:r>
      <w:r>
        <w:rPr>
          <w:rFonts w:hint="eastAsia" w:ascii="宋体" w:hAnsi="宋体"/>
          <w:szCs w:val="21"/>
        </w:rPr>
        <w:t>招标控制价</w:t>
      </w:r>
      <w:r>
        <w:rPr>
          <w:rFonts w:ascii="宋体"/>
          <w:szCs w:val="21"/>
        </w:rPr>
        <w:t>-</w:t>
      </w:r>
      <w:r>
        <w:rPr>
          <w:rFonts w:hint="eastAsia" w:ascii="宋体" w:hAnsi="宋体"/>
          <w:szCs w:val="21"/>
        </w:rPr>
        <w:t>暂列金额</w:t>
      </w:r>
      <w:r>
        <w:rPr>
          <w:rFonts w:ascii="宋体"/>
          <w:szCs w:val="21"/>
        </w:rPr>
        <w:t>-</w:t>
      </w:r>
      <w:r>
        <w:rPr>
          <w:rFonts w:hint="eastAsia" w:ascii="宋体" w:hAnsi="宋体"/>
          <w:szCs w:val="21"/>
        </w:rPr>
        <w:t>暂估价</w:t>
      </w:r>
      <w:r>
        <w:rPr>
          <w:rFonts w:ascii="宋体"/>
          <w:szCs w:val="21"/>
        </w:rPr>
        <w:t>-</w:t>
      </w:r>
      <w:r>
        <w:rPr>
          <w:rFonts w:hint="eastAsia" w:ascii="宋体" w:hAnsi="宋体"/>
          <w:szCs w:val="21"/>
        </w:rPr>
        <w:t>甲供材</w:t>
      </w:r>
      <w:r>
        <w:rPr>
          <w:rFonts w:ascii="宋体" w:hAnsi="宋体"/>
          <w:szCs w:val="21"/>
        </w:rPr>
        <w:t>]</w:t>
      </w:r>
    </w:p>
    <w:p>
      <w:pPr>
        <w:pageBreakBefore w:val="0"/>
        <w:widowControl w:val="0"/>
        <w:kinsoku/>
        <w:wordWrap/>
        <w:overflowPunct/>
        <w:topLinePunct w:val="0"/>
        <w:autoSpaceDE/>
        <w:autoSpaceDN/>
        <w:bidi w:val="0"/>
        <w:spacing w:line="360" w:lineRule="auto"/>
        <w:ind w:firstLine="210" w:firstLineChars="100"/>
        <w:textAlignment w:val="auto"/>
        <w:rPr>
          <w:rFonts w:ascii="宋体"/>
          <w:szCs w:val="21"/>
        </w:rPr>
      </w:pPr>
      <w:r>
        <w:rPr>
          <w:rFonts w:ascii="宋体" w:hAnsi="宋体"/>
          <w:szCs w:val="21"/>
        </w:rPr>
        <w:t xml:space="preserve">  4</w:t>
      </w:r>
      <w:r>
        <w:rPr>
          <w:rFonts w:hint="eastAsia" w:ascii="宋体" w:hAnsi="宋体"/>
          <w:szCs w:val="21"/>
        </w:rPr>
        <w:t>）采用“合理区间随机确定中标人法”确定中标人的工程，上述单价按综合单价</w:t>
      </w:r>
      <w:r>
        <w:rPr>
          <w:rFonts w:ascii="宋体" w:hAnsi="宋体"/>
          <w:szCs w:val="21"/>
        </w:rPr>
        <w:t>=</w:t>
      </w:r>
      <w:r>
        <w:rPr>
          <w:rFonts w:hint="eastAsia" w:ascii="宋体" w:hAnsi="宋体"/>
          <w:szCs w:val="21"/>
        </w:rPr>
        <w:t>招标控制价的综合单价×（</w:t>
      </w:r>
      <w:r>
        <w:rPr>
          <w:rFonts w:ascii="宋体" w:hAnsi="宋体"/>
          <w:szCs w:val="21"/>
        </w:rPr>
        <w:t>1-</w:t>
      </w:r>
      <w:r>
        <w:rPr>
          <w:rFonts w:hint="eastAsia" w:ascii="宋体" w:hAnsi="宋体"/>
          <w:szCs w:val="21"/>
        </w:rPr>
        <w:t>招标文件确定的下浮率）的方法确定。</w:t>
      </w:r>
    </w:p>
    <w:p>
      <w:pPr>
        <w:pageBreakBefore w:val="0"/>
        <w:widowControl w:val="0"/>
        <w:kinsoku/>
        <w:wordWrap/>
        <w:overflowPunct/>
        <w:topLinePunct w:val="0"/>
        <w:autoSpaceDE/>
        <w:autoSpaceDN/>
        <w:bidi w:val="0"/>
        <w:spacing w:line="360" w:lineRule="auto"/>
        <w:textAlignment w:val="auto"/>
        <w:rPr>
          <w:rFonts w:ascii="宋体" w:cs="仿宋_GB2312"/>
          <w:szCs w:val="21"/>
        </w:rPr>
      </w:pPr>
      <w:r>
        <w:rPr>
          <w:rFonts w:ascii="宋体" w:hAnsi="宋体" w:cs="仿宋_GB2312"/>
          <w:szCs w:val="21"/>
        </w:rPr>
        <w:t>4.4.2</w:t>
      </w:r>
      <w:r>
        <w:rPr>
          <w:rFonts w:hint="eastAsia" w:ascii="宋体" w:hAnsi="宋体" w:cs="仿宋_GB2312"/>
          <w:szCs w:val="21"/>
        </w:rPr>
        <w:t>工程变更引起施工方案改变并使措施项目发生变化时，承包人提出调整措施项目费的，应事先将拟实施的方案提交发包人确认，并详细说明与原方案措施项目相比的变化情况。拟实施的方案经发承包双方确认后执行，并按下列规定调整措施项目费：</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cs="仿宋_GB2312"/>
          <w:szCs w:val="21"/>
        </w:rPr>
      </w:pPr>
      <w:r>
        <w:rPr>
          <w:rFonts w:ascii="宋体" w:hAnsi="宋体" w:cs="仿宋_GB2312"/>
          <w:szCs w:val="21"/>
        </w:rPr>
        <w:t>1)</w:t>
      </w:r>
      <w:r>
        <w:rPr>
          <w:rFonts w:hint="eastAsia" w:ascii="宋体" w:hAnsi="宋体" w:cs="仿宋_GB2312"/>
          <w:szCs w:val="21"/>
        </w:rPr>
        <w:t>单价措施项目变更原则同分部分项工程，按照实际发生变化的措施项目，按第</w:t>
      </w:r>
      <w:r>
        <w:rPr>
          <w:rFonts w:ascii="宋体" w:hAnsi="宋体" w:cs="仿宋_GB2312"/>
          <w:szCs w:val="21"/>
        </w:rPr>
        <w:t>4.4.1</w:t>
      </w:r>
      <w:r>
        <w:rPr>
          <w:rFonts w:hint="eastAsia" w:ascii="宋体" w:hAnsi="宋体" w:cs="仿宋_GB2312"/>
          <w:szCs w:val="21"/>
        </w:rPr>
        <w:t>条规定确定单价；</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cs="仿宋_GB2312"/>
          <w:szCs w:val="21"/>
        </w:rPr>
      </w:pPr>
      <w:r>
        <w:rPr>
          <w:rFonts w:ascii="宋体" w:hAnsi="宋体" w:cs="仿宋_GB2312"/>
          <w:szCs w:val="21"/>
        </w:rPr>
        <w:t>2)</w:t>
      </w:r>
      <w:r>
        <w:rPr>
          <w:rFonts w:hint="eastAsia" w:ascii="宋体" w:hAnsi="宋体" w:cs="仿宋_GB2312"/>
          <w:szCs w:val="21"/>
        </w:rPr>
        <w:t>总价措施项目中以费率报价的，费率不变；</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cs="仿宋_GB2312"/>
          <w:szCs w:val="21"/>
        </w:rPr>
      </w:pPr>
      <w:r>
        <w:rPr>
          <w:rFonts w:ascii="宋体" w:hAnsi="宋体" w:cs="仿宋_GB2312"/>
          <w:szCs w:val="21"/>
        </w:rPr>
        <w:t>3)</w:t>
      </w:r>
      <w:r>
        <w:rPr>
          <w:rFonts w:hint="eastAsia" w:ascii="宋体" w:hAnsi="宋体" w:cs="仿宋_GB2312"/>
          <w:szCs w:val="21"/>
        </w:rPr>
        <w:t>总价项目中以费用报价的，按投标时口径折算成费率调整；</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cs="仿宋_GB2312"/>
          <w:szCs w:val="21"/>
        </w:rPr>
      </w:pPr>
      <w:r>
        <w:rPr>
          <w:rFonts w:ascii="宋体" w:hAnsi="宋体" w:cs="仿宋_GB2312"/>
          <w:szCs w:val="21"/>
        </w:rPr>
        <w:t>4)</w:t>
      </w:r>
      <w:r>
        <w:rPr>
          <w:rFonts w:hint="eastAsia" w:ascii="宋体" w:hAnsi="宋体" w:cs="仿宋_GB2312"/>
          <w:szCs w:val="21"/>
        </w:rPr>
        <w:t>原措施费中没有的措施项目，由承包人按第</w:t>
      </w:r>
      <w:r>
        <w:rPr>
          <w:rFonts w:ascii="宋体" w:hAnsi="宋体" w:cs="仿宋_GB2312"/>
          <w:szCs w:val="21"/>
        </w:rPr>
        <w:t>4.4.1</w:t>
      </w:r>
      <w:r>
        <w:rPr>
          <w:rFonts w:hint="eastAsia" w:ascii="宋体" w:hAnsi="宋体" w:cs="仿宋_GB2312"/>
          <w:szCs w:val="21"/>
        </w:rPr>
        <w:t>条规定提出适当的措施费变更要求，经发包人确认后调整。</w:t>
      </w:r>
    </w:p>
    <w:p>
      <w:pPr>
        <w:pageBreakBefore w:val="0"/>
        <w:widowControl w:val="0"/>
        <w:kinsoku/>
        <w:wordWrap/>
        <w:overflowPunct/>
        <w:topLinePunct w:val="0"/>
        <w:autoSpaceDE/>
        <w:autoSpaceDN/>
        <w:bidi w:val="0"/>
        <w:spacing w:line="360" w:lineRule="auto"/>
        <w:ind w:firstLine="420" w:firstLineChars="200"/>
        <w:textAlignment w:val="auto"/>
        <w:rPr>
          <w:rFonts w:ascii="宋体" w:cs="仿宋_GB2312"/>
          <w:szCs w:val="21"/>
        </w:rPr>
      </w:pPr>
      <w:r>
        <w:rPr>
          <w:rFonts w:hint="eastAsia" w:ascii="宋体" w:hAnsi="宋体" w:cs="仿宋_GB2312"/>
          <w:szCs w:val="21"/>
        </w:rPr>
        <w:t>如果承包人未事先将拟实施的方案提交给发包人确认，则视为工程变更不引起措施项目费的调整或承包人放弃调整措施项目费的权利。</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cs="仿宋_GB2312"/>
          <w:szCs w:val="21"/>
        </w:rPr>
      </w:pPr>
      <w:r>
        <w:rPr>
          <w:rFonts w:ascii="宋体" w:hAnsi="宋体" w:cs="仿宋_GB2312"/>
          <w:szCs w:val="21"/>
        </w:rPr>
        <w:t>4.5</w:t>
      </w:r>
      <w:r>
        <w:rPr>
          <w:rFonts w:hint="eastAsia" w:ascii="宋体" w:hAnsi="宋体" w:cs="仿宋_GB2312"/>
          <w:szCs w:val="21"/>
        </w:rPr>
        <w:t>工程量清单缺项、项目特征不符的，按照本章第</w:t>
      </w:r>
      <w:r>
        <w:rPr>
          <w:rFonts w:ascii="宋体" w:hAnsi="宋体" w:cs="仿宋_GB2312"/>
          <w:szCs w:val="21"/>
        </w:rPr>
        <w:t>4.4</w:t>
      </w:r>
      <w:r>
        <w:rPr>
          <w:rFonts w:hint="eastAsia" w:ascii="宋体" w:hAnsi="宋体" w:cs="仿宋_GB2312"/>
          <w:szCs w:val="21"/>
        </w:rPr>
        <w:t>条规定调整合同价款。</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cs="仿宋_GB2312"/>
          <w:szCs w:val="21"/>
        </w:rPr>
      </w:pPr>
      <w:r>
        <w:rPr>
          <w:rFonts w:ascii="宋体" w:hAnsi="宋体" w:cs="仿宋_GB2312"/>
          <w:szCs w:val="21"/>
        </w:rPr>
        <w:t>4.6</w:t>
      </w:r>
      <w:r>
        <w:rPr>
          <w:rFonts w:hint="eastAsia" w:ascii="宋体" w:hAnsi="宋体" w:cs="仿宋_GB2312"/>
          <w:szCs w:val="21"/>
        </w:rPr>
        <w:t>计日工</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cs="仿宋_GB2312"/>
          <w:szCs w:val="21"/>
        </w:rPr>
      </w:pPr>
      <w:r>
        <w:rPr>
          <w:rFonts w:ascii="宋体" w:hAnsi="宋体" w:cs="仿宋_GB2312"/>
          <w:szCs w:val="21"/>
        </w:rPr>
        <w:t>4.6.1</w:t>
      </w:r>
      <w:r>
        <w:rPr>
          <w:rFonts w:hint="eastAsia" w:ascii="宋体" w:hAnsi="宋体" w:cs="仿宋_GB2312"/>
          <w:szCs w:val="21"/>
        </w:rPr>
        <w:t>发包人通知承包人以计日工方式实施的零星工作，承包人应予执行。</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cs="仿宋_GB2312"/>
          <w:szCs w:val="21"/>
        </w:rPr>
      </w:pPr>
      <w:r>
        <w:rPr>
          <w:rFonts w:ascii="宋体" w:hAnsi="宋体" w:cs="仿宋_GB2312"/>
          <w:szCs w:val="21"/>
        </w:rPr>
        <w:t>4.6.2</w:t>
      </w:r>
      <w:r>
        <w:rPr>
          <w:rFonts w:hint="eastAsia" w:ascii="宋体" w:hAnsi="宋体" w:cs="仿宋_GB2312"/>
          <w:szCs w:val="21"/>
        </w:rPr>
        <w:t>采用计日工计价的任何一项变更工作，在该项变更的实施过程中，承包人应按合同约定提交下列报表和有关凭证送发包人复核：</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cs="仿宋_GB2312"/>
          <w:szCs w:val="21"/>
        </w:rPr>
      </w:pPr>
      <w:r>
        <w:rPr>
          <w:rFonts w:ascii="宋体" w:hAnsi="宋体" w:cs="仿宋_GB2312"/>
          <w:szCs w:val="21"/>
        </w:rPr>
        <w:t>1)</w:t>
      </w:r>
      <w:r>
        <w:rPr>
          <w:rFonts w:hint="eastAsia" w:ascii="宋体" w:hAnsi="宋体" w:cs="仿宋_GB2312"/>
          <w:szCs w:val="21"/>
        </w:rPr>
        <w:t>工作名称、内容和数量；</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cs="仿宋_GB2312"/>
          <w:szCs w:val="21"/>
        </w:rPr>
      </w:pPr>
      <w:r>
        <w:rPr>
          <w:rFonts w:ascii="宋体" w:hAnsi="宋体" w:cs="仿宋_GB2312"/>
          <w:szCs w:val="21"/>
        </w:rPr>
        <w:t>2)</w:t>
      </w:r>
      <w:r>
        <w:rPr>
          <w:rFonts w:hint="eastAsia" w:ascii="宋体" w:hAnsi="宋体" w:cs="仿宋_GB2312"/>
          <w:szCs w:val="21"/>
        </w:rPr>
        <w:t>投入该工作所有人员的姓名、工种、级别和耗用工时；</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cs="仿宋_GB2312"/>
          <w:szCs w:val="21"/>
        </w:rPr>
      </w:pPr>
      <w:r>
        <w:rPr>
          <w:rFonts w:ascii="宋体" w:hAnsi="宋体" w:cs="仿宋_GB2312"/>
          <w:szCs w:val="21"/>
        </w:rPr>
        <w:t>3)</w:t>
      </w:r>
      <w:r>
        <w:rPr>
          <w:rFonts w:hint="eastAsia" w:ascii="宋体" w:hAnsi="宋体" w:cs="仿宋_GB2312"/>
          <w:szCs w:val="21"/>
        </w:rPr>
        <w:t>投入该工作的材料名称、类别和数量；</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cs="仿宋_GB2312"/>
          <w:szCs w:val="21"/>
        </w:rPr>
      </w:pPr>
      <w:r>
        <w:rPr>
          <w:rFonts w:ascii="宋体" w:hAnsi="宋体" w:cs="仿宋_GB2312"/>
          <w:szCs w:val="21"/>
        </w:rPr>
        <w:t>4)</w:t>
      </w:r>
      <w:r>
        <w:rPr>
          <w:rFonts w:hint="eastAsia" w:ascii="宋体" w:hAnsi="宋体" w:cs="仿宋_GB2312"/>
          <w:szCs w:val="21"/>
        </w:rPr>
        <w:t>投入该工作的施工设备型号、台数和耗用台时；</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cs="仿宋_GB2312"/>
          <w:szCs w:val="21"/>
        </w:rPr>
      </w:pPr>
      <w:r>
        <w:rPr>
          <w:rFonts w:ascii="宋体" w:hAnsi="宋体" w:cs="仿宋_GB2312"/>
          <w:szCs w:val="21"/>
        </w:rPr>
        <w:t>5)</w:t>
      </w:r>
      <w:r>
        <w:rPr>
          <w:rFonts w:hint="eastAsia" w:ascii="宋体" w:hAnsi="宋体" w:cs="仿宋_GB2312"/>
          <w:szCs w:val="21"/>
        </w:rPr>
        <w:t>发包人要求提交的其他资料和凭证。</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cs="仿宋_GB2312"/>
          <w:szCs w:val="21"/>
        </w:rPr>
      </w:pPr>
      <w:r>
        <w:rPr>
          <w:rFonts w:ascii="宋体" w:hAnsi="宋体" w:cs="仿宋_GB2312"/>
          <w:szCs w:val="21"/>
        </w:rPr>
        <w:t>4.6.3</w:t>
      </w:r>
      <w:r>
        <w:rPr>
          <w:rFonts w:hint="eastAsia" w:ascii="宋体" w:hAnsi="宋体" w:cs="仿宋_GB2312"/>
          <w:szCs w:val="21"/>
        </w:rPr>
        <w:t>任一计日工项目持续进行时，承包人应在该项工作实施结束后的</w:t>
      </w:r>
      <w:r>
        <w:rPr>
          <w:rFonts w:ascii="宋体" w:hAnsi="宋体" w:cs="仿宋_GB2312"/>
          <w:szCs w:val="21"/>
        </w:rPr>
        <w:t>24</w:t>
      </w:r>
      <w:r>
        <w:rPr>
          <w:rFonts w:hint="eastAsia" w:ascii="宋体" w:hAnsi="宋体" w:cs="仿宋_GB2312"/>
          <w:szCs w:val="21"/>
        </w:rPr>
        <w:t>小时内向发包人提交有计日工记录汇总的现场签证报告一式三份。发包人在收到承包人提交现场签证报告后的</w:t>
      </w:r>
      <w:r>
        <w:rPr>
          <w:rFonts w:ascii="宋体" w:hAnsi="宋体" w:cs="仿宋_GB2312"/>
          <w:szCs w:val="21"/>
        </w:rPr>
        <w:t>2</w:t>
      </w:r>
      <w:r>
        <w:rPr>
          <w:rFonts w:hint="eastAsia" w:ascii="宋体" w:hAnsi="宋体" w:cs="仿宋_GB2312"/>
          <w:szCs w:val="21"/>
        </w:rPr>
        <w:t>天内予以确认并将其中一份返还给承包人，作为计日工计价和支付的依据。</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cs="仿宋_GB2312"/>
          <w:szCs w:val="21"/>
        </w:rPr>
      </w:pPr>
      <w:r>
        <w:rPr>
          <w:rFonts w:ascii="宋体" w:hAnsi="宋体" w:cs="仿宋_GB2312"/>
          <w:szCs w:val="21"/>
        </w:rPr>
        <w:t>4.6.4</w:t>
      </w:r>
      <w:r>
        <w:rPr>
          <w:rFonts w:hint="eastAsia" w:ascii="宋体" w:hAnsi="宋体" w:cs="仿宋_GB2312"/>
          <w:szCs w:val="21"/>
        </w:rPr>
        <w:t>任一计日工项目实施结束后，承包人应按照确认的计日工现场签证报告核实该类项目的工程数量，并应根据核实的工程数量和承包人已标价工程量清单中的计日工单价计算，提出应付价款；已标价工程量清单中没有该类计日工单价的，由发承包双方按第</w:t>
      </w:r>
      <w:r>
        <w:rPr>
          <w:rFonts w:ascii="宋体" w:hAnsi="宋体" w:cs="仿宋_GB2312"/>
          <w:szCs w:val="21"/>
        </w:rPr>
        <w:t>4.4</w:t>
      </w:r>
      <w:r>
        <w:rPr>
          <w:rFonts w:hint="eastAsia" w:ascii="宋体" w:hAnsi="宋体" w:cs="仿宋_GB2312"/>
          <w:szCs w:val="21"/>
        </w:rPr>
        <w:t>条的规定商定计日工单价计算。</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cs="仿宋_GB2312"/>
          <w:szCs w:val="21"/>
        </w:rPr>
      </w:pPr>
      <w:r>
        <w:rPr>
          <w:rFonts w:ascii="宋体" w:hAnsi="宋体" w:cs="仿宋_GB2312"/>
          <w:szCs w:val="21"/>
        </w:rPr>
        <w:t>4.7</w:t>
      </w:r>
      <w:r>
        <w:rPr>
          <w:rFonts w:hint="eastAsia" w:ascii="宋体" w:hAnsi="宋体" w:cs="仿宋_GB2312"/>
          <w:szCs w:val="21"/>
        </w:rPr>
        <w:t>发包人与承包人对合同价款调整的不同意见不能达成一致的，只要对发承包双方履约不产生实质影响，双方应继续履行合同义务，直到其按照合同约定的争议解决方式得到处理。</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cs="仿宋_GB2312"/>
          <w:szCs w:val="21"/>
        </w:rPr>
      </w:pPr>
      <w:r>
        <w:rPr>
          <w:rFonts w:ascii="宋体" w:hAnsi="宋体" w:cs="仿宋_GB2312"/>
          <w:szCs w:val="21"/>
        </w:rPr>
        <w:t>4.8</w:t>
      </w:r>
      <w:r>
        <w:rPr>
          <w:rFonts w:hint="eastAsia" w:ascii="宋体" w:hAnsi="宋体" w:cs="仿宋_GB2312"/>
          <w:szCs w:val="21"/>
        </w:rPr>
        <w:t>经发承包双方确认调整的合同价款，作为追加（减）合同价款，与工程进度款或结算款同期支付。</w:t>
      </w:r>
    </w:p>
    <w:p>
      <w:pPr>
        <w:pStyle w:val="32"/>
        <w:pageBreakBefore w:val="0"/>
        <w:widowControl w:val="0"/>
        <w:kinsoku/>
        <w:wordWrap/>
        <w:overflowPunct/>
        <w:topLinePunct w:val="0"/>
        <w:autoSpaceDE/>
        <w:autoSpaceDN/>
        <w:bidi w:val="0"/>
        <w:spacing w:line="360" w:lineRule="auto"/>
        <w:jc w:val="both"/>
        <w:textAlignment w:val="auto"/>
      </w:pPr>
      <w:r>
        <w:t>5</w:t>
      </w:r>
      <w:r>
        <w:rPr>
          <w:rFonts w:hint="eastAsia"/>
        </w:rPr>
        <w:t>竣工结算</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cs="仿宋_GB2312"/>
          <w:szCs w:val="21"/>
        </w:rPr>
      </w:pPr>
      <w:r>
        <w:rPr>
          <w:rFonts w:ascii="宋体" w:hAnsi="宋体" w:cs="仿宋_GB2312"/>
          <w:szCs w:val="21"/>
        </w:rPr>
        <w:t>5.1</w:t>
      </w:r>
      <w:r>
        <w:rPr>
          <w:rFonts w:hint="eastAsia" w:ascii="宋体" w:hAnsi="宋体" w:cs="仿宋_GB2312"/>
          <w:szCs w:val="21"/>
        </w:rPr>
        <w:t>当发承包双方或一方对工程造价咨询人出具的竣工结算文件有异议时，可向工程造价管理机构投诉，申请对其进行执业质量鉴定。</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cs="仿宋_GB2312"/>
          <w:szCs w:val="21"/>
        </w:rPr>
      </w:pPr>
      <w:r>
        <w:rPr>
          <w:rFonts w:ascii="宋体" w:hAnsi="宋体" w:cs="仿宋_GB2312"/>
          <w:szCs w:val="21"/>
        </w:rPr>
        <w:t>5.2</w:t>
      </w:r>
      <w:r>
        <w:rPr>
          <w:rFonts w:hint="eastAsia" w:ascii="宋体" w:hAnsi="宋体" w:cs="仿宋_GB2312"/>
          <w:szCs w:val="21"/>
        </w:rPr>
        <w:t>竣工结算办理完毕，发包人应将竣工结算文件报送工程所在地或有该工程管辖权的行业管理部门的工程造价管理机构备案，竣工结算文件作为工程竣工验收备案、交付使用的必备文件。</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cs="仿宋_GB2312"/>
          <w:szCs w:val="21"/>
        </w:rPr>
      </w:pPr>
      <w:r>
        <w:rPr>
          <w:rFonts w:ascii="宋体" w:hAnsi="宋体" w:cs="仿宋_GB2312"/>
          <w:szCs w:val="21"/>
        </w:rPr>
        <w:t>5.3</w:t>
      </w:r>
      <w:r>
        <w:rPr>
          <w:rFonts w:hint="eastAsia" w:ascii="宋体" w:hAnsi="宋体" w:cs="仿宋_GB2312"/>
          <w:szCs w:val="21"/>
        </w:rPr>
        <w:t>工程竣工结算应根据下列依据编制和复核：</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cs="仿宋_GB2312"/>
          <w:szCs w:val="21"/>
        </w:rPr>
      </w:pPr>
      <w:r>
        <w:rPr>
          <w:rFonts w:ascii="宋体" w:hAnsi="宋体" w:cs="仿宋_GB2312"/>
          <w:szCs w:val="21"/>
        </w:rPr>
        <w:t>1)</w:t>
      </w:r>
      <w:r>
        <w:rPr>
          <w:rFonts w:hint="eastAsia" w:ascii="宋体" w:hAnsi="宋体" w:cs="仿宋_GB2312"/>
          <w:szCs w:val="21"/>
        </w:rPr>
        <w:t>《建设工程工程量清单计价规范》（</w:t>
      </w:r>
      <w:r>
        <w:rPr>
          <w:rFonts w:ascii="宋体" w:hAnsi="宋体" w:cs="仿宋_GB2312"/>
          <w:szCs w:val="21"/>
        </w:rPr>
        <w:t>GB50500—2013</w:t>
      </w:r>
      <w:r>
        <w:rPr>
          <w:rFonts w:hint="eastAsia" w:ascii="宋体" w:hAnsi="宋体" w:cs="仿宋_GB2312"/>
          <w:szCs w:val="21"/>
        </w:rPr>
        <w:t>）及《房屋建筑与装饰工程工程量计算规范》（</w:t>
      </w:r>
      <w:r>
        <w:rPr>
          <w:rFonts w:ascii="宋体" w:hAnsi="宋体" w:cs="仿宋_GB2312"/>
          <w:szCs w:val="21"/>
        </w:rPr>
        <w:t>GB50854-2013</w:t>
      </w:r>
      <w:r>
        <w:rPr>
          <w:rFonts w:hint="eastAsia" w:ascii="宋体" w:hAnsi="宋体" w:cs="仿宋_GB2312"/>
          <w:szCs w:val="21"/>
        </w:rPr>
        <w:t>）等</w:t>
      </w:r>
      <w:r>
        <w:rPr>
          <w:rFonts w:ascii="宋体" w:hAnsi="宋体" w:cs="仿宋_GB2312"/>
          <w:szCs w:val="21"/>
        </w:rPr>
        <w:t>9</w:t>
      </w:r>
      <w:r>
        <w:rPr>
          <w:rFonts w:hint="eastAsia" w:ascii="宋体" w:hAnsi="宋体" w:cs="仿宋_GB2312"/>
          <w:szCs w:val="21"/>
        </w:rPr>
        <w:t>本工程量计算规范；</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cs="仿宋_GB2312"/>
          <w:szCs w:val="21"/>
        </w:rPr>
      </w:pPr>
      <w:r>
        <w:rPr>
          <w:rFonts w:ascii="宋体" w:hAnsi="宋体" w:cs="仿宋_GB2312"/>
          <w:szCs w:val="21"/>
        </w:rPr>
        <w:t>2)</w:t>
      </w:r>
      <w:r>
        <w:rPr>
          <w:rFonts w:hint="eastAsia" w:ascii="宋体" w:hAnsi="宋体" w:cs="仿宋_GB2312"/>
          <w:szCs w:val="21"/>
        </w:rPr>
        <w:t>工程合同；</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cs="仿宋_GB2312"/>
          <w:szCs w:val="21"/>
        </w:rPr>
      </w:pPr>
      <w:r>
        <w:rPr>
          <w:rFonts w:ascii="宋体" w:hAnsi="宋体" w:cs="仿宋_GB2312"/>
          <w:szCs w:val="21"/>
        </w:rPr>
        <w:t>3)</w:t>
      </w:r>
      <w:r>
        <w:rPr>
          <w:rFonts w:hint="eastAsia" w:ascii="宋体" w:hAnsi="宋体" w:cs="仿宋_GB2312"/>
          <w:szCs w:val="21"/>
        </w:rPr>
        <w:t>发承包双方实施过程中已确认的工程量及其结算的合同价款；</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cs="仿宋_GB2312"/>
          <w:szCs w:val="21"/>
        </w:rPr>
      </w:pPr>
      <w:r>
        <w:rPr>
          <w:rFonts w:ascii="宋体" w:hAnsi="宋体" w:cs="仿宋_GB2312"/>
          <w:szCs w:val="21"/>
        </w:rPr>
        <w:t>4)</w:t>
      </w:r>
      <w:r>
        <w:rPr>
          <w:rFonts w:hint="eastAsia" w:ascii="宋体" w:hAnsi="宋体" w:cs="仿宋_GB2312"/>
          <w:szCs w:val="21"/>
        </w:rPr>
        <w:t>发承包双方实施过程中已确认调整后追加（减）的合同价款；</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cs="仿宋_GB2312"/>
          <w:szCs w:val="21"/>
        </w:rPr>
      </w:pPr>
      <w:r>
        <w:rPr>
          <w:rFonts w:ascii="宋体" w:hAnsi="宋体" w:cs="仿宋_GB2312"/>
          <w:szCs w:val="21"/>
        </w:rPr>
        <w:t>5)</w:t>
      </w:r>
      <w:r>
        <w:rPr>
          <w:rFonts w:hint="eastAsia" w:ascii="宋体" w:hAnsi="宋体" w:cs="仿宋_GB2312"/>
          <w:szCs w:val="21"/>
        </w:rPr>
        <w:t>建设工程设计文件及相关资料；</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cs="仿宋_GB2312"/>
          <w:szCs w:val="21"/>
        </w:rPr>
      </w:pPr>
      <w:r>
        <w:rPr>
          <w:rFonts w:ascii="宋体" w:hAnsi="宋体" w:cs="仿宋_GB2312"/>
          <w:szCs w:val="21"/>
        </w:rPr>
        <w:t>6)</w:t>
      </w:r>
      <w:r>
        <w:rPr>
          <w:rFonts w:hint="eastAsia" w:ascii="宋体" w:hAnsi="宋体" w:cs="仿宋_GB2312"/>
          <w:szCs w:val="21"/>
        </w:rPr>
        <w:t>投标文件；</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cs="仿宋_GB2312"/>
          <w:szCs w:val="21"/>
        </w:rPr>
      </w:pPr>
      <w:r>
        <w:rPr>
          <w:rFonts w:ascii="宋体" w:hAnsi="宋体" w:cs="仿宋_GB2312"/>
          <w:szCs w:val="21"/>
        </w:rPr>
        <w:t>7)</w:t>
      </w:r>
      <w:r>
        <w:rPr>
          <w:rFonts w:hint="eastAsia" w:ascii="宋体" w:hAnsi="宋体" w:cs="仿宋_GB2312"/>
          <w:szCs w:val="21"/>
        </w:rPr>
        <w:t>其他依据。</w:t>
      </w:r>
    </w:p>
    <w:p>
      <w:pPr>
        <w:pageBreakBefore w:val="0"/>
        <w:widowControl w:val="0"/>
        <w:kinsoku/>
        <w:wordWrap/>
        <w:overflowPunct/>
        <w:topLinePunct w:val="0"/>
        <w:autoSpaceDE/>
        <w:autoSpaceDN/>
        <w:bidi w:val="0"/>
        <w:spacing w:line="360" w:lineRule="auto"/>
        <w:ind w:firstLine="420" w:firstLineChars="200"/>
        <w:textAlignment w:val="auto"/>
        <w:rPr>
          <w:rFonts w:ascii="宋体" w:cs="仿宋_GB2312"/>
          <w:szCs w:val="21"/>
        </w:rPr>
      </w:pPr>
      <w:r>
        <w:rPr>
          <w:rFonts w:ascii="宋体" w:hAnsi="宋体" w:cs="仿宋_GB2312"/>
          <w:szCs w:val="21"/>
        </w:rPr>
        <w:t>5.4</w:t>
      </w:r>
      <w:r>
        <w:rPr>
          <w:rFonts w:hint="eastAsia" w:ascii="宋体" w:hAnsi="宋体" w:cs="仿宋_GB2312"/>
          <w:szCs w:val="21"/>
        </w:rPr>
        <w:t>除合同另有约定外，甲供材料价款扣除的方式如下：</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cs="仿宋_GB2312"/>
          <w:szCs w:val="21"/>
        </w:rPr>
      </w:pPr>
      <w:r>
        <w:rPr>
          <w:rFonts w:ascii="宋体" w:hAnsi="宋体" w:cs="仿宋_GB2312"/>
          <w:szCs w:val="21"/>
        </w:rPr>
        <w:t>1)</w:t>
      </w:r>
      <w:r>
        <w:rPr>
          <w:rFonts w:hint="eastAsia" w:ascii="宋体" w:hAnsi="宋体" w:cs="仿宋_GB2312"/>
          <w:szCs w:val="21"/>
        </w:rPr>
        <w:t>结算时甲供材料应按发包人采购材料的加权平均价格（含采购保管费）计入相应项目的综合单价中。承包人退还甲供材料价款时，应按甲供材料实际采购价格（含采购保管费）除以</w:t>
      </w:r>
      <w:r>
        <w:rPr>
          <w:rFonts w:ascii="宋体" w:hAnsi="宋体" w:cs="仿宋_GB2312"/>
          <w:szCs w:val="21"/>
        </w:rPr>
        <w:t>1.01</w:t>
      </w:r>
      <w:r>
        <w:rPr>
          <w:rFonts w:hint="eastAsia" w:ascii="宋体" w:hAnsi="宋体" w:cs="仿宋_GB2312"/>
          <w:szCs w:val="21"/>
        </w:rPr>
        <w:t>，退给发包人（</w:t>
      </w:r>
      <w:r>
        <w:rPr>
          <w:rFonts w:ascii="宋体" w:hAnsi="宋体" w:cs="仿宋_GB2312"/>
          <w:szCs w:val="21"/>
        </w:rPr>
        <w:t>1%</w:t>
      </w:r>
      <w:r>
        <w:rPr>
          <w:rFonts w:hint="eastAsia" w:ascii="宋体" w:hAnsi="宋体" w:cs="仿宋_GB2312"/>
          <w:szCs w:val="21"/>
        </w:rPr>
        <w:t>作为承包人的现场保管费）。</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cs="仿宋_GB2312"/>
          <w:szCs w:val="21"/>
        </w:rPr>
      </w:pPr>
      <w:r>
        <w:rPr>
          <w:rFonts w:ascii="宋体" w:hAnsi="宋体" w:cs="仿宋_GB2312"/>
          <w:szCs w:val="21"/>
        </w:rPr>
        <w:t>2)</w:t>
      </w:r>
      <w:r>
        <w:rPr>
          <w:rFonts w:hint="eastAsia" w:ascii="宋体" w:hAnsi="宋体" w:cs="仿宋_GB2312"/>
          <w:szCs w:val="21"/>
        </w:rPr>
        <w:t>领料量超出承包人在投标文件中所报数量时，超出部分的甲供材料由承包人按照发包人采购材料的加权平均价格支付给发包人；领料量少于承包人在投标文件中所报数量时，节余部分的甲供材料归承包人。</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cs="仿宋_GB2312"/>
          <w:szCs w:val="21"/>
        </w:rPr>
      </w:pPr>
      <w:r>
        <w:rPr>
          <w:rFonts w:ascii="宋体" w:hAnsi="宋体" w:cs="仿宋_GB2312"/>
          <w:szCs w:val="21"/>
        </w:rPr>
        <w:t>5.5</w:t>
      </w:r>
      <w:r>
        <w:rPr>
          <w:rFonts w:hint="eastAsia" w:ascii="宋体" w:hAnsi="宋体" w:cs="仿宋_GB2312"/>
          <w:szCs w:val="21"/>
        </w:rPr>
        <w:t>分部分项工程和措施项目中的单价项目应依据发承包双方确认的工程量与已标价工程量清单的综合单价计算；发生调整的，应以发承包双方确认调整的综合单价计算。</w:t>
      </w:r>
    </w:p>
    <w:p>
      <w:pPr>
        <w:pageBreakBefore w:val="0"/>
        <w:widowControl w:val="0"/>
        <w:kinsoku/>
        <w:wordWrap/>
        <w:overflowPunct/>
        <w:topLinePunct w:val="0"/>
        <w:autoSpaceDE/>
        <w:autoSpaceDN/>
        <w:bidi w:val="0"/>
        <w:adjustRightInd w:val="0"/>
        <w:snapToGrid w:val="0"/>
        <w:spacing w:line="360" w:lineRule="auto"/>
        <w:ind w:firstLine="525" w:firstLineChars="250"/>
        <w:textAlignment w:val="auto"/>
        <w:rPr>
          <w:rFonts w:ascii="宋体" w:cs="仿宋_GB2312"/>
          <w:szCs w:val="21"/>
        </w:rPr>
      </w:pPr>
      <w:r>
        <w:rPr>
          <w:rFonts w:ascii="宋体" w:hAnsi="宋体" w:cs="仿宋_GB2312"/>
          <w:szCs w:val="21"/>
        </w:rPr>
        <w:t>5.6</w:t>
      </w:r>
      <w:r>
        <w:rPr>
          <w:rFonts w:hint="eastAsia" w:ascii="宋体" w:hAnsi="宋体" w:cs="仿宋_GB2312"/>
          <w:szCs w:val="21"/>
        </w:rPr>
        <w:t>措施项目中的总价项目应依据已标价工程量清单的项目和金额计算；发生调整的，应以发承包双方确认调整的金额计算。</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cs="仿宋_GB2312"/>
          <w:szCs w:val="21"/>
        </w:rPr>
      </w:pPr>
      <w:r>
        <w:rPr>
          <w:rFonts w:ascii="宋体" w:hAnsi="宋体" w:cs="仿宋_GB2312"/>
          <w:szCs w:val="21"/>
        </w:rPr>
        <w:t>5.7</w:t>
      </w:r>
      <w:r>
        <w:rPr>
          <w:rFonts w:hint="eastAsia" w:ascii="宋体" w:hAnsi="宋体" w:cs="仿宋_GB2312"/>
          <w:szCs w:val="21"/>
        </w:rPr>
        <w:t>其他项目应按下列规定计价：</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cs="仿宋_GB2312"/>
          <w:szCs w:val="21"/>
        </w:rPr>
      </w:pPr>
      <w:r>
        <w:rPr>
          <w:rFonts w:ascii="宋体" w:hAnsi="宋体" w:cs="仿宋_GB2312"/>
          <w:szCs w:val="21"/>
        </w:rPr>
        <w:t>1)</w:t>
      </w:r>
      <w:r>
        <w:rPr>
          <w:rFonts w:hint="eastAsia" w:ascii="宋体" w:hAnsi="宋体" w:cs="仿宋_GB2312"/>
          <w:szCs w:val="21"/>
        </w:rPr>
        <w:t>计日工应按发包人实际签证确认的事项计算；</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cs="仿宋_GB2312"/>
          <w:szCs w:val="21"/>
        </w:rPr>
      </w:pPr>
      <w:r>
        <w:rPr>
          <w:rFonts w:ascii="宋体" w:hAnsi="宋体" w:cs="仿宋_GB2312"/>
          <w:szCs w:val="21"/>
        </w:rPr>
        <w:t>2)</w:t>
      </w:r>
      <w:r>
        <w:rPr>
          <w:rFonts w:hint="eastAsia" w:ascii="宋体" w:hAnsi="宋体" w:cs="仿宋_GB2312"/>
          <w:szCs w:val="21"/>
        </w:rPr>
        <w:t>暂估价应按合同约定方式计算；</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cs="仿宋_GB2312"/>
          <w:szCs w:val="21"/>
        </w:rPr>
      </w:pPr>
      <w:r>
        <w:rPr>
          <w:rFonts w:ascii="宋体" w:hAnsi="宋体" w:cs="仿宋_GB2312"/>
          <w:szCs w:val="21"/>
        </w:rPr>
        <w:t>3)</w:t>
      </w:r>
      <w:r>
        <w:rPr>
          <w:rFonts w:hint="eastAsia" w:ascii="宋体" w:hAnsi="宋体" w:cs="仿宋_GB2312"/>
          <w:szCs w:val="21"/>
        </w:rPr>
        <w:t>总承包服务费应依据已标价工程量清单的金额计算；发生调整的，应以发承包双方确认调整的金额计算；</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cs="仿宋_GB2312"/>
          <w:szCs w:val="21"/>
        </w:rPr>
      </w:pPr>
      <w:r>
        <w:rPr>
          <w:rFonts w:ascii="宋体" w:hAnsi="宋体" w:cs="仿宋_GB2312"/>
          <w:szCs w:val="21"/>
        </w:rPr>
        <w:t>4)</w:t>
      </w:r>
      <w:r>
        <w:rPr>
          <w:rFonts w:hint="eastAsia" w:ascii="宋体" w:hAnsi="宋体" w:cs="仿宋_GB2312"/>
          <w:szCs w:val="21"/>
        </w:rPr>
        <w:t>索赔费用应依据发承包双方确认的索赔事项和金额计算；</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cs="仿宋_GB2312"/>
          <w:szCs w:val="21"/>
        </w:rPr>
      </w:pPr>
      <w:r>
        <w:rPr>
          <w:rFonts w:ascii="宋体" w:hAnsi="宋体" w:cs="仿宋_GB2312"/>
          <w:szCs w:val="21"/>
        </w:rPr>
        <w:t>5)</w:t>
      </w:r>
      <w:r>
        <w:rPr>
          <w:rFonts w:hint="eastAsia" w:ascii="宋体" w:hAnsi="宋体" w:cs="仿宋_GB2312"/>
          <w:szCs w:val="21"/>
        </w:rPr>
        <w:t>现场签证费用应依据发承包双方签证资料确认的金额计算；</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cs="仿宋_GB2312"/>
          <w:szCs w:val="21"/>
        </w:rPr>
      </w:pPr>
      <w:r>
        <w:rPr>
          <w:rFonts w:ascii="宋体" w:hAnsi="宋体" w:cs="仿宋_GB2312"/>
          <w:szCs w:val="21"/>
        </w:rPr>
        <w:t>6)</w:t>
      </w:r>
      <w:r>
        <w:rPr>
          <w:rFonts w:hint="eastAsia" w:ascii="宋体" w:hAnsi="宋体" w:cs="仿宋_GB2312"/>
          <w:szCs w:val="21"/>
        </w:rPr>
        <w:t>暂列金额应减去合同价款（包括索赔、现场签证）金额计算，如有余额归发包人。</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cs="仿宋_GB2312"/>
          <w:szCs w:val="21"/>
        </w:rPr>
      </w:pPr>
      <w:r>
        <w:rPr>
          <w:rFonts w:ascii="宋体" w:hAnsi="宋体" w:cs="仿宋_GB2312"/>
          <w:szCs w:val="21"/>
        </w:rPr>
        <w:t>5.8</w:t>
      </w:r>
      <w:r>
        <w:rPr>
          <w:rFonts w:hint="eastAsia" w:ascii="宋体" w:hAnsi="宋体" w:cs="仿宋_GB2312"/>
          <w:szCs w:val="21"/>
        </w:rPr>
        <w:t>按质论价费不计入招标控制价、投标报价，由施工企业在实现招标文件或合同中约定的创建目标后，凭相关证明文件依据合同约定与建设单位结算价款。</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cs="仿宋_GB2312"/>
          <w:szCs w:val="21"/>
        </w:rPr>
      </w:pPr>
      <w:r>
        <w:rPr>
          <w:rFonts w:ascii="宋体" w:hAnsi="宋体" w:cs="仿宋_GB2312"/>
          <w:szCs w:val="21"/>
        </w:rPr>
        <w:t>5.9</w:t>
      </w:r>
      <w:r>
        <w:rPr>
          <w:rFonts w:hint="eastAsia" w:ascii="宋体" w:hAnsi="宋体" w:cs="仿宋_GB2312"/>
          <w:szCs w:val="21"/>
        </w:rPr>
        <w:t>施工中实际发生排污费的，竣工结算时按实际缴纳的排污费计入建设工程造价。工程施工违反环境保护相关规定，受到环保部门处罚的罚款，不属于工程排污费，应由施工单位自行承担。</w:t>
      </w:r>
    </w:p>
    <w:p>
      <w:pPr>
        <w:pageBreakBefore w:val="0"/>
        <w:widowControl w:val="0"/>
        <w:kinsoku/>
        <w:wordWrap/>
        <w:overflowPunct/>
        <w:topLinePunct w:val="0"/>
        <w:autoSpaceDE/>
        <w:autoSpaceDN/>
        <w:bidi w:val="0"/>
        <w:spacing w:line="360" w:lineRule="auto"/>
        <w:ind w:firstLine="420" w:firstLineChars="200"/>
        <w:textAlignment w:val="auto"/>
      </w:pPr>
      <w:r>
        <w:rPr>
          <w:rFonts w:ascii="宋体" w:hAnsi="宋体" w:cs="仿宋_GB2312"/>
          <w:szCs w:val="21"/>
        </w:rPr>
        <w:t>5.10</w:t>
      </w:r>
      <w:r>
        <w:rPr>
          <w:rFonts w:hint="eastAsia" w:ascii="宋体" w:hAnsi="宋体" w:cs="仿宋_GB2312"/>
          <w:szCs w:val="21"/>
        </w:rPr>
        <w:t>发承包双方在合同工程实施过程中已经确认的工程计量结果和合同价款，在竣工结算办理中应直接进入结算。</w:t>
      </w:r>
    </w:p>
    <w:p>
      <w:pPr>
        <w:pageBreakBefore w:val="0"/>
        <w:widowControl w:val="0"/>
        <w:kinsoku/>
        <w:wordWrap/>
        <w:overflowPunct/>
        <w:topLinePunct w:val="0"/>
        <w:autoSpaceDE/>
        <w:autoSpaceDN/>
        <w:bidi w:val="0"/>
        <w:adjustRightInd w:val="0"/>
        <w:snapToGrid w:val="0"/>
        <w:spacing w:line="360" w:lineRule="auto"/>
        <w:textAlignment w:val="auto"/>
        <w:rPr>
          <w:rFonts w:ascii="宋体" w:cs="仿宋_GB2312"/>
          <w:szCs w:val="21"/>
        </w:rPr>
      </w:pPr>
    </w:p>
    <w:p/>
    <w:p/>
    <w:p>
      <w:pPr>
        <w:pStyle w:val="2"/>
      </w:pPr>
    </w:p>
    <w:p/>
    <w:p>
      <w:pPr>
        <w:pStyle w:val="2"/>
      </w:pPr>
    </w:p>
    <w:p/>
    <w:p>
      <w:pPr>
        <w:pStyle w:val="4"/>
      </w:pPr>
      <w:bookmarkStart w:id="256" w:name="_Toc275956205"/>
    </w:p>
    <w:p>
      <w:pPr>
        <w:pStyle w:val="4"/>
      </w:pPr>
      <w:r>
        <w:rPr>
          <w:rFonts w:hint="eastAsia"/>
        </w:rPr>
        <w:t>第六章图纸</w:t>
      </w:r>
      <w:bookmarkEnd w:id="256"/>
    </w:p>
    <w:p>
      <w:pPr>
        <w:jc w:val="center"/>
        <w:rPr>
          <w:b/>
          <w:sz w:val="32"/>
          <w:szCs w:val="32"/>
        </w:rPr>
      </w:pPr>
      <w:bookmarkStart w:id="257" w:name="_Toc351040177"/>
      <w:bookmarkStart w:id="258" w:name="_Toc351059321"/>
      <w:bookmarkStart w:id="259" w:name="_Toc275956209"/>
      <w:r>
        <w:rPr>
          <w:rFonts w:hint="eastAsia"/>
          <w:b/>
          <w:bCs/>
          <w:kern w:val="44"/>
          <w:sz w:val="32"/>
          <w:szCs w:val="44"/>
        </w:rPr>
        <w:t>（另附）</w:t>
      </w:r>
      <w:bookmarkEnd w:id="257"/>
      <w:bookmarkEnd w:id="258"/>
    </w:p>
    <w:p/>
    <w:p/>
    <w:p/>
    <w:p/>
    <w:p>
      <w:pPr>
        <w:pStyle w:val="2"/>
      </w:pPr>
    </w:p>
    <w:p/>
    <w:p/>
    <w:p>
      <w:pPr>
        <w:pStyle w:val="2"/>
      </w:pPr>
    </w:p>
    <w:p/>
    <w:p>
      <w:pPr>
        <w:pStyle w:val="2"/>
      </w:pPr>
    </w:p>
    <w:p/>
    <w:p/>
    <w:p/>
    <w:p>
      <w:pPr>
        <w:pStyle w:val="4"/>
      </w:pPr>
      <w:r>
        <w:rPr>
          <w:rFonts w:hint="eastAsia"/>
        </w:rPr>
        <w:t>第七章技术标准和要求</w:t>
      </w:r>
      <w:bookmarkEnd w:id="259"/>
    </w:p>
    <w:p/>
    <w:p>
      <w:pPr>
        <w:jc w:val="center"/>
        <w:rPr>
          <w:sz w:val="28"/>
          <w:szCs w:val="28"/>
        </w:rPr>
      </w:pPr>
      <w:r>
        <w:rPr>
          <w:rFonts w:hint="eastAsia"/>
          <w:sz w:val="28"/>
          <w:szCs w:val="28"/>
        </w:rPr>
        <w:t>本章节由招标人根据国家行业和地方现行标准、规范和规程等，</w:t>
      </w:r>
    </w:p>
    <w:p>
      <w:r>
        <w:rPr>
          <w:rFonts w:hint="eastAsia"/>
          <w:sz w:val="28"/>
          <w:szCs w:val="28"/>
        </w:rPr>
        <w:t>以及项目具体情况摘录。</w:t>
      </w:r>
    </w:p>
    <w:p>
      <w:pPr>
        <w:pStyle w:val="4"/>
        <w:jc w:val="both"/>
      </w:pPr>
      <w:bookmarkStart w:id="260" w:name="_Toc275956215"/>
    </w:p>
    <w:p/>
    <w:p>
      <w:pPr>
        <w:pStyle w:val="2"/>
      </w:pPr>
    </w:p>
    <w:p/>
    <w:p>
      <w:pPr>
        <w:pStyle w:val="2"/>
      </w:pPr>
    </w:p>
    <w:p/>
    <w:p/>
    <w:p/>
    <w:p/>
    <w:p>
      <w:pPr>
        <w:pStyle w:val="4"/>
        <w:numPr>
          <w:ilvl w:val="0"/>
          <w:numId w:val="4"/>
        </w:numPr>
      </w:pPr>
      <w:r>
        <w:rPr>
          <w:rFonts w:hint="eastAsia"/>
        </w:rPr>
        <w:t>投标文件格式</w:t>
      </w:r>
      <w:bookmarkEnd w:id="260"/>
    </w:p>
    <w:p/>
    <w:p/>
    <w:p/>
    <w:p/>
    <w:p/>
    <w:p/>
    <w:p/>
    <w:p/>
    <w:p/>
    <w:p>
      <w:pPr>
        <w:jc w:val="center"/>
        <w:rPr>
          <w:rFonts w:eastAsia="黑体"/>
          <w:sz w:val="28"/>
          <w:szCs w:val="28"/>
          <w:u w:val="single"/>
        </w:rPr>
      </w:pPr>
    </w:p>
    <w:p>
      <w:pPr>
        <w:jc w:val="center"/>
        <w:rPr>
          <w:rFonts w:ascii="宋体" w:hAnsi="宋体"/>
          <w:sz w:val="28"/>
          <w:szCs w:val="28"/>
          <w:u w:val="single"/>
        </w:rPr>
      </w:pPr>
    </w:p>
    <w:p>
      <w:pPr>
        <w:jc w:val="center"/>
        <w:rPr>
          <w:rFonts w:ascii="宋体" w:hAnsi="宋体"/>
          <w:sz w:val="28"/>
          <w:szCs w:val="28"/>
          <w:u w:val="single"/>
        </w:rPr>
      </w:pPr>
    </w:p>
    <w:p>
      <w:pPr>
        <w:jc w:val="center"/>
        <w:rPr>
          <w:rFonts w:ascii="宋体" w:hAnsi="宋体"/>
          <w:sz w:val="28"/>
          <w:szCs w:val="28"/>
          <w:u w:val="single"/>
        </w:rPr>
      </w:pPr>
    </w:p>
    <w:p>
      <w:pPr>
        <w:jc w:val="center"/>
        <w:rPr>
          <w:rFonts w:eastAsia="黑体"/>
          <w:sz w:val="28"/>
          <w:szCs w:val="28"/>
        </w:rPr>
      </w:pPr>
      <w:r>
        <w:rPr>
          <w:rFonts w:hint="eastAsia" w:ascii="宋体" w:hAnsi="宋体"/>
          <w:sz w:val="28"/>
          <w:szCs w:val="28"/>
          <w:u w:val="single"/>
        </w:rPr>
        <w:t xml:space="preserve">              （项目名称） </w:t>
      </w:r>
      <w:r>
        <w:rPr>
          <w:rFonts w:hint="eastAsia" w:eastAsia="黑体"/>
          <w:sz w:val="28"/>
          <w:szCs w:val="28"/>
        </w:rPr>
        <w:t>标段施工招标</w:t>
      </w:r>
    </w:p>
    <w:p>
      <w:pPr>
        <w:rPr>
          <w:rFonts w:eastAsia="黑体"/>
          <w:sz w:val="20"/>
          <w:szCs w:val="20"/>
        </w:rPr>
      </w:pPr>
    </w:p>
    <w:p>
      <w:pPr>
        <w:rPr>
          <w:rFonts w:eastAsia="黑体"/>
          <w:sz w:val="20"/>
          <w:szCs w:val="20"/>
        </w:rPr>
      </w:pPr>
    </w:p>
    <w:p>
      <w:pPr>
        <w:jc w:val="center"/>
        <w:rPr>
          <w:rFonts w:eastAsia="黑体"/>
          <w:sz w:val="44"/>
          <w:szCs w:val="44"/>
        </w:rPr>
      </w:pPr>
      <w:r>
        <w:rPr>
          <w:rFonts w:hint="eastAsia" w:eastAsia="黑体"/>
          <w:sz w:val="44"/>
          <w:szCs w:val="44"/>
        </w:rPr>
        <w:t>投标文件</w:t>
      </w: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spacing w:line="480" w:lineRule="auto"/>
        <w:jc w:val="center"/>
        <w:rPr>
          <w:rFonts w:eastAsia="黑体"/>
          <w:sz w:val="28"/>
          <w:szCs w:val="28"/>
          <w:u w:val="single"/>
        </w:rPr>
      </w:pPr>
      <w:r>
        <w:rPr>
          <w:rFonts w:hint="eastAsia" w:eastAsia="黑体"/>
          <w:sz w:val="28"/>
          <w:szCs w:val="28"/>
        </w:rPr>
        <w:t>投  标  人：（盖单位章）</w:t>
      </w:r>
    </w:p>
    <w:p>
      <w:pPr>
        <w:spacing w:line="480" w:lineRule="auto"/>
        <w:jc w:val="center"/>
        <w:rPr>
          <w:rFonts w:eastAsia="黑体"/>
          <w:sz w:val="28"/>
          <w:szCs w:val="28"/>
        </w:rPr>
      </w:pPr>
      <w:r>
        <w:rPr>
          <w:rFonts w:hint="eastAsia" w:eastAsia="黑体"/>
          <w:sz w:val="28"/>
          <w:szCs w:val="28"/>
        </w:rPr>
        <w:t>法定代表人或其委托代理人：（签字或盖章）</w:t>
      </w:r>
    </w:p>
    <w:p>
      <w:pPr>
        <w:spacing w:line="480" w:lineRule="auto"/>
        <w:jc w:val="center"/>
        <w:rPr>
          <w:rFonts w:eastAsia="黑体"/>
          <w:sz w:val="28"/>
          <w:szCs w:val="28"/>
          <w:u w:val="single"/>
        </w:rPr>
      </w:pPr>
    </w:p>
    <w:p>
      <w:pPr>
        <w:spacing w:line="400" w:lineRule="exact"/>
        <w:jc w:val="center"/>
      </w:pPr>
      <w:r>
        <w:rPr>
          <w:rFonts w:hint="eastAsia" w:eastAsia="黑体"/>
          <w:sz w:val="28"/>
          <w:szCs w:val="28"/>
        </w:rPr>
        <w:t>年月日</w:t>
      </w:r>
    </w:p>
    <w:p>
      <w:pPr>
        <w:spacing w:line="400" w:lineRule="exact"/>
      </w:pPr>
    </w:p>
    <w:p>
      <w:pPr>
        <w:spacing w:line="400" w:lineRule="exact"/>
      </w:pPr>
    </w:p>
    <w:p>
      <w:pPr>
        <w:spacing w:line="400" w:lineRule="exact"/>
      </w:pPr>
    </w:p>
    <w:p>
      <w:pPr>
        <w:spacing w:line="400" w:lineRule="exact"/>
      </w:pPr>
    </w:p>
    <w:p>
      <w:pPr>
        <w:pStyle w:val="32"/>
      </w:pPr>
      <w:bookmarkStart w:id="261" w:name="_Toc179632807"/>
      <w:bookmarkStart w:id="262" w:name="_Toc152045787"/>
      <w:bookmarkStart w:id="263" w:name="_Toc144974856"/>
      <w:bookmarkStart w:id="264" w:name="_Toc241459814"/>
      <w:bookmarkStart w:id="265" w:name="_Toc275956216"/>
      <w:bookmarkStart w:id="266" w:name="_Toc152042576"/>
      <w:bookmarkStart w:id="267" w:name="_Toc241484766"/>
      <w:r>
        <w:rPr>
          <w:rFonts w:hint="eastAsia"/>
        </w:rPr>
        <w:t>目录</w:t>
      </w:r>
      <w:bookmarkEnd w:id="261"/>
      <w:bookmarkEnd w:id="262"/>
      <w:bookmarkEnd w:id="263"/>
      <w:bookmarkEnd w:id="264"/>
      <w:bookmarkEnd w:id="265"/>
      <w:bookmarkEnd w:id="266"/>
      <w:bookmarkEnd w:id="267"/>
    </w:p>
    <w:p>
      <w:pPr>
        <w:spacing w:line="540" w:lineRule="exact"/>
      </w:pPr>
    </w:p>
    <w:p>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rPr>
        <w:t>一、投标函及投标函附录</w:t>
      </w:r>
    </w:p>
    <w:p>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rPr>
        <w:t>二、法定代表人身份证明</w:t>
      </w:r>
    </w:p>
    <w:p>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rPr>
        <w:t>三、授权委托书</w:t>
      </w:r>
    </w:p>
    <w:p>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rPr>
        <w:t>四、投标保证金</w:t>
      </w:r>
    </w:p>
    <w:p>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rPr>
        <w:t>五、已标价工程量清单</w:t>
      </w:r>
    </w:p>
    <w:p>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rPr>
        <w:t>六、项目经理简历表</w:t>
      </w:r>
    </w:p>
    <w:p>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rPr>
        <w:t>七、资格审查资料</w:t>
      </w:r>
    </w:p>
    <w:p>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rPr>
        <w:t>八、投标承诺书</w:t>
      </w:r>
    </w:p>
    <w:p>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rPr>
        <w:t>九、其他材料</w:t>
      </w:r>
    </w:p>
    <w:p>
      <w:pPr>
        <w:keepNext w:val="0"/>
        <w:keepLines w:val="0"/>
        <w:pageBreakBefore w:val="0"/>
        <w:widowControl w:val="0"/>
        <w:kinsoku/>
        <w:wordWrap/>
        <w:overflowPunct/>
        <w:topLinePunct w:val="0"/>
        <w:autoSpaceDE/>
        <w:autoSpaceDN/>
        <w:bidi w:val="0"/>
        <w:adjustRightInd/>
        <w:snapToGrid/>
        <w:spacing w:line="360" w:lineRule="auto"/>
        <w:textAlignment w:val="auto"/>
      </w:pPr>
      <w:r>
        <w:rPr>
          <w:kern w:val="0"/>
        </w:rPr>
        <w:br w:type="page"/>
      </w:r>
    </w:p>
    <w:p>
      <w:pPr>
        <w:pStyle w:val="32"/>
        <w:spacing w:before="0"/>
        <w:outlineLvl w:val="0"/>
        <w:rPr>
          <w:rFonts w:ascii="Arial" w:hAnsi="Arial" w:cs="Times New Roman"/>
          <w:b/>
          <w:bCs/>
          <w:sz w:val="32"/>
          <w:szCs w:val="32"/>
        </w:rPr>
      </w:pPr>
      <w:bookmarkStart w:id="268" w:name="_Toc144974857"/>
      <w:bookmarkStart w:id="269" w:name="_Toc152045788"/>
      <w:bookmarkStart w:id="270" w:name="_Toc152042577"/>
      <w:bookmarkStart w:id="271" w:name="_Toc179632808"/>
      <w:bookmarkStart w:id="272" w:name="_Toc152042580"/>
      <w:bookmarkStart w:id="273" w:name="_Toc179632811"/>
      <w:bookmarkStart w:id="274" w:name="_Toc152045791"/>
      <w:bookmarkStart w:id="275" w:name="_Toc144974860"/>
    </w:p>
    <w:p>
      <w:pPr>
        <w:pStyle w:val="32"/>
        <w:spacing w:before="0"/>
        <w:outlineLvl w:val="0"/>
        <w:rPr>
          <w:rFonts w:ascii="Arial" w:hAnsi="Arial" w:cs="Times New Roman"/>
          <w:b/>
          <w:bCs/>
          <w:sz w:val="32"/>
          <w:szCs w:val="32"/>
        </w:rPr>
      </w:pPr>
      <w:r>
        <w:rPr>
          <w:rFonts w:hint="eastAsia" w:ascii="Arial" w:hAnsi="Arial" w:cs="Times New Roman"/>
          <w:b/>
          <w:bCs/>
          <w:sz w:val="32"/>
          <w:szCs w:val="32"/>
        </w:rPr>
        <w:t>一、投标函及投标函附录</w:t>
      </w:r>
      <w:bookmarkEnd w:id="268"/>
      <w:bookmarkEnd w:id="269"/>
      <w:bookmarkEnd w:id="270"/>
      <w:bookmarkEnd w:id="271"/>
    </w:p>
    <w:p>
      <w:pPr>
        <w:spacing w:line="440" w:lineRule="exact"/>
        <w:ind w:firstLine="2700" w:firstLineChars="1350"/>
        <w:rPr>
          <w:rFonts w:eastAsia="黑体"/>
          <w:sz w:val="20"/>
          <w:szCs w:val="20"/>
        </w:rPr>
      </w:pPr>
    </w:p>
    <w:p>
      <w:pPr>
        <w:pStyle w:val="28"/>
        <w:jc w:val="center"/>
        <w:rPr>
          <w:rFonts w:ascii="Arial" w:hAnsi="Arial"/>
          <w:b/>
          <w:bCs/>
          <w:sz w:val="32"/>
          <w:szCs w:val="32"/>
        </w:rPr>
      </w:pPr>
      <w:bookmarkStart w:id="276" w:name="_Toc152042578"/>
      <w:bookmarkStart w:id="277" w:name="_Toc144974858"/>
      <w:bookmarkStart w:id="278" w:name="_Toc152045789"/>
      <w:bookmarkStart w:id="279" w:name="_Toc179632809"/>
      <w:r>
        <w:rPr>
          <w:rFonts w:hint="eastAsia" w:ascii="Arial" w:hAnsi="Arial"/>
          <w:b/>
          <w:bCs/>
          <w:sz w:val="32"/>
          <w:szCs w:val="32"/>
        </w:rPr>
        <w:t>（一）投标函</w:t>
      </w:r>
      <w:bookmarkEnd w:id="276"/>
      <w:bookmarkEnd w:id="277"/>
      <w:bookmarkEnd w:id="278"/>
      <w:bookmarkEnd w:id="279"/>
    </w:p>
    <w:p>
      <w:pPr>
        <w:spacing w:line="440" w:lineRule="exact"/>
        <w:rPr>
          <w:sz w:val="20"/>
          <w:szCs w:val="20"/>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szCs w:val="21"/>
        </w:rPr>
      </w:pPr>
      <w:r>
        <w:rPr>
          <w:rFonts w:hint="eastAsia"/>
          <w:szCs w:val="21"/>
        </w:rPr>
        <w:t>(招标人名称)：</w:t>
      </w:r>
    </w:p>
    <w:p>
      <w:pPr>
        <w:keepNext w:val="0"/>
        <w:keepLines w:val="0"/>
        <w:pageBreakBefore w:val="0"/>
        <w:widowControl w:val="0"/>
        <w:kinsoku/>
        <w:wordWrap/>
        <w:overflowPunct/>
        <w:topLinePunct w:val="0"/>
        <w:autoSpaceDE/>
        <w:autoSpaceDN/>
        <w:bidi w:val="0"/>
        <w:adjustRightInd/>
        <w:snapToGrid/>
        <w:spacing w:line="360" w:lineRule="auto"/>
        <w:textAlignment w:val="auto"/>
        <w:rPr>
          <w:szCs w:val="21"/>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szCs w:val="21"/>
        </w:rPr>
      </w:pPr>
      <w:r>
        <w:rPr>
          <w:szCs w:val="21"/>
        </w:rPr>
        <w:t>1</w:t>
      </w:r>
      <w:r>
        <w:rPr>
          <w:rFonts w:hint="eastAsia"/>
          <w:szCs w:val="21"/>
        </w:rPr>
        <w:t>．我方已仔细研究了(项目名称)标段施工招标文件的全部内容，愿意以人民币(大写)</w:t>
      </w:r>
      <w:r>
        <w:rPr>
          <w:rFonts w:hint="eastAsia"/>
          <w:szCs w:val="21"/>
          <w:u w:val="single"/>
        </w:rPr>
        <w:t xml:space="preserve">      </w:t>
      </w:r>
      <w:r>
        <w:rPr>
          <w:rFonts w:hint="eastAsia"/>
          <w:szCs w:val="21"/>
        </w:rPr>
        <w:t>元(</w:t>
      </w:r>
      <w:r>
        <w:rPr>
          <w:szCs w:val="21"/>
        </w:rPr>
        <w:t>¥</w:t>
      </w:r>
      <w:r>
        <w:rPr>
          <w:rFonts w:hint="eastAsia"/>
          <w:szCs w:val="21"/>
          <w:u w:val="single"/>
        </w:rPr>
        <w:t xml:space="preserve">       </w:t>
      </w:r>
      <w:r>
        <w:rPr>
          <w:rFonts w:hint="eastAsia"/>
          <w:szCs w:val="21"/>
        </w:rPr>
        <w:t>)的投标总报价，工期</w:t>
      </w:r>
      <w:r>
        <w:rPr>
          <w:rFonts w:hint="eastAsia"/>
          <w:szCs w:val="21"/>
          <w:u w:val="single"/>
        </w:rPr>
        <w:t xml:space="preserve">       </w:t>
      </w:r>
      <w:r>
        <w:rPr>
          <w:rFonts w:hint="eastAsia"/>
          <w:szCs w:val="21"/>
        </w:rPr>
        <w:t>日历天，拟派项目经理</w:t>
      </w:r>
      <w:r>
        <w:rPr>
          <w:rFonts w:hint="eastAsia"/>
          <w:szCs w:val="21"/>
          <w:u w:val="single"/>
        </w:rPr>
        <w:t xml:space="preserve">          </w:t>
      </w:r>
      <w:r>
        <w:rPr>
          <w:rFonts w:hint="eastAsia"/>
          <w:szCs w:val="21"/>
        </w:rPr>
        <w:t xml:space="preserve"> ，按合同约定实施和完成承包工程，修补工程中的任何缺陷，工程质量达到</w:t>
      </w:r>
      <w:r>
        <w:rPr>
          <w:rFonts w:hint="eastAsia"/>
          <w:szCs w:val="21"/>
          <w:u w:val="single"/>
        </w:rPr>
        <w:t xml:space="preserve">  合格 </w:t>
      </w:r>
      <w:r>
        <w:rPr>
          <w:rFonts w:hint="eastAsia"/>
          <w:szCs w:val="21"/>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szCs w:val="21"/>
        </w:rPr>
      </w:pPr>
      <w:r>
        <w:rPr>
          <w:szCs w:val="21"/>
        </w:rPr>
        <w:t>2</w:t>
      </w:r>
      <w:r>
        <w:rPr>
          <w:rFonts w:hint="eastAsia"/>
          <w:szCs w:val="21"/>
        </w:rPr>
        <w:t>．我方承诺在投标有效期内不修改、撤销投标文件。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szCs w:val="21"/>
        </w:rPr>
      </w:pPr>
      <w:r>
        <w:rPr>
          <w:rFonts w:hint="eastAsia"/>
          <w:szCs w:val="21"/>
        </w:rPr>
        <w:t>3．如我方中标：</w:t>
      </w:r>
    </w:p>
    <w:p>
      <w:pPr>
        <w:keepNext w:val="0"/>
        <w:keepLines w:val="0"/>
        <w:pageBreakBefore w:val="0"/>
        <w:widowControl w:val="0"/>
        <w:kinsoku/>
        <w:wordWrap/>
        <w:overflowPunct/>
        <w:topLinePunct w:val="0"/>
        <w:autoSpaceDE/>
        <w:autoSpaceDN/>
        <w:bidi w:val="0"/>
        <w:adjustRightInd/>
        <w:snapToGrid/>
        <w:spacing w:line="360" w:lineRule="auto"/>
        <w:ind w:firstLine="718" w:firstLineChars="342"/>
        <w:textAlignment w:val="auto"/>
        <w:rPr>
          <w:szCs w:val="21"/>
        </w:rPr>
      </w:pPr>
      <w:r>
        <w:rPr>
          <w:rFonts w:hint="eastAsia"/>
          <w:szCs w:val="21"/>
        </w:rPr>
        <w:t>(</w:t>
      </w:r>
      <w:r>
        <w:rPr>
          <w:szCs w:val="21"/>
        </w:rPr>
        <w:t>1</w:t>
      </w:r>
      <w:r>
        <w:rPr>
          <w:rFonts w:hint="eastAsia"/>
          <w:szCs w:val="21"/>
        </w:rPr>
        <w:t>)我方承诺在收到中标通知书后，在中标通知书规定的期限内与你方签订合同。</w:t>
      </w:r>
    </w:p>
    <w:p>
      <w:pPr>
        <w:keepNext w:val="0"/>
        <w:keepLines w:val="0"/>
        <w:pageBreakBefore w:val="0"/>
        <w:widowControl w:val="0"/>
        <w:kinsoku/>
        <w:wordWrap/>
        <w:overflowPunct/>
        <w:topLinePunct w:val="0"/>
        <w:autoSpaceDE/>
        <w:autoSpaceDN/>
        <w:bidi w:val="0"/>
        <w:adjustRightInd/>
        <w:snapToGrid/>
        <w:spacing w:line="360" w:lineRule="auto"/>
        <w:ind w:left="718" w:leftChars="342"/>
        <w:textAlignment w:val="auto"/>
        <w:rPr>
          <w:szCs w:val="21"/>
        </w:rPr>
      </w:pPr>
      <w:r>
        <w:rPr>
          <w:rFonts w:hint="eastAsia"/>
          <w:szCs w:val="21"/>
        </w:rPr>
        <w:t>(</w:t>
      </w:r>
      <w:r>
        <w:rPr>
          <w:szCs w:val="21"/>
        </w:rPr>
        <w:t>2</w:t>
      </w:r>
      <w:r>
        <w:rPr>
          <w:rFonts w:hint="eastAsia"/>
          <w:szCs w:val="21"/>
        </w:rPr>
        <w:t>)随同本投标函递交的投标函附录是本投标函的组成部分，对我方构成约束力。</w:t>
      </w:r>
    </w:p>
    <w:p>
      <w:pPr>
        <w:keepNext w:val="0"/>
        <w:keepLines w:val="0"/>
        <w:pageBreakBefore w:val="0"/>
        <w:widowControl w:val="0"/>
        <w:kinsoku/>
        <w:wordWrap/>
        <w:overflowPunct/>
        <w:topLinePunct w:val="0"/>
        <w:autoSpaceDE/>
        <w:autoSpaceDN/>
        <w:bidi w:val="0"/>
        <w:adjustRightInd/>
        <w:snapToGrid/>
        <w:spacing w:line="360" w:lineRule="auto"/>
        <w:ind w:left="718" w:leftChars="342"/>
        <w:textAlignment w:val="auto"/>
        <w:rPr>
          <w:szCs w:val="21"/>
        </w:rPr>
      </w:pPr>
      <w:r>
        <w:rPr>
          <w:rFonts w:hint="eastAsia"/>
          <w:szCs w:val="21"/>
        </w:rPr>
        <w:t>(</w:t>
      </w:r>
      <w:r>
        <w:rPr>
          <w:szCs w:val="21"/>
        </w:rPr>
        <w:t>3</w:t>
      </w:r>
      <w:r>
        <w:rPr>
          <w:rFonts w:hint="eastAsia"/>
          <w:szCs w:val="21"/>
        </w:rPr>
        <w:t>)我方承诺按照招标文件规定向你方递交履约担保。</w:t>
      </w:r>
    </w:p>
    <w:p>
      <w:pPr>
        <w:keepNext w:val="0"/>
        <w:keepLines w:val="0"/>
        <w:pageBreakBefore w:val="0"/>
        <w:widowControl w:val="0"/>
        <w:kinsoku/>
        <w:wordWrap/>
        <w:overflowPunct/>
        <w:topLinePunct w:val="0"/>
        <w:autoSpaceDE/>
        <w:autoSpaceDN/>
        <w:bidi w:val="0"/>
        <w:adjustRightInd/>
        <w:snapToGrid/>
        <w:spacing w:line="360" w:lineRule="auto"/>
        <w:ind w:firstLine="718" w:firstLineChars="342"/>
        <w:textAlignment w:val="auto"/>
        <w:rPr>
          <w:szCs w:val="21"/>
        </w:rPr>
      </w:pPr>
      <w:r>
        <w:rPr>
          <w:rFonts w:hint="eastAsia"/>
          <w:szCs w:val="21"/>
        </w:rPr>
        <w:t>(</w:t>
      </w:r>
      <w:r>
        <w:rPr>
          <w:szCs w:val="21"/>
        </w:rPr>
        <w:t>4</w:t>
      </w:r>
      <w:r>
        <w:rPr>
          <w:rFonts w:hint="eastAsia"/>
          <w:szCs w:val="21"/>
        </w:rPr>
        <w:t>)我方承诺在合同约定的期限内完成并移交全部合同工程。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szCs w:val="21"/>
        </w:rPr>
      </w:pPr>
      <w:r>
        <w:rPr>
          <w:rFonts w:hint="eastAsia"/>
          <w:szCs w:val="21"/>
        </w:rPr>
        <w:t>4．</w:t>
      </w:r>
      <w:r>
        <w:rPr>
          <w:rFonts w:hint="eastAsia"/>
        </w:rPr>
        <w:t>我方在此声明，所递交的投标文件及有关资料内容完整、真实和准确，且不存在第二章“投标人须知”第</w:t>
      </w:r>
      <w:r>
        <w:t>1.4.3</w:t>
      </w:r>
      <w:r>
        <w:rPr>
          <w:rFonts w:hint="eastAsia"/>
        </w:rPr>
        <w:t>项规定的任何一种情形。</w:t>
      </w:r>
    </w:p>
    <w:p>
      <w:pPr>
        <w:keepNext w:val="0"/>
        <w:keepLines w:val="0"/>
        <w:pageBreakBefore w:val="0"/>
        <w:widowControl w:val="0"/>
        <w:kinsoku/>
        <w:wordWrap/>
        <w:overflowPunct/>
        <w:topLinePunct w:val="0"/>
        <w:autoSpaceDE/>
        <w:autoSpaceDN/>
        <w:bidi w:val="0"/>
        <w:adjustRightInd/>
        <w:snapToGrid/>
        <w:spacing w:line="360" w:lineRule="auto"/>
        <w:ind w:firstLine="3675" w:firstLineChars="1750"/>
        <w:textAlignment w:val="auto"/>
        <w:rPr>
          <w:szCs w:val="21"/>
        </w:rPr>
      </w:pPr>
    </w:p>
    <w:p>
      <w:pPr>
        <w:keepNext w:val="0"/>
        <w:keepLines w:val="0"/>
        <w:pageBreakBefore w:val="0"/>
        <w:widowControl w:val="0"/>
        <w:kinsoku/>
        <w:wordWrap/>
        <w:overflowPunct/>
        <w:topLinePunct w:val="0"/>
        <w:autoSpaceDE/>
        <w:autoSpaceDN/>
        <w:bidi w:val="0"/>
        <w:adjustRightInd/>
        <w:snapToGrid/>
        <w:spacing w:line="360" w:lineRule="auto"/>
        <w:ind w:firstLine="3675" w:firstLineChars="1750"/>
        <w:textAlignment w:val="auto"/>
        <w:rPr>
          <w:szCs w:val="21"/>
        </w:rPr>
      </w:pPr>
      <w:r>
        <w:rPr>
          <w:rFonts w:hint="eastAsia"/>
          <w:szCs w:val="21"/>
        </w:rPr>
        <w:t>投标人：(盖单位章)</w:t>
      </w:r>
    </w:p>
    <w:p>
      <w:pPr>
        <w:keepNext w:val="0"/>
        <w:keepLines w:val="0"/>
        <w:pageBreakBefore w:val="0"/>
        <w:widowControl w:val="0"/>
        <w:kinsoku/>
        <w:wordWrap/>
        <w:overflowPunct/>
        <w:topLinePunct w:val="0"/>
        <w:autoSpaceDE/>
        <w:autoSpaceDN/>
        <w:bidi w:val="0"/>
        <w:adjustRightInd/>
        <w:snapToGrid/>
        <w:spacing w:line="360" w:lineRule="auto"/>
        <w:ind w:firstLine="3675" w:firstLineChars="1750"/>
        <w:textAlignment w:val="auto"/>
        <w:rPr>
          <w:szCs w:val="21"/>
        </w:rPr>
      </w:pPr>
      <w:r>
        <w:rPr>
          <w:rFonts w:hint="eastAsia"/>
          <w:szCs w:val="21"/>
        </w:rPr>
        <w:t>法定代表人或其委托代理人(签字或盖章)：</w:t>
      </w:r>
    </w:p>
    <w:p>
      <w:pPr>
        <w:keepNext w:val="0"/>
        <w:keepLines w:val="0"/>
        <w:pageBreakBefore w:val="0"/>
        <w:widowControl w:val="0"/>
        <w:kinsoku/>
        <w:wordWrap/>
        <w:overflowPunct/>
        <w:topLinePunct w:val="0"/>
        <w:autoSpaceDE/>
        <w:autoSpaceDN/>
        <w:bidi w:val="0"/>
        <w:adjustRightInd/>
        <w:snapToGrid/>
        <w:spacing w:line="360" w:lineRule="auto"/>
        <w:ind w:firstLine="3675" w:firstLineChars="1750"/>
        <w:textAlignment w:val="auto"/>
        <w:rPr>
          <w:szCs w:val="21"/>
        </w:rPr>
      </w:pPr>
      <w:r>
        <w:rPr>
          <w:rFonts w:hint="eastAsia"/>
          <w:szCs w:val="21"/>
        </w:rPr>
        <w:t>地址：</w:t>
      </w:r>
    </w:p>
    <w:p>
      <w:pPr>
        <w:keepNext w:val="0"/>
        <w:keepLines w:val="0"/>
        <w:pageBreakBefore w:val="0"/>
        <w:widowControl w:val="0"/>
        <w:kinsoku/>
        <w:wordWrap/>
        <w:overflowPunct/>
        <w:topLinePunct w:val="0"/>
        <w:autoSpaceDE/>
        <w:autoSpaceDN/>
        <w:bidi w:val="0"/>
        <w:adjustRightInd/>
        <w:snapToGrid/>
        <w:spacing w:line="360" w:lineRule="auto"/>
        <w:ind w:firstLine="3675" w:firstLineChars="1750"/>
        <w:textAlignment w:val="auto"/>
        <w:rPr>
          <w:szCs w:val="21"/>
        </w:rPr>
      </w:pPr>
      <w:r>
        <w:rPr>
          <w:rFonts w:hint="eastAsia"/>
          <w:szCs w:val="21"/>
        </w:rPr>
        <w:t>网址：</w:t>
      </w:r>
    </w:p>
    <w:p>
      <w:pPr>
        <w:keepNext w:val="0"/>
        <w:keepLines w:val="0"/>
        <w:pageBreakBefore w:val="0"/>
        <w:widowControl w:val="0"/>
        <w:kinsoku/>
        <w:wordWrap/>
        <w:overflowPunct/>
        <w:topLinePunct w:val="0"/>
        <w:autoSpaceDE/>
        <w:autoSpaceDN/>
        <w:bidi w:val="0"/>
        <w:adjustRightInd/>
        <w:snapToGrid/>
        <w:spacing w:line="360" w:lineRule="auto"/>
        <w:ind w:firstLine="3675" w:firstLineChars="1750"/>
        <w:textAlignment w:val="auto"/>
        <w:rPr>
          <w:szCs w:val="21"/>
        </w:rPr>
      </w:pPr>
      <w:r>
        <w:rPr>
          <w:rFonts w:hint="eastAsia"/>
          <w:szCs w:val="21"/>
        </w:rPr>
        <w:t>电话：</w:t>
      </w:r>
    </w:p>
    <w:p>
      <w:pPr>
        <w:keepNext w:val="0"/>
        <w:keepLines w:val="0"/>
        <w:pageBreakBefore w:val="0"/>
        <w:widowControl w:val="0"/>
        <w:kinsoku/>
        <w:wordWrap/>
        <w:overflowPunct/>
        <w:topLinePunct w:val="0"/>
        <w:autoSpaceDE/>
        <w:autoSpaceDN/>
        <w:bidi w:val="0"/>
        <w:adjustRightInd/>
        <w:snapToGrid/>
        <w:spacing w:line="360" w:lineRule="auto"/>
        <w:ind w:firstLine="3675" w:firstLineChars="1750"/>
        <w:textAlignment w:val="auto"/>
        <w:rPr>
          <w:szCs w:val="21"/>
        </w:rPr>
      </w:pPr>
      <w:r>
        <w:rPr>
          <w:rFonts w:hint="eastAsia"/>
          <w:szCs w:val="21"/>
        </w:rPr>
        <w:t>传真：</w:t>
      </w:r>
    </w:p>
    <w:p>
      <w:pPr>
        <w:keepNext w:val="0"/>
        <w:keepLines w:val="0"/>
        <w:pageBreakBefore w:val="0"/>
        <w:widowControl w:val="0"/>
        <w:kinsoku/>
        <w:wordWrap/>
        <w:overflowPunct/>
        <w:topLinePunct w:val="0"/>
        <w:autoSpaceDE/>
        <w:autoSpaceDN/>
        <w:bidi w:val="0"/>
        <w:adjustRightInd/>
        <w:snapToGrid/>
        <w:spacing w:line="360" w:lineRule="auto"/>
        <w:ind w:firstLine="3675" w:firstLineChars="1750"/>
        <w:textAlignment w:val="auto"/>
        <w:rPr>
          <w:szCs w:val="21"/>
        </w:rPr>
      </w:pPr>
      <w:r>
        <w:rPr>
          <w:rFonts w:hint="eastAsia"/>
          <w:szCs w:val="21"/>
        </w:rPr>
        <w:t>邮政编码：</w:t>
      </w:r>
    </w:p>
    <w:p>
      <w:pPr>
        <w:keepNext w:val="0"/>
        <w:keepLines w:val="0"/>
        <w:pageBreakBefore w:val="0"/>
        <w:widowControl w:val="0"/>
        <w:kinsoku/>
        <w:wordWrap/>
        <w:overflowPunct/>
        <w:topLinePunct w:val="0"/>
        <w:autoSpaceDE/>
        <w:autoSpaceDN/>
        <w:bidi w:val="0"/>
        <w:adjustRightInd/>
        <w:snapToGrid/>
        <w:spacing w:line="360" w:lineRule="auto"/>
        <w:ind w:firstLine="3675" w:firstLineChars="1750"/>
        <w:textAlignment w:val="auto"/>
        <w:rPr>
          <w:szCs w:val="21"/>
        </w:rPr>
      </w:pPr>
    </w:p>
    <w:p>
      <w:pPr>
        <w:keepNext w:val="0"/>
        <w:keepLines w:val="0"/>
        <w:pageBreakBefore w:val="0"/>
        <w:widowControl w:val="0"/>
        <w:kinsoku/>
        <w:wordWrap/>
        <w:overflowPunct/>
        <w:topLinePunct w:val="0"/>
        <w:autoSpaceDE/>
        <w:autoSpaceDN/>
        <w:bidi w:val="0"/>
        <w:adjustRightInd/>
        <w:snapToGrid/>
        <w:spacing w:line="360" w:lineRule="auto"/>
        <w:ind w:firstLine="5040" w:firstLineChars="2400"/>
        <w:textAlignment w:val="auto"/>
        <w:rPr>
          <w:szCs w:val="21"/>
        </w:rPr>
      </w:pPr>
      <w:r>
        <w:rPr>
          <w:rFonts w:hint="eastAsia"/>
          <w:szCs w:val="21"/>
        </w:rPr>
        <w:t>年月日</w:t>
      </w:r>
    </w:p>
    <w:p>
      <w:pPr>
        <w:spacing w:line="440" w:lineRule="exact"/>
        <w:rPr>
          <w:rFonts w:eastAsia="黑体"/>
          <w:szCs w:val="21"/>
        </w:rPr>
      </w:pPr>
    </w:p>
    <w:p>
      <w:pPr>
        <w:spacing w:line="440" w:lineRule="exact"/>
        <w:rPr>
          <w:rFonts w:eastAsia="黑体"/>
          <w:sz w:val="20"/>
          <w:szCs w:val="20"/>
        </w:rPr>
      </w:pPr>
      <w:r>
        <w:rPr>
          <w:rFonts w:eastAsia="黑体"/>
          <w:sz w:val="20"/>
          <w:szCs w:val="20"/>
        </w:rPr>
        <w:br w:type="page"/>
      </w:r>
    </w:p>
    <w:p>
      <w:pPr>
        <w:pStyle w:val="28"/>
        <w:jc w:val="center"/>
        <w:rPr>
          <w:szCs w:val="23"/>
        </w:rPr>
      </w:pPr>
      <w:bookmarkStart w:id="280" w:name="_Toc152045790"/>
      <w:bookmarkStart w:id="281" w:name="_Toc152042579"/>
      <w:bookmarkStart w:id="282" w:name="_Toc179632810"/>
      <w:bookmarkStart w:id="283" w:name="_Toc144974859"/>
    </w:p>
    <w:p>
      <w:pPr>
        <w:pStyle w:val="28"/>
        <w:jc w:val="center"/>
        <w:rPr>
          <w:rFonts w:ascii="Arial" w:hAnsi="Arial"/>
          <w:b/>
          <w:bCs/>
          <w:sz w:val="32"/>
          <w:szCs w:val="32"/>
        </w:rPr>
      </w:pPr>
      <w:r>
        <w:rPr>
          <w:rFonts w:hint="eastAsia" w:ascii="Arial" w:hAnsi="Arial"/>
          <w:b/>
          <w:bCs/>
          <w:sz w:val="32"/>
          <w:szCs w:val="32"/>
        </w:rPr>
        <w:t>（二）投标函附录</w:t>
      </w:r>
      <w:bookmarkEnd w:id="280"/>
      <w:bookmarkEnd w:id="281"/>
      <w:bookmarkEnd w:id="282"/>
      <w:bookmarkEnd w:id="283"/>
    </w:p>
    <w:p>
      <w:pPr>
        <w:spacing w:line="440" w:lineRule="exact"/>
        <w:rPr>
          <w:rFonts w:eastAsia="黑体"/>
          <w:sz w:val="20"/>
          <w:szCs w:val="20"/>
        </w:rPr>
      </w:pPr>
    </w:p>
    <w:tbl>
      <w:tblPr>
        <w:tblStyle w:val="15"/>
        <w:tblW w:w="84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2337"/>
        <w:gridCol w:w="5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rFonts w:hint="eastAsia"/>
                <w:szCs w:val="21"/>
              </w:rPr>
              <w:t>1</w:t>
            </w:r>
          </w:p>
        </w:tc>
        <w:tc>
          <w:tcPr>
            <w:tcW w:w="2337"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rFonts w:hint="eastAsia"/>
                <w:szCs w:val="21"/>
              </w:rPr>
              <w:t>投标人名称</w:t>
            </w:r>
          </w:p>
        </w:tc>
        <w:tc>
          <w:tcPr>
            <w:tcW w:w="5425"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rFonts w:hint="eastAsia"/>
                <w:szCs w:val="21"/>
              </w:rPr>
              <w:t>2</w:t>
            </w:r>
          </w:p>
        </w:tc>
        <w:tc>
          <w:tcPr>
            <w:tcW w:w="2337"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rFonts w:hint="eastAsia"/>
                <w:szCs w:val="21"/>
              </w:rPr>
              <w:t>投标报价</w:t>
            </w:r>
          </w:p>
        </w:tc>
        <w:tc>
          <w:tcPr>
            <w:tcW w:w="5425"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rFonts w:hint="eastAsia"/>
                <w:szCs w:val="21"/>
              </w:rPr>
              <w:t>3</w:t>
            </w:r>
          </w:p>
        </w:tc>
        <w:tc>
          <w:tcPr>
            <w:tcW w:w="2337"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rFonts w:hint="eastAsia"/>
                <w:szCs w:val="21"/>
              </w:rPr>
              <w:t>项目经理</w:t>
            </w:r>
          </w:p>
        </w:tc>
        <w:tc>
          <w:tcPr>
            <w:tcW w:w="5425"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textAlignment w:val="baseline"/>
              <w:rPr>
                <w:szCs w:val="21"/>
                <w:u w:val="single"/>
              </w:rPr>
            </w:pPr>
            <w:r>
              <w:rPr>
                <w:rFonts w:hint="eastAsia"/>
                <w:szCs w:val="21"/>
              </w:rPr>
              <w:t>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rFonts w:hint="eastAsia"/>
                <w:szCs w:val="21"/>
              </w:rPr>
              <w:t>4</w:t>
            </w:r>
          </w:p>
        </w:tc>
        <w:tc>
          <w:tcPr>
            <w:tcW w:w="2337"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rFonts w:hint="eastAsia"/>
                <w:szCs w:val="21"/>
              </w:rPr>
              <w:t>工期</w:t>
            </w:r>
          </w:p>
        </w:tc>
        <w:tc>
          <w:tcPr>
            <w:tcW w:w="5425"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textAlignment w:val="baseline"/>
              <w:rPr>
                <w:szCs w:val="21"/>
                <w:u w:val="single"/>
              </w:rPr>
            </w:pPr>
            <w:r>
              <w:rPr>
                <w:rFonts w:hint="eastAsia"/>
                <w:szCs w:val="21"/>
              </w:rPr>
              <w:t>天数：日历天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rFonts w:hint="eastAsia"/>
                <w:szCs w:val="21"/>
              </w:rPr>
              <w:t>5</w:t>
            </w:r>
          </w:p>
        </w:tc>
        <w:tc>
          <w:tcPr>
            <w:tcW w:w="2337"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rFonts w:hint="eastAsia"/>
                <w:szCs w:val="21"/>
              </w:rPr>
              <w:t>质量</w:t>
            </w:r>
          </w:p>
        </w:tc>
        <w:tc>
          <w:tcPr>
            <w:tcW w:w="5425"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textAlignment w:val="baseline"/>
              <w:rPr>
                <w:szCs w:val="21"/>
              </w:rPr>
            </w:pPr>
            <w:r>
              <w:rPr>
                <w:rFonts w:hint="eastAsia"/>
                <w:szCs w:val="21"/>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rFonts w:hint="eastAsia"/>
                <w:szCs w:val="21"/>
              </w:rPr>
              <w:t>6</w:t>
            </w:r>
          </w:p>
        </w:tc>
        <w:tc>
          <w:tcPr>
            <w:tcW w:w="2337"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p>
        </w:tc>
        <w:tc>
          <w:tcPr>
            <w:tcW w:w="5425"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rFonts w:hint="eastAsia"/>
                <w:szCs w:val="21"/>
              </w:rPr>
              <w:t>7</w:t>
            </w:r>
          </w:p>
        </w:tc>
        <w:tc>
          <w:tcPr>
            <w:tcW w:w="2337"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textAlignment w:val="baseline"/>
              <w:rPr>
                <w:szCs w:val="21"/>
              </w:rPr>
            </w:pPr>
          </w:p>
        </w:tc>
        <w:tc>
          <w:tcPr>
            <w:tcW w:w="5425"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szCs w:val="21"/>
              </w:rPr>
              <w:t>……</w:t>
            </w:r>
          </w:p>
        </w:tc>
        <w:tc>
          <w:tcPr>
            <w:tcW w:w="2337"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szCs w:val="21"/>
              </w:rPr>
              <w:t>……</w:t>
            </w:r>
          </w:p>
        </w:tc>
        <w:tc>
          <w:tcPr>
            <w:tcW w:w="5425"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textAlignment w:val="baseline"/>
              <w:rPr>
                <w:szCs w:val="21"/>
              </w:rPr>
            </w:pP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szCs w:val="21"/>
              </w:rPr>
              <w:t>……</w:t>
            </w:r>
          </w:p>
        </w:tc>
        <w:tc>
          <w:tcPr>
            <w:tcW w:w="2337"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szCs w:val="21"/>
              </w:rPr>
              <w:t>……</w:t>
            </w:r>
          </w:p>
        </w:tc>
        <w:tc>
          <w:tcPr>
            <w:tcW w:w="5425"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textAlignment w:val="baseline"/>
              <w:rPr>
                <w:szCs w:val="21"/>
              </w:rPr>
            </w:pPr>
            <w:r>
              <w:rPr>
                <w:szCs w:val="21"/>
              </w:rPr>
              <w:t>……</w:t>
            </w:r>
          </w:p>
        </w:tc>
      </w:tr>
    </w:tbl>
    <w:p>
      <w:pPr>
        <w:spacing w:line="440" w:lineRule="exact"/>
        <w:ind w:left="840" w:leftChars="400" w:firstLine="2200" w:firstLineChars="1100"/>
        <w:rPr>
          <w:rFonts w:eastAsia="黑体"/>
          <w:sz w:val="20"/>
          <w:szCs w:val="20"/>
        </w:rPr>
      </w:pPr>
    </w:p>
    <w:p>
      <w:pPr>
        <w:spacing w:line="440" w:lineRule="exact"/>
        <w:rPr>
          <w:rFonts w:asciiTheme="minorEastAsia" w:hAnsiTheme="minorEastAsia" w:eastAsiaTheme="minorEastAsia"/>
          <w:szCs w:val="21"/>
          <w:u w:val="single"/>
        </w:rPr>
      </w:pPr>
      <w:r>
        <w:rPr>
          <w:rFonts w:hint="eastAsia" w:asciiTheme="minorEastAsia" w:hAnsiTheme="minorEastAsia" w:eastAsiaTheme="minorEastAsia"/>
          <w:szCs w:val="21"/>
        </w:rPr>
        <w:t>投标人（盖章）：</w:t>
      </w:r>
    </w:p>
    <w:p>
      <w:pPr>
        <w:spacing w:line="440" w:lineRule="exact"/>
        <w:rPr>
          <w:rFonts w:asciiTheme="minorEastAsia" w:hAnsiTheme="minorEastAsia" w:eastAsiaTheme="minorEastAsia"/>
          <w:szCs w:val="21"/>
        </w:rPr>
      </w:pPr>
    </w:p>
    <w:p>
      <w:r>
        <w:rPr>
          <w:rFonts w:hint="eastAsia" w:asciiTheme="minorEastAsia" w:hAnsiTheme="minorEastAsia" w:eastAsiaTheme="minorEastAsia"/>
          <w:szCs w:val="21"/>
        </w:rPr>
        <w:t>法定代表人或委托代理人（签字或盖章）：</w:t>
      </w:r>
      <w:r>
        <w:rPr>
          <w:rFonts w:eastAsia="黑体"/>
          <w:sz w:val="20"/>
          <w:szCs w:val="20"/>
        </w:rPr>
        <w:br w:type="page"/>
      </w:r>
    </w:p>
    <w:bookmarkEnd w:id="272"/>
    <w:bookmarkEnd w:id="273"/>
    <w:bookmarkEnd w:id="274"/>
    <w:bookmarkEnd w:id="275"/>
    <w:p>
      <w:pPr>
        <w:pStyle w:val="4"/>
      </w:pPr>
      <w:bookmarkStart w:id="284" w:name="_Toc241459818"/>
      <w:bookmarkStart w:id="285" w:name="_Toc241484770"/>
      <w:bookmarkStart w:id="286" w:name="_Toc275956220"/>
    </w:p>
    <w:p>
      <w:pPr>
        <w:pStyle w:val="4"/>
      </w:pPr>
      <w:r>
        <w:rPr>
          <w:rFonts w:hint="eastAsia"/>
        </w:rPr>
        <w:t>二、法定代表人身份证明</w:t>
      </w:r>
      <w:bookmarkEnd w:id="284"/>
      <w:bookmarkEnd w:id="285"/>
      <w:bookmarkEnd w:id="286"/>
    </w:p>
    <w:p>
      <w:pPr>
        <w:spacing w:line="440" w:lineRule="exact"/>
        <w:rPr>
          <w:sz w:val="20"/>
          <w:szCs w:val="20"/>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szCs w:val="21"/>
        </w:rPr>
      </w:pPr>
      <w:r>
        <w:rPr>
          <w:rFonts w:hint="eastAsia" w:ascii="宋体" w:hAnsi="宋体"/>
          <w:szCs w:val="21"/>
        </w:rPr>
        <w:t>投 标 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szCs w:val="21"/>
        </w:rPr>
      </w:pPr>
      <w:r>
        <w:rPr>
          <w:rFonts w:hint="eastAsia" w:ascii="宋体" w:hAnsi="宋体"/>
          <w:szCs w:val="21"/>
        </w:rPr>
        <w:t>单位性质：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szCs w:val="21"/>
        </w:rPr>
      </w:pPr>
      <w:r>
        <w:rPr>
          <w:rFonts w:hint="eastAsia" w:ascii="宋体" w:hAnsi="宋体"/>
          <w:szCs w:val="21"/>
        </w:rPr>
        <w:t>地    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szCs w:val="21"/>
        </w:rPr>
      </w:pPr>
      <w:r>
        <w:rPr>
          <w:rFonts w:hint="eastAsia" w:ascii="宋体" w:hAnsi="宋体"/>
          <w:szCs w:val="21"/>
        </w:rPr>
        <w:t>成立时间： 年 月 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szCs w:val="21"/>
        </w:rPr>
      </w:pPr>
      <w:r>
        <w:rPr>
          <w:rFonts w:hint="eastAsia" w:ascii="宋体" w:hAnsi="宋体"/>
          <w:szCs w:val="21"/>
        </w:rPr>
        <w:t>经营期限：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szCs w:val="21"/>
        </w:rPr>
      </w:pPr>
      <w:r>
        <w:rPr>
          <w:rFonts w:hint="eastAsia" w:ascii="宋体" w:hAnsi="宋体"/>
          <w:szCs w:val="21"/>
        </w:rPr>
        <w:t>姓    名： 性     别：</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szCs w:val="21"/>
        </w:rPr>
      </w:pPr>
      <w:r>
        <w:rPr>
          <w:rFonts w:hint="eastAsia" w:ascii="宋体" w:hAnsi="宋体"/>
          <w:szCs w:val="21"/>
        </w:rPr>
        <w:t>年    龄： 职     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szCs w:val="21"/>
        </w:rPr>
      </w:pPr>
      <w:r>
        <w:rPr>
          <w:rFonts w:hint="eastAsia" w:ascii="宋体" w:hAnsi="宋体"/>
          <w:szCs w:val="21"/>
        </w:rPr>
        <w:t>系 (投标人名称)的法定代表人。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szCs w:val="21"/>
        </w:rPr>
      </w:pPr>
      <w:r>
        <w:rPr>
          <w:rFonts w:hint="eastAsia" w:ascii="宋体" w:hAnsi="宋体"/>
          <w:szCs w:val="21"/>
        </w:rPr>
        <w:t>特此证明。</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Cs w:val="21"/>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Cs w:val="21"/>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Cs w:val="21"/>
        </w:rPr>
      </w:pPr>
      <w:r>
        <w:rPr>
          <w:rFonts w:hint="eastAsia" w:ascii="宋体" w:hAnsi="宋体"/>
          <w:szCs w:val="21"/>
        </w:rPr>
        <w:t xml:space="preserve">                                  投标人：(盖单位章)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Cs w:val="21"/>
        </w:rPr>
      </w:pPr>
    </w:p>
    <w:p>
      <w:pPr>
        <w:keepNext w:val="0"/>
        <w:keepLines w:val="0"/>
        <w:pageBreakBefore w:val="0"/>
        <w:widowControl w:val="0"/>
        <w:kinsoku/>
        <w:wordWrap/>
        <w:overflowPunct/>
        <w:topLinePunct w:val="0"/>
        <w:autoSpaceDE/>
        <w:autoSpaceDN/>
        <w:bidi w:val="0"/>
        <w:adjustRightInd/>
        <w:snapToGrid/>
        <w:spacing w:line="360" w:lineRule="auto"/>
        <w:ind w:firstLine="3570" w:firstLineChars="1700"/>
        <w:textAlignment w:val="auto"/>
        <w:rPr>
          <w:rFonts w:ascii="宋体" w:hAnsi="宋体"/>
          <w:szCs w:val="21"/>
        </w:rPr>
      </w:pPr>
      <w:r>
        <w:rPr>
          <w:rFonts w:hint="eastAsia" w:ascii="宋体" w:hAnsi="宋体"/>
          <w:szCs w:val="21"/>
        </w:rPr>
        <w:t xml:space="preserve">年月日  </w:t>
      </w:r>
    </w:p>
    <w:p>
      <w:pPr>
        <w:keepNext w:val="0"/>
        <w:keepLines w:val="0"/>
        <w:pageBreakBefore w:val="0"/>
        <w:widowControl w:val="0"/>
        <w:kinsoku/>
        <w:wordWrap/>
        <w:overflowPunct/>
        <w:topLinePunct w:val="0"/>
        <w:autoSpaceDE/>
        <w:autoSpaceDN/>
        <w:bidi w:val="0"/>
        <w:adjustRightInd/>
        <w:snapToGrid/>
        <w:spacing w:line="360" w:lineRule="auto"/>
        <w:ind w:firstLine="3570" w:firstLineChars="1700"/>
        <w:textAlignment w:val="auto"/>
        <w:rPr>
          <w:rFonts w:ascii="宋体" w:hAnsi="宋体"/>
          <w:szCs w:val="21"/>
        </w:rPr>
      </w:pPr>
    </w:p>
    <w:p>
      <w:pPr>
        <w:keepNext w:val="0"/>
        <w:keepLines w:val="0"/>
        <w:pageBreakBefore w:val="0"/>
        <w:widowControl w:val="0"/>
        <w:kinsoku/>
        <w:wordWrap/>
        <w:overflowPunct/>
        <w:topLinePunct w:val="0"/>
        <w:autoSpaceDE/>
        <w:autoSpaceDN/>
        <w:bidi w:val="0"/>
        <w:adjustRightInd/>
        <w:snapToGrid/>
        <w:spacing w:line="360" w:lineRule="auto"/>
        <w:ind w:firstLine="3570" w:firstLineChars="1700"/>
        <w:textAlignment w:val="auto"/>
        <w:rPr>
          <w:rFonts w:ascii="宋体"/>
          <w:szCs w:val="21"/>
        </w:rPr>
      </w:pPr>
    </w:p>
    <w:p>
      <w:pPr>
        <w:keepNext w:val="0"/>
        <w:keepLines w:val="0"/>
        <w:pageBreakBefore w:val="0"/>
        <w:widowControl w:val="0"/>
        <w:kinsoku/>
        <w:wordWrap/>
        <w:overflowPunct/>
        <w:topLinePunct w:val="0"/>
        <w:autoSpaceDE/>
        <w:autoSpaceDN/>
        <w:bidi w:val="0"/>
        <w:adjustRightInd/>
        <w:snapToGrid/>
        <w:spacing w:line="360" w:lineRule="auto"/>
        <w:ind w:firstLine="3570" w:firstLineChars="1700"/>
        <w:textAlignment w:val="auto"/>
        <w:rPr>
          <w:rFonts w:ascii="宋体"/>
          <w:szCs w:val="21"/>
        </w:rPr>
      </w:pPr>
    </w:p>
    <w:p>
      <w:pPr>
        <w:spacing w:line="440" w:lineRule="exact"/>
        <w:ind w:firstLine="3570" w:firstLineChars="1700"/>
        <w:rPr>
          <w:rFonts w:ascii="宋体"/>
          <w:szCs w:val="21"/>
        </w:rPr>
      </w:pPr>
    </w:p>
    <w:p>
      <w:pPr>
        <w:spacing w:line="440" w:lineRule="exact"/>
        <w:ind w:firstLine="3570" w:firstLineChars="1700"/>
        <w:rPr>
          <w:rFonts w:ascii="宋体"/>
          <w:szCs w:val="21"/>
        </w:rPr>
      </w:pPr>
    </w:p>
    <w:p>
      <w:pPr>
        <w:spacing w:line="440" w:lineRule="exact"/>
        <w:ind w:firstLine="3570" w:firstLineChars="1700"/>
        <w:rPr>
          <w:rFonts w:ascii="宋体"/>
          <w:szCs w:val="21"/>
        </w:rPr>
      </w:pPr>
    </w:p>
    <w:p>
      <w:pPr>
        <w:spacing w:line="440" w:lineRule="exact"/>
        <w:ind w:firstLine="3570" w:firstLineChars="1700"/>
        <w:rPr>
          <w:rFonts w:ascii="宋体"/>
          <w:szCs w:val="21"/>
        </w:rPr>
      </w:pPr>
    </w:p>
    <w:p>
      <w:pPr>
        <w:spacing w:line="440" w:lineRule="exact"/>
        <w:ind w:firstLine="3570" w:firstLineChars="1700"/>
        <w:rPr>
          <w:rFonts w:ascii="宋体"/>
          <w:szCs w:val="21"/>
        </w:rPr>
      </w:pPr>
    </w:p>
    <w:p>
      <w:pPr>
        <w:spacing w:line="440" w:lineRule="exact"/>
        <w:ind w:firstLine="3570" w:firstLineChars="1700"/>
        <w:rPr>
          <w:rFonts w:ascii="宋体"/>
          <w:szCs w:val="21"/>
        </w:rPr>
      </w:pPr>
    </w:p>
    <w:p>
      <w:pPr>
        <w:spacing w:line="440" w:lineRule="exact"/>
        <w:ind w:firstLine="3570" w:firstLineChars="1700"/>
        <w:rPr>
          <w:rFonts w:ascii="宋体"/>
          <w:szCs w:val="21"/>
        </w:rPr>
      </w:pPr>
    </w:p>
    <w:p>
      <w:pPr>
        <w:spacing w:line="440" w:lineRule="exact"/>
        <w:ind w:firstLine="3570" w:firstLineChars="1700"/>
        <w:rPr>
          <w:rFonts w:ascii="宋体"/>
          <w:szCs w:val="21"/>
        </w:rPr>
      </w:pPr>
    </w:p>
    <w:p>
      <w:pPr>
        <w:spacing w:line="440" w:lineRule="exact"/>
        <w:ind w:firstLine="3570" w:firstLineChars="1700"/>
        <w:rPr>
          <w:rFonts w:ascii="宋体"/>
          <w:szCs w:val="21"/>
        </w:rPr>
      </w:pPr>
    </w:p>
    <w:p>
      <w:pPr>
        <w:spacing w:line="440" w:lineRule="exact"/>
        <w:jc w:val="center"/>
        <w:rPr>
          <w:rFonts w:ascii="宋体"/>
          <w:sz w:val="20"/>
          <w:szCs w:val="20"/>
        </w:rPr>
      </w:pPr>
      <w:r>
        <w:rPr>
          <w:rFonts w:ascii="宋体"/>
          <w:kern w:val="0"/>
          <w:sz w:val="20"/>
          <w:szCs w:val="20"/>
        </w:rPr>
        <w:br w:type="page"/>
      </w:r>
    </w:p>
    <w:p>
      <w:pPr>
        <w:pStyle w:val="4"/>
      </w:pPr>
      <w:bookmarkStart w:id="287" w:name="_Toc241484771"/>
      <w:bookmarkStart w:id="288" w:name="_Toc152042581"/>
      <w:bookmarkStart w:id="289" w:name="_Toc241459819"/>
      <w:bookmarkStart w:id="290" w:name="_Toc179632812"/>
      <w:bookmarkStart w:id="291" w:name="_Toc144974861"/>
      <w:bookmarkStart w:id="292" w:name="_Toc275956221"/>
      <w:bookmarkStart w:id="293" w:name="_Toc152045792"/>
    </w:p>
    <w:p>
      <w:pPr>
        <w:pStyle w:val="4"/>
      </w:pPr>
      <w:r>
        <w:rPr>
          <w:rFonts w:hint="eastAsia"/>
        </w:rPr>
        <w:t>三、授权委托书</w:t>
      </w:r>
      <w:bookmarkEnd w:id="287"/>
      <w:bookmarkEnd w:id="288"/>
      <w:bookmarkEnd w:id="289"/>
      <w:bookmarkEnd w:id="290"/>
      <w:bookmarkEnd w:id="291"/>
      <w:bookmarkEnd w:id="292"/>
      <w:bookmarkEnd w:id="293"/>
    </w:p>
    <w:p>
      <w:pPr>
        <w:spacing w:line="440" w:lineRule="exact"/>
        <w:rPr>
          <w:rFonts w:eastAsia="黑体"/>
          <w:szCs w:val="21"/>
        </w:rPr>
      </w:pPr>
    </w:p>
    <w:p>
      <w:pPr>
        <w:keepNext w:val="0"/>
        <w:keepLines w:val="0"/>
        <w:pageBreakBefore w:val="0"/>
        <w:widowControl w:val="0"/>
        <w:kinsoku/>
        <w:wordWrap/>
        <w:overflowPunct/>
        <w:topLinePunct/>
        <w:autoSpaceDE/>
        <w:autoSpaceDN/>
        <w:bidi w:val="0"/>
        <w:adjustRightInd/>
        <w:snapToGrid/>
        <w:spacing w:line="360" w:lineRule="auto"/>
        <w:ind w:firstLine="420" w:firstLineChars="200"/>
        <w:textAlignment w:val="auto"/>
        <w:rPr>
          <w:szCs w:val="21"/>
        </w:rPr>
      </w:pPr>
      <w:r>
        <w:rPr>
          <w:rFonts w:hint="eastAsia"/>
          <w:szCs w:val="21"/>
        </w:rPr>
        <w:t>本人(姓名)系(投标人名称)的法定代表人，现委托(姓名)为我方代理人。代理人根据授权，以我方名义签署、澄清、说明、补正、递交、撤回、修改(项目名称)标段施工投标文件、签订合同和处理有关事宜，其法律后果由我方承担。</w:t>
      </w:r>
    </w:p>
    <w:p>
      <w:pPr>
        <w:keepNext w:val="0"/>
        <w:keepLines w:val="0"/>
        <w:pageBreakBefore w:val="0"/>
        <w:widowControl w:val="0"/>
        <w:kinsoku/>
        <w:wordWrap/>
        <w:overflowPunct/>
        <w:autoSpaceDE/>
        <w:autoSpaceDN/>
        <w:bidi w:val="0"/>
        <w:adjustRightInd/>
        <w:snapToGrid/>
        <w:spacing w:line="360" w:lineRule="auto"/>
        <w:ind w:firstLine="435"/>
        <w:textAlignment w:val="auto"/>
        <w:rPr>
          <w:szCs w:val="21"/>
        </w:rPr>
      </w:pPr>
      <w:r>
        <w:rPr>
          <w:rFonts w:hint="eastAsia"/>
          <w:szCs w:val="21"/>
        </w:rPr>
        <w:t>委托期限：。</w:t>
      </w:r>
    </w:p>
    <w:p>
      <w:pPr>
        <w:keepNext w:val="0"/>
        <w:keepLines w:val="0"/>
        <w:pageBreakBefore w:val="0"/>
        <w:widowControl w:val="0"/>
        <w:kinsoku/>
        <w:wordWrap/>
        <w:overflowPunct/>
        <w:autoSpaceDE/>
        <w:autoSpaceDN/>
        <w:bidi w:val="0"/>
        <w:adjustRightInd/>
        <w:snapToGrid/>
        <w:spacing w:line="360" w:lineRule="auto"/>
        <w:ind w:firstLine="420" w:firstLineChars="200"/>
        <w:textAlignment w:val="auto"/>
        <w:rPr>
          <w:szCs w:val="21"/>
        </w:rPr>
      </w:pPr>
    </w:p>
    <w:p>
      <w:pPr>
        <w:keepNext w:val="0"/>
        <w:keepLines w:val="0"/>
        <w:pageBreakBefore w:val="0"/>
        <w:widowControl w:val="0"/>
        <w:kinsoku/>
        <w:wordWrap/>
        <w:overflowPunct/>
        <w:autoSpaceDE/>
        <w:autoSpaceDN/>
        <w:bidi w:val="0"/>
        <w:adjustRightInd/>
        <w:snapToGrid/>
        <w:spacing w:line="360" w:lineRule="auto"/>
        <w:ind w:firstLine="420" w:firstLineChars="200"/>
        <w:textAlignment w:val="auto"/>
        <w:rPr>
          <w:szCs w:val="21"/>
        </w:rPr>
      </w:pPr>
      <w:r>
        <w:rPr>
          <w:rFonts w:hint="eastAsia"/>
          <w:szCs w:val="21"/>
        </w:rPr>
        <w:t>代理人无转委托权。</w:t>
      </w:r>
    </w:p>
    <w:p>
      <w:pPr>
        <w:keepNext w:val="0"/>
        <w:keepLines w:val="0"/>
        <w:pageBreakBefore w:val="0"/>
        <w:widowControl w:val="0"/>
        <w:kinsoku/>
        <w:wordWrap/>
        <w:overflowPunct/>
        <w:autoSpaceDE/>
        <w:autoSpaceDN/>
        <w:bidi w:val="0"/>
        <w:adjustRightInd/>
        <w:snapToGrid/>
        <w:spacing w:line="360" w:lineRule="auto"/>
        <w:ind w:firstLine="420" w:firstLineChars="200"/>
        <w:textAlignment w:val="auto"/>
        <w:rPr>
          <w:szCs w:val="21"/>
        </w:rPr>
      </w:pPr>
    </w:p>
    <w:p>
      <w:pPr>
        <w:keepNext w:val="0"/>
        <w:keepLines w:val="0"/>
        <w:pageBreakBefore w:val="0"/>
        <w:widowControl w:val="0"/>
        <w:kinsoku/>
        <w:wordWrap/>
        <w:overflowPunct/>
        <w:autoSpaceDE/>
        <w:autoSpaceDN/>
        <w:bidi w:val="0"/>
        <w:adjustRightInd/>
        <w:snapToGrid/>
        <w:spacing w:line="360" w:lineRule="auto"/>
        <w:ind w:firstLine="420" w:firstLineChars="200"/>
        <w:textAlignment w:val="auto"/>
        <w:rPr>
          <w:szCs w:val="21"/>
        </w:rPr>
      </w:pPr>
      <w:r>
        <w:rPr>
          <w:rFonts w:hint="eastAsia"/>
          <w:szCs w:val="21"/>
        </w:rPr>
        <w:t>附：法定代表人身份证明，委托身份证复印件</w:t>
      </w:r>
    </w:p>
    <w:p>
      <w:pPr>
        <w:keepNext w:val="0"/>
        <w:keepLines w:val="0"/>
        <w:pageBreakBefore w:val="0"/>
        <w:widowControl w:val="0"/>
        <w:kinsoku/>
        <w:wordWrap/>
        <w:overflowPunct/>
        <w:autoSpaceDE/>
        <w:autoSpaceDN/>
        <w:bidi w:val="0"/>
        <w:adjustRightInd/>
        <w:snapToGrid/>
        <w:spacing w:line="360" w:lineRule="auto"/>
        <w:textAlignment w:val="auto"/>
        <w:rPr>
          <w:szCs w:val="21"/>
        </w:rPr>
      </w:pPr>
    </w:p>
    <w:p>
      <w:pPr>
        <w:keepNext w:val="0"/>
        <w:keepLines w:val="0"/>
        <w:pageBreakBefore w:val="0"/>
        <w:widowControl w:val="0"/>
        <w:kinsoku/>
        <w:wordWrap/>
        <w:overflowPunct/>
        <w:autoSpaceDE/>
        <w:autoSpaceDN/>
        <w:bidi w:val="0"/>
        <w:adjustRightInd/>
        <w:snapToGrid/>
        <w:spacing w:line="360" w:lineRule="auto"/>
        <w:textAlignment w:val="auto"/>
        <w:rPr>
          <w:rFonts w:ascii="宋体" w:hAnsi="宋体"/>
          <w:szCs w:val="21"/>
        </w:rPr>
      </w:pPr>
    </w:p>
    <w:p>
      <w:pPr>
        <w:keepNext w:val="0"/>
        <w:keepLines w:val="0"/>
        <w:pageBreakBefore w:val="0"/>
        <w:widowControl w:val="0"/>
        <w:kinsoku/>
        <w:wordWrap/>
        <w:overflowPunct/>
        <w:autoSpaceDE/>
        <w:autoSpaceDN/>
        <w:bidi w:val="0"/>
        <w:adjustRightInd/>
        <w:snapToGrid/>
        <w:spacing w:line="360" w:lineRule="auto"/>
        <w:ind w:firstLine="3150" w:firstLineChars="1500"/>
        <w:textAlignment w:val="auto"/>
        <w:rPr>
          <w:rFonts w:ascii="宋体" w:hAnsi="宋体"/>
          <w:szCs w:val="21"/>
        </w:rPr>
      </w:pPr>
      <w:r>
        <w:rPr>
          <w:rFonts w:hint="eastAsia" w:ascii="宋体" w:hAnsi="宋体"/>
          <w:szCs w:val="21"/>
        </w:rPr>
        <w:t>投  标  人：(盖单位章)</w:t>
      </w:r>
    </w:p>
    <w:p>
      <w:pPr>
        <w:keepNext w:val="0"/>
        <w:keepLines w:val="0"/>
        <w:pageBreakBefore w:val="0"/>
        <w:widowControl w:val="0"/>
        <w:kinsoku/>
        <w:wordWrap/>
        <w:overflowPunct/>
        <w:autoSpaceDE/>
        <w:autoSpaceDN/>
        <w:bidi w:val="0"/>
        <w:adjustRightInd/>
        <w:snapToGrid/>
        <w:spacing w:line="360" w:lineRule="auto"/>
        <w:textAlignment w:val="auto"/>
        <w:rPr>
          <w:rFonts w:ascii="宋体" w:hAnsi="宋体"/>
          <w:szCs w:val="21"/>
        </w:rPr>
      </w:pPr>
    </w:p>
    <w:p>
      <w:pPr>
        <w:keepNext w:val="0"/>
        <w:keepLines w:val="0"/>
        <w:pageBreakBefore w:val="0"/>
        <w:widowControl w:val="0"/>
        <w:kinsoku/>
        <w:wordWrap/>
        <w:overflowPunct/>
        <w:autoSpaceDE/>
        <w:autoSpaceDN/>
        <w:bidi w:val="0"/>
        <w:adjustRightInd/>
        <w:snapToGrid/>
        <w:spacing w:line="360" w:lineRule="auto"/>
        <w:ind w:firstLine="3150" w:firstLineChars="1500"/>
        <w:textAlignment w:val="auto"/>
        <w:rPr>
          <w:rFonts w:ascii="宋体" w:hAnsi="宋体"/>
          <w:szCs w:val="21"/>
        </w:rPr>
      </w:pPr>
      <w:r>
        <w:rPr>
          <w:rFonts w:hint="eastAsia" w:ascii="宋体" w:hAnsi="宋体"/>
          <w:szCs w:val="21"/>
        </w:rPr>
        <w:t>法定代表人：(签字或盖章)</w:t>
      </w:r>
    </w:p>
    <w:p>
      <w:pPr>
        <w:keepNext w:val="0"/>
        <w:keepLines w:val="0"/>
        <w:pageBreakBefore w:val="0"/>
        <w:widowControl w:val="0"/>
        <w:kinsoku/>
        <w:wordWrap/>
        <w:overflowPunct/>
        <w:autoSpaceDE/>
        <w:autoSpaceDN/>
        <w:bidi w:val="0"/>
        <w:adjustRightInd/>
        <w:snapToGrid/>
        <w:spacing w:line="360" w:lineRule="auto"/>
        <w:textAlignment w:val="auto"/>
        <w:rPr>
          <w:rFonts w:ascii="宋体" w:hAnsi="宋体"/>
          <w:szCs w:val="21"/>
        </w:rPr>
      </w:pPr>
    </w:p>
    <w:p>
      <w:pPr>
        <w:keepNext w:val="0"/>
        <w:keepLines w:val="0"/>
        <w:pageBreakBefore w:val="0"/>
        <w:widowControl w:val="0"/>
        <w:kinsoku/>
        <w:wordWrap/>
        <w:overflowPunct/>
        <w:autoSpaceDE/>
        <w:autoSpaceDN/>
        <w:bidi w:val="0"/>
        <w:adjustRightInd/>
        <w:snapToGrid/>
        <w:spacing w:line="360" w:lineRule="auto"/>
        <w:ind w:firstLine="3150" w:firstLineChars="1500"/>
        <w:textAlignment w:val="auto"/>
        <w:rPr>
          <w:rFonts w:ascii="宋体" w:hAnsi="宋体"/>
          <w:szCs w:val="21"/>
        </w:rPr>
      </w:pPr>
      <w:r>
        <w:rPr>
          <w:rFonts w:hint="eastAsia" w:ascii="宋体" w:hAnsi="宋体"/>
          <w:szCs w:val="21"/>
        </w:rPr>
        <w:t>身份证号码：</w:t>
      </w:r>
    </w:p>
    <w:p>
      <w:pPr>
        <w:keepNext w:val="0"/>
        <w:keepLines w:val="0"/>
        <w:pageBreakBefore w:val="0"/>
        <w:widowControl w:val="0"/>
        <w:kinsoku/>
        <w:wordWrap/>
        <w:overflowPunct/>
        <w:autoSpaceDE/>
        <w:autoSpaceDN/>
        <w:bidi w:val="0"/>
        <w:adjustRightInd/>
        <w:snapToGrid/>
        <w:spacing w:line="360" w:lineRule="auto"/>
        <w:textAlignment w:val="auto"/>
        <w:rPr>
          <w:rFonts w:ascii="宋体" w:hAnsi="宋体"/>
          <w:szCs w:val="21"/>
        </w:rPr>
      </w:pPr>
    </w:p>
    <w:p>
      <w:pPr>
        <w:keepNext w:val="0"/>
        <w:keepLines w:val="0"/>
        <w:pageBreakBefore w:val="0"/>
        <w:widowControl w:val="0"/>
        <w:kinsoku/>
        <w:wordWrap/>
        <w:overflowPunct/>
        <w:autoSpaceDE/>
        <w:autoSpaceDN/>
        <w:bidi w:val="0"/>
        <w:adjustRightInd/>
        <w:snapToGrid/>
        <w:spacing w:line="360" w:lineRule="auto"/>
        <w:ind w:firstLine="3150" w:firstLineChars="1500"/>
        <w:textAlignment w:val="auto"/>
        <w:rPr>
          <w:rFonts w:ascii="宋体" w:hAnsi="宋体"/>
          <w:szCs w:val="21"/>
        </w:rPr>
      </w:pPr>
      <w:r>
        <w:rPr>
          <w:rFonts w:hint="eastAsia" w:ascii="宋体" w:hAnsi="宋体"/>
          <w:szCs w:val="21"/>
        </w:rPr>
        <w:t>委托代理人：</w:t>
      </w:r>
    </w:p>
    <w:p>
      <w:pPr>
        <w:keepNext w:val="0"/>
        <w:keepLines w:val="0"/>
        <w:pageBreakBefore w:val="0"/>
        <w:widowControl w:val="0"/>
        <w:kinsoku/>
        <w:wordWrap/>
        <w:overflowPunct/>
        <w:autoSpaceDE/>
        <w:autoSpaceDN/>
        <w:bidi w:val="0"/>
        <w:adjustRightInd/>
        <w:snapToGrid/>
        <w:spacing w:line="360" w:lineRule="auto"/>
        <w:textAlignment w:val="auto"/>
        <w:rPr>
          <w:rFonts w:ascii="宋体" w:hAnsi="宋体"/>
          <w:szCs w:val="21"/>
        </w:rPr>
      </w:pPr>
    </w:p>
    <w:p>
      <w:pPr>
        <w:keepNext w:val="0"/>
        <w:keepLines w:val="0"/>
        <w:pageBreakBefore w:val="0"/>
        <w:widowControl w:val="0"/>
        <w:kinsoku/>
        <w:wordWrap/>
        <w:overflowPunct/>
        <w:autoSpaceDE/>
        <w:autoSpaceDN/>
        <w:bidi w:val="0"/>
        <w:adjustRightInd/>
        <w:snapToGrid/>
        <w:spacing w:line="360" w:lineRule="auto"/>
        <w:ind w:firstLine="3150" w:firstLineChars="1500"/>
        <w:textAlignment w:val="auto"/>
        <w:rPr>
          <w:rFonts w:ascii="宋体" w:hAnsi="宋体"/>
          <w:szCs w:val="21"/>
        </w:rPr>
      </w:pPr>
      <w:r>
        <w:rPr>
          <w:rFonts w:hint="eastAsia" w:ascii="宋体" w:hAnsi="宋体"/>
          <w:szCs w:val="21"/>
        </w:rPr>
        <w:t>身份证号码：</w:t>
      </w:r>
    </w:p>
    <w:p>
      <w:pPr>
        <w:keepNext w:val="0"/>
        <w:keepLines w:val="0"/>
        <w:pageBreakBefore w:val="0"/>
        <w:widowControl w:val="0"/>
        <w:kinsoku/>
        <w:wordWrap/>
        <w:overflowPunct/>
        <w:autoSpaceDE/>
        <w:autoSpaceDN/>
        <w:bidi w:val="0"/>
        <w:adjustRightInd/>
        <w:snapToGrid/>
        <w:spacing w:line="360" w:lineRule="auto"/>
        <w:textAlignment w:val="auto"/>
        <w:rPr>
          <w:rFonts w:ascii="宋体" w:hAnsi="宋体"/>
          <w:szCs w:val="21"/>
        </w:rPr>
      </w:pPr>
    </w:p>
    <w:p>
      <w:pPr>
        <w:keepNext w:val="0"/>
        <w:keepLines w:val="0"/>
        <w:pageBreakBefore w:val="0"/>
        <w:widowControl w:val="0"/>
        <w:kinsoku/>
        <w:wordWrap/>
        <w:overflowPunct/>
        <w:autoSpaceDE/>
        <w:autoSpaceDN/>
        <w:bidi w:val="0"/>
        <w:adjustRightInd/>
        <w:snapToGrid/>
        <w:spacing w:line="360" w:lineRule="auto"/>
        <w:ind w:firstLine="5040" w:firstLineChars="2400"/>
        <w:textAlignment w:val="auto"/>
        <w:rPr>
          <w:rFonts w:ascii="宋体" w:hAnsi="宋体"/>
          <w:szCs w:val="21"/>
        </w:rPr>
      </w:pPr>
      <w:r>
        <w:rPr>
          <w:rFonts w:hint="eastAsia" w:ascii="宋体" w:hAnsi="宋体"/>
          <w:szCs w:val="21"/>
        </w:rPr>
        <w:t>年月日</w:t>
      </w:r>
    </w:p>
    <w:p>
      <w:pPr>
        <w:spacing w:line="440" w:lineRule="exact"/>
        <w:ind w:firstLine="4410" w:firstLineChars="2100"/>
        <w:rPr>
          <w:rFonts w:ascii="宋体" w:hAnsi="宋体"/>
          <w:szCs w:val="21"/>
        </w:rPr>
      </w:pPr>
    </w:p>
    <w:p>
      <w:pPr>
        <w:spacing w:line="440" w:lineRule="exact"/>
        <w:ind w:firstLine="4410" w:firstLineChars="2100"/>
        <w:rPr>
          <w:rFonts w:ascii="宋体"/>
          <w:szCs w:val="21"/>
        </w:rPr>
      </w:pPr>
    </w:p>
    <w:p>
      <w:pPr>
        <w:spacing w:line="440" w:lineRule="exact"/>
        <w:ind w:firstLine="4410" w:firstLineChars="2100"/>
        <w:rPr>
          <w:rFonts w:ascii="宋体"/>
          <w:szCs w:val="21"/>
        </w:rPr>
      </w:pPr>
    </w:p>
    <w:p>
      <w:pPr>
        <w:spacing w:line="440" w:lineRule="exact"/>
        <w:ind w:firstLine="4410" w:firstLineChars="2100"/>
        <w:rPr>
          <w:rFonts w:ascii="宋体"/>
          <w:szCs w:val="21"/>
        </w:rPr>
      </w:pPr>
    </w:p>
    <w:p>
      <w:pPr>
        <w:spacing w:line="440" w:lineRule="exact"/>
        <w:ind w:firstLine="4410" w:firstLineChars="2100"/>
        <w:rPr>
          <w:rFonts w:ascii="宋体"/>
          <w:szCs w:val="21"/>
        </w:rPr>
      </w:pPr>
    </w:p>
    <w:p>
      <w:pPr>
        <w:spacing w:line="440" w:lineRule="exact"/>
        <w:ind w:firstLine="4410" w:firstLineChars="2100"/>
        <w:rPr>
          <w:rFonts w:ascii="宋体"/>
          <w:szCs w:val="21"/>
        </w:rPr>
      </w:pPr>
    </w:p>
    <w:p>
      <w:pPr>
        <w:widowControl/>
        <w:jc w:val="left"/>
        <w:rPr>
          <w:rFonts w:ascii="宋体"/>
          <w:kern w:val="0"/>
          <w:szCs w:val="21"/>
        </w:rPr>
        <w:sectPr>
          <w:footerReference r:id="rId3" w:type="default"/>
          <w:footerReference r:id="rId4" w:type="even"/>
          <w:pgSz w:w="11906" w:h="16838"/>
          <w:pgMar w:top="1276" w:right="1133" w:bottom="1276" w:left="1797" w:header="851" w:footer="992" w:gutter="0"/>
          <w:cols w:space="720" w:num="1"/>
          <w:titlePg/>
        </w:sectPr>
      </w:pPr>
    </w:p>
    <w:p>
      <w:pPr>
        <w:pStyle w:val="4"/>
      </w:pPr>
      <w:bookmarkStart w:id="294" w:name="_Toc241484773"/>
      <w:bookmarkStart w:id="295" w:name="_Toc241459821"/>
      <w:bookmarkStart w:id="296" w:name="_Toc275956223"/>
      <w:bookmarkStart w:id="297" w:name="_Toc152045795"/>
      <w:bookmarkStart w:id="298" w:name="_Toc152042584"/>
      <w:bookmarkStart w:id="299" w:name="_Toc275956224"/>
      <w:bookmarkStart w:id="300" w:name="_Toc179632815"/>
      <w:bookmarkStart w:id="301" w:name="_Toc144974863"/>
      <w:bookmarkStart w:id="302" w:name="_Toc241459822"/>
      <w:bookmarkStart w:id="303" w:name="_Toc241484774"/>
      <w:r>
        <w:rPr>
          <w:rFonts w:hint="eastAsia"/>
        </w:rPr>
        <w:t>四、</w:t>
      </w:r>
      <w:bookmarkEnd w:id="294"/>
      <w:bookmarkEnd w:id="295"/>
      <w:r>
        <w:rPr>
          <w:rFonts w:hint="eastAsia"/>
        </w:rPr>
        <w:t>投标保证金</w:t>
      </w:r>
      <w:bookmarkEnd w:id="296"/>
      <w:r>
        <w:rPr>
          <w:rFonts w:hint="eastAsia"/>
        </w:rPr>
        <w:t>缴纳证明</w:t>
      </w:r>
    </w:p>
    <w:bookmarkEnd w:id="297"/>
    <w:bookmarkEnd w:id="298"/>
    <w:bookmarkEnd w:id="299"/>
    <w:bookmarkEnd w:id="300"/>
    <w:bookmarkEnd w:id="301"/>
    <w:bookmarkEnd w:id="302"/>
    <w:bookmarkEnd w:id="303"/>
    <w:p>
      <w:pPr>
        <w:pStyle w:val="4"/>
        <w:rPr>
          <w:b w:val="0"/>
          <w:bCs w:val="0"/>
          <w:szCs w:val="21"/>
        </w:rPr>
      </w:pPr>
    </w:p>
    <w:p>
      <w:pPr>
        <w:pStyle w:val="4"/>
      </w:pPr>
      <w:r>
        <w:rPr>
          <w:rFonts w:hint="eastAsia"/>
          <w:b w:val="0"/>
          <w:bCs w:val="0"/>
          <w:szCs w:val="21"/>
        </w:rPr>
        <w:t>五</w:t>
      </w:r>
      <w:r>
        <w:rPr>
          <w:rFonts w:hint="eastAsia"/>
        </w:rPr>
        <w:t>、已标价工程量清单</w:t>
      </w:r>
    </w:p>
    <w:p/>
    <w:p>
      <w:pPr>
        <w:keepNext w:val="0"/>
        <w:keepLines w:val="0"/>
        <w:pageBreakBefore w:val="0"/>
        <w:widowControl w:val="0"/>
        <w:kinsoku/>
        <w:wordWrap/>
        <w:overflowPunct/>
        <w:topLinePunct w:val="0"/>
        <w:autoSpaceDE/>
        <w:autoSpaceDN/>
        <w:bidi w:val="0"/>
        <w:adjustRightInd/>
        <w:snapToGrid/>
        <w:spacing w:line="360" w:lineRule="auto"/>
        <w:textAlignment w:val="auto"/>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Cs w:val="21"/>
        </w:rPr>
      </w:pPr>
      <w:r>
        <w:rPr>
          <w:rFonts w:hint="eastAsia" w:ascii="黑体" w:hAnsi="宋体" w:eastAsia="黑体"/>
          <w:szCs w:val="21"/>
        </w:rPr>
        <w:t>说明：</w:t>
      </w:r>
      <w:r>
        <w:rPr>
          <w:rFonts w:hint="eastAsia" w:ascii="宋体" w:hAnsi="宋体"/>
          <w:szCs w:val="21"/>
        </w:rPr>
        <w:t>已标价工程量清单按</w:t>
      </w:r>
      <w:r>
        <w:fldChar w:fldCharType="begin"/>
      </w:r>
      <w:r>
        <w:instrText xml:space="preserve"> HYPERLINK "file:///H:\\泰州招标文件范本\\泰州市房屋建筑和市政工程施工2016.4.docx" \l "_第五章__工程量清单" </w:instrText>
      </w:r>
      <w:r>
        <w:fldChar w:fldCharType="separate"/>
      </w:r>
      <w:r>
        <w:rPr>
          <w:rStyle w:val="18"/>
          <w:rFonts w:hint="eastAsia" w:ascii="宋体" w:hAnsi="宋体"/>
          <w:color w:val="auto"/>
          <w:szCs w:val="21"/>
        </w:rPr>
        <w:t>第五章“工程量清单”</w:t>
      </w:r>
      <w:r>
        <w:rPr>
          <w:rStyle w:val="18"/>
          <w:rFonts w:hint="eastAsia" w:ascii="宋体" w:hAnsi="宋体"/>
          <w:color w:val="auto"/>
          <w:szCs w:val="21"/>
        </w:rPr>
        <w:fldChar w:fldCharType="end"/>
      </w:r>
      <w:r>
        <w:rPr>
          <w:rFonts w:hint="eastAsia" w:ascii="宋体" w:hAnsi="宋体"/>
          <w:szCs w:val="21"/>
        </w:rPr>
        <w:t>中的相关清单表格式填写。构成合同文件的已标价工程量清单包括第五章“工程量清单”有关工程量清单、投标报价以及其他说明的内容。</w:t>
      </w:r>
    </w:p>
    <w:p>
      <w:pPr>
        <w:rPr>
          <w:rFonts w:ascii="宋体"/>
          <w:kern w:val="0"/>
          <w:szCs w:val="21"/>
        </w:rPr>
      </w:pPr>
    </w:p>
    <w:p>
      <w:pPr>
        <w:rPr>
          <w:rFonts w:ascii="宋体"/>
          <w:kern w:val="0"/>
          <w:szCs w:val="21"/>
        </w:rPr>
      </w:pPr>
    </w:p>
    <w:p>
      <w:pPr>
        <w:rPr>
          <w:rFonts w:ascii="宋体"/>
          <w:kern w:val="0"/>
          <w:szCs w:val="21"/>
        </w:rPr>
      </w:pPr>
    </w:p>
    <w:p>
      <w:pPr>
        <w:rPr>
          <w:rFonts w:ascii="宋体"/>
          <w:kern w:val="0"/>
          <w:szCs w:val="21"/>
        </w:rPr>
      </w:pPr>
    </w:p>
    <w:p>
      <w:pPr>
        <w:rPr>
          <w:rFonts w:ascii="宋体"/>
          <w:kern w:val="0"/>
          <w:szCs w:val="21"/>
        </w:rPr>
      </w:pPr>
    </w:p>
    <w:p>
      <w:pPr>
        <w:rPr>
          <w:rFonts w:ascii="宋体"/>
          <w:kern w:val="0"/>
          <w:szCs w:val="21"/>
        </w:rPr>
      </w:pPr>
    </w:p>
    <w:p>
      <w:pPr>
        <w:rPr>
          <w:rFonts w:ascii="宋体"/>
          <w:kern w:val="0"/>
          <w:szCs w:val="21"/>
        </w:rPr>
      </w:pPr>
    </w:p>
    <w:p>
      <w:pPr>
        <w:rPr>
          <w:rFonts w:ascii="宋体"/>
          <w:kern w:val="0"/>
          <w:szCs w:val="21"/>
        </w:rPr>
      </w:pPr>
    </w:p>
    <w:p>
      <w:pPr>
        <w:rPr>
          <w:rFonts w:ascii="宋体"/>
          <w:kern w:val="0"/>
          <w:szCs w:val="21"/>
        </w:rPr>
      </w:pPr>
    </w:p>
    <w:p>
      <w:pPr>
        <w:rPr>
          <w:rFonts w:ascii="宋体"/>
          <w:kern w:val="0"/>
          <w:szCs w:val="21"/>
        </w:rPr>
      </w:pPr>
    </w:p>
    <w:p>
      <w:pPr>
        <w:rPr>
          <w:rFonts w:ascii="宋体"/>
          <w:kern w:val="0"/>
          <w:szCs w:val="21"/>
        </w:rPr>
      </w:pPr>
    </w:p>
    <w:p>
      <w:pPr>
        <w:rPr>
          <w:rFonts w:ascii="宋体"/>
          <w:kern w:val="0"/>
          <w:szCs w:val="21"/>
        </w:rPr>
      </w:pPr>
    </w:p>
    <w:p>
      <w:pPr>
        <w:rPr>
          <w:rFonts w:ascii="宋体"/>
          <w:kern w:val="0"/>
          <w:szCs w:val="21"/>
        </w:rPr>
      </w:pPr>
    </w:p>
    <w:p>
      <w:pPr>
        <w:rPr>
          <w:rFonts w:ascii="宋体"/>
          <w:kern w:val="0"/>
          <w:szCs w:val="21"/>
        </w:rPr>
      </w:pPr>
    </w:p>
    <w:p>
      <w:pPr>
        <w:rPr>
          <w:rFonts w:ascii="宋体"/>
          <w:kern w:val="0"/>
          <w:szCs w:val="21"/>
        </w:rPr>
      </w:pPr>
    </w:p>
    <w:p>
      <w:pPr>
        <w:rPr>
          <w:rFonts w:ascii="宋体"/>
          <w:kern w:val="0"/>
          <w:szCs w:val="21"/>
        </w:rPr>
      </w:pPr>
    </w:p>
    <w:p>
      <w:pPr>
        <w:rPr>
          <w:rFonts w:ascii="宋体"/>
          <w:kern w:val="0"/>
          <w:szCs w:val="21"/>
        </w:rPr>
      </w:pPr>
    </w:p>
    <w:p>
      <w:pPr>
        <w:rPr>
          <w:rFonts w:ascii="宋体"/>
          <w:kern w:val="0"/>
          <w:szCs w:val="21"/>
        </w:rPr>
      </w:pPr>
    </w:p>
    <w:p>
      <w:pPr>
        <w:rPr>
          <w:rFonts w:ascii="宋体"/>
          <w:kern w:val="0"/>
          <w:szCs w:val="21"/>
        </w:rPr>
      </w:pPr>
    </w:p>
    <w:p>
      <w:pPr>
        <w:rPr>
          <w:rFonts w:ascii="宋体"/>
          <w:kern w:val="0"/>
          <w:szCs w:val="21"/>
        </w:rPr>
      </w:pPr>
    </w:p>
    <w:p>
      <w:pPr>
        <w:rPr>
          <w:rFonts w:ascii="宋体"/>
          <w:kern w:val="0"/>
          <w:szCs w:val="21"/>
        </w:rPr>
      </w:pPr>
    </w:p>
    <w:p>
      <w:pPr>
        <w:rPr>
          <w:rFonts w:ascii="宋体"/>
          <w:kern w:val="0"/>
          <w:szCs w:val="21"/>
        </w:rPr>
      </w:pPr>
    </w:p>
    <w:p>
      <w:pPr>
        <w:rPr>
          <w:rFonts w:ascii="宋体"/>
          <w:kern w:val="0"/>
          <w:szCs w:val="21"/>
        </w:rPr>
      </w:pPr>
    </w:p>
    <w:p>
      <w:pPr>
        <w:rPr>
          <w:rFonts w:ascii="宋体"/>
          <w:kern w:val="0"/>
          <w:szCs w:val="21"/>
        </w:rPr>
      </w:pPr>
    </w:p>
    <w:p>
      <w:pPr>
        <w:rPr>
          <w:rFonts w:ascii="宋体"/>
          <w:kern w:val="0"/>
          <w:szCs w:val="21"/>
        </w:rPr>
      </w:pPr>
    </w:p>
    <w:p>
      <w:pPr>
        <w:rPr>
          <w:rFonts w:ascii="宋体"/>
          <w:kern w:val="0"/>
          <w:szCs w:val="21"/>
        </w:rPr>
      </w:pPr>
    </w:p>
    <w:p>
      <w:pPr>
        <w:rPr>
          <w:rFonts w:ascii="宋体"/>
          <w:kern w:val="0"/>
          <w:szCs w:val="21"/>
        </w:rPr>
      </w:pPr>
    </w:p>
    <w:p>
      <w:pPr>
        <w:rPr>
          <w:rFonts w:ascii="宋体"/>
          <w:kern w:val="0"/>
          <w:szCs w:val="21"/>
        </w:rPr>
      </w:pPr>
    </w:p>
    <w:p>
      <w:pPr>
        <w:rPr>
          <w:rFonts w:ascii="宋体"/>
          <w:kern w:val="0"/>
          <w:szCs w:val="21"/>
        </w:rPr>
      </w:pPr>
    </w:p>
    <w:p>
      <w:pPr>
        <w:pStyle w:val="32"/>
        <w:spacing w:before="0"/>
        <w:outlineLvl w:val="0"/>
        <w:rPr>
          <w:szCs w:val="28"/>
        </w:rPr>
      </w:pPr>
      <w:bookmarkStart w:id="304" w:name="_Toc362253055"/>
    </w:p>
    <w:p>
      <w:pPr>
        <w:pStyle w:val="32"/>
        <w:spacing w:before="0"/>
        <w:outlineLvl w:val="0"/>
        <w:rPr>
          <w:rFonts w:ascii="Arial" w:hAnsi="Arial" w:cs="Times New Roman"/>
          <w:b/>
          <w:bCs/>
          <w:sz w:val="32"/>
          <w:szCs w:val="32"/>
        </w:rPr>
      </w:pPr>
      <w:r>
        <w:rPr>
          <w:rFonts w:hint="eastAsia" w:ascii="Arial" w:hAnsi="Arial" w:cs="Times New Roman"/>
          <w:b/>
          <w:bCs/>
          <w:sz w:val="32"/>
          <w:szCs w:val="32"/>
        </w:rPr>
        <w:t>六、</w:t>
      </w:r>
      <w:bookmarkEnd w:id="304"/>
      <w:r>
        <w:rPr>
          <w:rFonts w:hint="eastAsia" w:ascii="Arial" w:hAnsi="Arial" w:cs="Times New Roman"/>
          <w:b/>
          <w:bCs/>
          <w:sz w:val="32"/>
          <w:szCs w:val="32"/>
        </w:rPr>
        <w:t>项目经理简历表</w:t>
      </w:r>
    </w:p>
    <w:p>
      <w:pPr>
        <w:pStyle w:val="5"/>
        <w:rPr>
          <w:rFonts w:ascii="黑体"/>
          <w:sz w:val="24"/>
        </w:rPr>
      </w:pPr>
    </w:p>
    <w:p>
      <w:pPr>
        <w:spacing w:line="400" w:lineRule="exact"/>
      </w:pPr>
    </w:p>
    <w:tbl>
      <w:tblPr>
        <w:tblStyle w:val="1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164"/>
        <w:gridCol w:w="962"/>
        <w:gridCol w:w="1030"/>
        <w:gridCol w:w="1663"/>
        <w:gridCol w:w="2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101" w:type="dxa"/>
            <w:vAlign w:val="center"/>
          </w:tcPr>
          <w:p>
            <w:pPr>
              <w:spacing w:line="440" w:lineRule="exact"/>
              <w:jc w:val="center"/>
              <w:rPr>
                <w:rFonts w:ascii="宋体"/>
                <w:szCs w:val="21"/>
              </w:rPr>
            </w:pPr>
            <w:r>
              <w:rPr>
                <w:rFonts w:hint="eastAsia" w:ascii="宋体" w:hAnsi="宋体"/>
                <w:szCs w:val="21"/>
              </w:rPr>
              <w:t>姓名</w:t>
            </w:r>
          </w:p>
        </w:tc>
        <w:tc>
          <w:tcPr>
            <w:tcW w:w="1164" w:type="dxa"/>
            <w:vAlign w:val="center"/>
          </w:tcPr>
          <w:p>
            <w:pPr>
              <w:spacing w:line="440" w:lineRule="exact"/>
              <w:jc w:val="center"/>
              <w:rPr>
                <w:rFonts w:ascii="宋体"/>
                <w:szCs w:val="21"/>
              </w:rPr>
            </w:pPr>
          </w:p>
        </w:tc>
        <w:tc>
          <w:tcPr>
            <w:tcW w:w="962" w:type="dxa"/>
            <w:vAlign w:val="center"/>
          </w:tcPr>
          <w:p>
            <w:pPr>
              <w:spacing w:line="440" w:lineRule="exact"/>
              <w:jc w:val="center"/>
              <w:rPr>
                <w:rFonts w:ascii="宋体"/>
                <w:szCs w:val="21"/>
              </w:rPr>
            </w:pPr>
            <w:r>
              <w:rPr>
                <w:rFonts w:hint="eastAsia" w:ascii="宋体" w:hAnsi="宋体"/>
                <w:szCs w:val="21"/>
              </w:rPr>
              <w:t>年龄</w:t>
            </w:r>
          </w:p>
        </w:tc>
        <w:tc>
          <w:tcPr>
            <w:tcW w:w="1030" w:type="dxa"/>
            <w:vAlign w:val="center"/>
          </w:tcPr>
          <w:p>
            <w:pPr>
              <w:spacing w:line="440" w:lineRule="exact"/>
              <w:jc w:val="center"/>
              <w:rPr>
                <w:rFonts w:ascii="宋体"/>
                <w:szCs w:val="21"/>
              </w:rPr>
            </w:pPr>
          </w:p>
        </w:tc>
        <w:tc>
          <w:tcPr>
            <w:tcW w:w="1663" w:type="dxa"/>
            <w:vAlign w:val="center"/>
          </w:tcPr>
          <w:p>
            <w:pPr>
              <w:spacing w:line="440" w:lineRule="exact"/>
              <w:jc w:val="center"/>
              <w:rPr>
                <w:rFonts w:ascii="宋体"/>
                <w:szCs w:val="21"/>
              </w:rPr>
            </w:pPr>
            <w:r>
              <w:rPr>
                <w:rFonts w:hint="eastAsia" w:ascii="宋体" w:hAnsi="宋体"/>
                <w:szCs w:val="21"/>
              </w:rPr>
              <w:t>身份证号</w:t>
            </w:r>
          </w:p>
        </w:tc>
        <w:tc>
          <w:tcPr>
            <w:tcW w:w="2602" w:type="dxa"/>
            <w:vAlign w:val="center"/>
          </w:tcPr>
          <w:p>
            <w:pPr>
              <w:spacing w:line="440" w:lineRule="exact"/>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pPr>
              <w:spacing w:line="440" w:lineRule="exact"/>
              <w:jc w:val="center"/>
              <w:rPr>
                <w:rFonts w:ascii="宋体"/>
                <w:szCs w:val="21"/>
              </w:rPr>
            </w:pPr>
            <w:r>
              <w:rPr>
                <w:rFonts w:hint="eastAsia" w:ascii="宋体" w:hAnsi="宋体"/>
                <w:szCs w:val="21"/>
              </w:rPr>
              <w:t>学历</w:t>
            </w:r>
          </w:p>
        </w:tc>
        <w:tc>
          <w:tcPr>
            <w:tcW w:w="1164" w:type="dxa"/>
            <w:vAlign w:val="center"/>
          </w:tcPr>
          <w:p>
            <w:pPr>
              <w:spacing w:line="440" w:lineRule="exact"/>
              <w:jc w:val="center"/>
              <w:rPr>
                <w:rFonts w:ascii="宋体"/>
                <w:szCs w:val="21"/>
              </w:rPr>
            </w:pPr>
          </w:p>
        </w:tc>
        <w:tc>
          <w:tcPr>
            <w:tcW w:w="962" w:type="dxa"/>
            <w:vAlign w:val="center"/>
          </w:tcPr>
          <w:p>
            <w:pPr>
              <w:spacing w:line="440" w:lineRule="exact"/>
              <w:jc w:val="center"/>
              <w:rPr>
                <w:rFonts w:ascii="宋体"/>
                <w:szCs w:val="21"/>
              </w:rPr>
            </w:pPr>
            <w:r>
              <w:rPr>
                <w:rFonts w:hint="eastAsia" w:ascii="宋体" w:hAnsi="宋体"/>
                <w:szCs w:val="21"/>
              </w:rPr>
              <w:t>职称</w:t>
            </w:r>
          </w:p>
        </w:tc>
        <w:tc>
          <w:tcPr>
            <w:tcW w:w="1030" w:type="dxa"/>
            <w:vAlign w:val="center"/>
          </w:tcPr>
          <w:p>
            <w:pPr>
              <w:spacing w:line="440" w:lineRule="exact"/>
              <w:jc w:val="center"/>
              <w:rPr>
                <w:rFonts w:ascii="宋体"/>
                <w:szCs w:val="21"/>
              </w:rPr>
            </w:pPr>
          </w:p>
        </w:tc>
        <w:tc>
          <w:tcPr>
            <w:tcW w:w="1663" w:type="dxa"/>
            <w:vAlign w:val="center"/>
          </w:tcPr>
          <w:p>
            <w:pPr>
              <w:spacing w:line="440" w:lineRule="exact"/>
              <w:jc w:val="center"/>
              <w:rPr>
                <w:rFonts w:ascii="宋体"/>
                <w:szCs w:val="21"/>
              </w:rPr>
            </w:pPr>
            <w:r>
              <w:rPr>
                <w:rFonts w:hint="eastAsia" w:ascii="宋体" w:hAnsi="宋体"/>
                <w:szCs w:val="21"/>
              </w:rPr>
              <w:t>职务</w:t>
            </w:r>
          </w:p>
        </w:tc>
        <w:tc>
          <w:tcPr>
            <w:tcW w:w="2602" w:type="dxa"/>
            <w:vAlign w:val="center"/>
          </w:tcPr>
          <w:p>
            <w:pPr>
              <w:spacing w:line="440" w:lineRule="exact"/>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27" w:type="dxa"/>
            <w:gridSpan w:val="3"/>
            <w:vAlign w:val="center"/>
          </w:tcPr>
          <w:p>
            <w:pPr>
              <w:spacing w:line="440" w:lineRule="exact"/>
              <w:jc w:val="center"/>
              <w:rPr>
                <w:rFonts w:ascii="宋体"/>
                <w:szCs w:val="21"/>
              </w:rPr>
            </w:pPr>
            <w:r>
              <w:rPr>
                <w:rFonts w:hint="eastAsia" w:ascii="宋体" w:hAnsi="宋体"/>
                <w:szCs w:val="21"/>
              </w:rPr>
              <w:t>注册建造师执业资格等级</w:t>
            </w:r>
          </w:p>
        </w:tc>
        <w:tc>
          <w:tcPr>
            <w:tcW w:w="1030" w:type="dxa"/>
            <w:vAlign w:val="center"/>
          </w:tcPr>
          <w:p>
            <w:pPr>
              <w:spacing w:line="440" w:lineRule="exact"/>
              <w:ind w:firstLine="525" w:firstLineChars="250"/>
              <w:rPr>
                <w:rFonts w:ascii="宋体"/>
                <w:szCs w:val="21"/>
              </w:rPr>
            </w:pPr>
            <w:r>
              <w:rPr>
                <w:rFonts w:hint="eastAsia" w:ascii="宋体" w:hAnsi="宋体"/>
                <w:szCs w:val="21"/>
              </w:rPr>
              <w:t>级</w:t>
            </w:r>
          </w:p>
        </w:tc>
        <w:tc>
          <w:tcPr>
            <w:tcW w:w="1663" w:type="dxa"/>
            <w:vAlign w:val="center"/>
          </w:tcPr>
          <w:p>
            <w:pPr>
              <w:spacing w:line="440" w:lineRule="exact"/>
              <w:jc w:val="center"/>
              <w:rPr>
                <w:rFonts w:ascii="宋体"/>
                <w:szCs w:val="21"/>
              </w:rPr>
            </w:pPr>
            <w:r>
              <w:rPr>
                <w:rFonts w:hint="eastAsia" w:ascii="宋体" w:hAnsi="宋体"/>
                <w:szCs w:val="21"/>
              </w:rPr>
              <w:t>建造师专业</w:t>
            </w:r>
          </w:p>
        </w:tc>
        <w:tc>
          <w:tcPr>
            <w:tcW w:w="2602" w:type="dxa"/>
            <w:vAlign w:val="center"/>
          </w:tcPr>
          <w:p>
            <w:pPr>
              <w:spacing w:line="440" w:lineRule="exact"/>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27" w:type="dxa"/>
            <w:gridSpan w:val="3"/>
            <w:vAlign w:val="center"/>
          </w:tcPr>
          <w:p>
            <w:pPr>
              <w:spacing w:line="440" w:lineRule="exact"/>
              <w:jc w:val="center"/>
              <w:rPr>
                <w:rFonts w:ascii="宋体"/>
                <w:szCs w:val="21"/>
              </w:rPr>
            </w:pPr>
            <w:r>
              <w:rPr>
                <w:rFonts w:hint="eastAsia" w:ascii="宋体" w:hAnsi="宋体"/>
                <w:szCs w:val="21"/>
              </w:rPr>
              <w:t>安全生产考核合格证书</w:t>
            </w:r>
          </w:p>
        </w:tc>
        <w:tc>
          <w:tcPr>
            <w:tcW w:w="5295" w:type="dxa"/>
            <w:gridSpan w:val="3"/>
            <w:vAlign w:val="center"/>
          </w:tcPr>
          <w:p>
            <w:pPr>
              <w:spacing w:line="440" w:lineRule="exact"/>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pPr>
              <w:spacing w:line="440" w:lineRule="exact"/>
              <w:jc w:val="center"/>
              <w:rPr>
                <w:rFonts w:ascii="宋体"/>
                <w:szCs w:val="21"/>
              </w:rPr>
            </w:pPr>
            <w:r>
              <w:rPr>
                <w:rFonts w:hint="eastAsia" w:ascii="宋体" w:hAnsi="宋体"/>
                <w:szCs w:val="21"/>
              </w:rPr>
              <w:t>毕业学校</w:t>
            </w:r>
          </w:p>
        </w:tc>
        <w:tc>
          <w:tcPr>
            <w:tcW w:w="7421" w:type="dxa"/>
            <w:gridSpan w:val="5"/>
          </w:tcPr>
          <w:p>
            <w:pPr>
              <w:spacing w:line="440" w:lineRule="exact"/>
              <w:ind w:firstLine="1365" w:firstLineChars="650"/>
              <w:rPr>
                <w:rFonts w:ascii="宋体"/>
                <w:szCs w:val="21"/>
              </w:rPr>
            </w:pPr>
            <w:r>
              <w:rPr>
                <w:rFonts w:hint="eastAsia" w:ascii="宋体" w:hAnsi="宋体"/>
                <w:szCs w:val="21"/>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6"/>
            <w:vAlign w:val="center"/>
          </w:tcPr>
          <w:p>
            <w:pPr>
              <w:spacing w:line="440" w:lineRule="exact"/>
              <w:jc w:val="center"/>
              <w:rPr>
                <w:rFonts w:ascii="宋体"/>
                <w:szCs w:val="21"/>
              </w:rPr>
            </w:pPr>
            <w:r>
              <w:rPr>
                <w:rFonts w:hint="eastAsia" w:ascii="宋体" w:hAnsi="宋体"/>
                <w:szCs w:val="21"/>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01" w:type="dxa"/>
            <w:vAlign w:val="center"/>
          </w:tcPr>
          <w:p>
            <w:pPr>
              <w:spacing w:line="440" w:lineRule="exact"/>
              <w:jc w:val="center"/>
              <w:rPr>
                <w:rFonts w:ascii="宋体"/>
                <w:szCs w:val="21"/>
              </w:rPr>
            </w:pPr>
            <w:r>
              <w:rPr>
                <w:rFonts w:hint="eastAsia" w:ascii="宋体" w:hAnsi="宋体"/>
                <w:szCs w:val="21"/>
              </w:rPr>
              <w:t>时间</w:t>
            </w:r>
          </w:p>
        </w:tc>
        <w:tc>
          <w:tcPr>
            <w:tcW w:w="3156" w:type="dxa"/>
            <w:gridSpan w:val="3"/>
            <w:vAlign w:val="center"/>
          </w:tcPr>
          <w:p>
            <w:pPr>
              <w:spacing w:line="440" w:lineRule="exact"/>
              <w:jc w:val="center"/>
              <w:rPr>
                <w:rFonts w:ascii="宋体"/>
                <w:szCs w:val="21"/>
              </w:rPr>
            </w:pPr>
            <w:r>
              <w:rPr>
                <w:rFonts w:hint="eastAsia" w:ascii="宋体" w:hAnsi="宋体"/>
                <w:szCs w:val="21"/>
              </w:rPr>
              <w:t>参加过的类似项目名称</w:t>
            </w:r>
          </w:p>
        </w:tc>
        <w:tc>
          <w:tcPr>
            <w:tcW w:w="1663" w:type="dxa"/>
            <w:vAlign w:val="center"/>
          </w:tcPr>
          <w:p>
            <w:pPr>
              <w:spacing w:line="440" w:lineRule="exact"/>
              <w:jc w:val="center"/>
              <w:rPr>
                <w:rFonts w:ascii="宋体"/>
                <w:szCs w:val="21"/>
              </w:rPr>
            </w:pPr>
            <w:r>
              <w:rPr>
                <w:rFonts w:hint="eastAsia" w:ascii="宋体" w:hAnsi="宋体"/>
                <w:szCs w:val="21"/>
              </w:rPr>
              <w:t>工程概况说明</w:t>
            </w:r>
          </w:p>
        </w:tc>
        <w:tc>
          <w:tcPr>
            <w:tcW w:w="2602" w:type="dxa"/>
            <w:vAlign w:val="center"/>
          </w:tcPr>
          <w:p>
            <w:pPr>
              <w:spacing w:line="440" w:lineRule="exact"/>
              <w:jc w:val="center"/>
              <w:rPr>
                <w:rFonts w:ascii="宋体"/>
                <w:szCs w:val="21"/>
              </w:rPr>
            </w:pPr>
            <w:r>
              <w:rPr>
                <w:rFonts w:hint="eastAsia" w:ascii="宋体" w:hAnsi="宋体"/>
                <w:szCs w:val="21"/>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101" w:type="dxa"/>
          </w:tcPr>
          <w:p>
            <w:pPr>
              <w:spacing w:line="440" w:lineRule="exact"/>
              <w:rPr>
                <w:rFonts w:ascii="宋体"/>
                <w:szCs w:val="21"/>
              </w:rPr>
            </w:pPr>
          </w:p>
        </w:tc>
        <w:tc>
          <w:tcPr>
            <w:tcW w:w="3156" w:type="dxa"/>
            <w:gridSpan w:val="3"/>
          </w:tcPr>
          <w:p>
            <w:pPr>
              <w:spacing w:line="440" w:lineRule="exact"/>
              <w:rPr>
                <w:rFonts w:ascii="宋体"/>
                <w:szCs w:val="21"/>
              </w:rPr>
            </w:pPr>
          </w:p>
        </w:tc>
        <w:tc>
          <w:tcPr>
            <w:tcW w:w="1663" w:type="dxa"/>
          </w:tcPr>
          <w:p>
            <w:pPr>
              <w:spacing w:line="440" w:lineRule="exact"/>
              <w:rPr>
                <w:rFonts w:ascii="宋体"/>
                <w:szCs w:val="21"/>
              </w:rPr>
            </w:pPr>
          </w:p>
        </w:tc>
        <w:tc>
          <w:tcPr>
            <w:tcW w:w="2602" w:type="dxa"/>
          </w:tcPr>
          <w:p>
            <w:pPr>
              <w:spacing w:line="440" w:lineRule="exact"/>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101" w:type="dxa"/>
            <w:vAlign w:val="center"/>
          </w:tcPr>
          <w:p>
            <w:pPr>
              <w:spacing w:line="440" w:lineRule="exact"/>
              <w:rPr>
                <w:rFonts w:eastAsia="黑体"/>
                <w:szCs w:val="21"/>
              </w:rPr>
            </w:pPr>
          </w:p>
        </w:tc>
        <w:tc>
          <w:tcPr>
            <w:tcW w:w="3156" w:type="dxa"/>
            <w:gridSpan w:val="3"/>
            <w:vAlign w:val="center"/>
          </w:tcPr>
          <w:p>
            <w:pPr>
              <w:spacing w:line="440" w:lineRule="exact"/>
              <w:rPr>
                <w:rFonts w:eastAsia="黑体"/>
                <w:szCs w:val="21"/>
              </w:rPr>
            </w:pPr>
          </w:p>
        </w:tc>
        <w:tc>
          <w:tcPr>
            <w:tcW w:w="1663" w:type="dxa"/>
            <w:vAlign w:val="center"/>
          </w:tcPr>
          <w:p>
            <w:pPr>
              <w:spacing w:line="440" w:lineRule="exact"/>
              <w:rPr>
                <w:rFonts w:eastAsia="黑体"/>
                <w:szCs w:val="21"/>
              </w:rPr>
            </w:pPr>
          </w:p>
        </w:tc>
        <w:tc>
          <w:tcPr>
            <w:tcW w:w="2602" w:type="dxa"/>
            <w:vAlign w:val="center"/>
          </w:tcPr>
          <w:p>
            <w:pPr>
              <w:spacing w:line="440" w:lineRule="exact"/>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101" w:type="dxa"/>
            <w:vAlign w:val="center"/>
          </w:tcPr>
          <w:p>
            <w:pPr>
              <w:spacing w:line="440" w:lineRule="exact"/>
              <w:rPr>
                <w:rFonts w:eastAsia="黑体"/>
                <w:szCs w:val="21"/>
              </w:rPr>
            </w:pPr>
          </w:p>
        </w:tc>
        <w:tc>
          <w:tcPr>
            <w:tcW w:w="3156" w:type="dxa"/>
            <w:gridSpan w:val="3"/>
            <w:vAlign w:val="center"/>
          </w:tcPr>
          <w:p>
            <w:pPr>
              <w:spacing w:line="440" w:lineRule="exact"/>
              <w:rPr>
                <w:rFonts w:eastAsia="黑体"/>
                <w:szCs w:val="21"/>
              </w:rPr>
            </w:pPr>
          </w:p>
        </w:tc>
        <w:tc>
          <w:tcPr>
            <w:tcW w:w="1663" w:type="dxa"/>
            <w:vAlign w:val="center"/>
          </w:tcPr>
          <w:p>
            <w:pPr>
              <w:spacing w:line="440" w:lineRule="exact"/>
              <w:rPr>
                <w:rFonts w:eastAsia="黑体"/>
                <w:szCs w:val="21"/>
              </w:rPr>
            </w:pPr>
          </w:p>
        </w:tc>
        <w:tc>
          <w:tcPr>
            <w:tcW w:w="2602" w:type="dxa"/>
            <w:vAlign w:val="center"/>
          </w:tcPr>
          <w:p>
            <w:pPr>
              <w:spacing w:line="440" w:lineRule="exact"/>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101" w:type="dxa"/>
            <w:vAlign w:val="center"/>
          </w:tcPr>
          <w:p>
            <w:pPr>
              <w:spacing w:line="440" w:lineRule="exact"/>
              <w:rPr>
                <w:rFonts w:eastAsia="黑体"/>
                <w:szCs w:val="21"/>
              </w:rPr>
            </w:pPr>
          </w:p>
        </w:tc>
        <w:tc>
          <w:tcPr>
            <w:tcW w:w="3156" w:type="dxa"/>
            <w:gridSpan w:val="3"/>
            <w:vAlign w:val="center"/>
          </w:tcPr>
          <w:p>
            <w:pPr>
              <w:spacing w:line="440" w:lineRule="exact"/>
              <w:rPr>
                <w:rFonts w:eastAsia="黑体"/>
                <w:szCs w:val="21"/>
              </w:rPr>
            </w:pPr>
          </w:p>
        </w:tc>
        <w:tc>
          <w:tcPr>
            <w:tcW w:w="1663" w:type="dxa"/>
            <w:vAlign w:val="center"/>
          </w:tcPr>
          <w:p>
            <w:pPr>
              <w:spacing w:line="440" w:lineRule="exact"/>
              <w:rPr>
                <w:rFonts w:eastAsia="黑体"/>
                <w:szCs w:val="21"/>
              </w:rPr>
            </w:pPr>
          </w:p>
        </w:tc>
        <w:tc>
          <w:tcPr>
            <w:tcW w:w="2602" w:type="dxa"/>
            <w:vAlign w:val="center"/>
          </w:tcPr>
          <w:p>
            <w:pPr>
              <w:spacing w:line="440" w:lineRule="exact"/>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101" w:type="dxa"/>
            <w:vAlign w:val="center"/>
          </w:tcPr>
          <w:p>
            <w:pPr>
              <w:spacing w:line="440" w:lineRule="exact"/>
              <w:rPr>
                <w:rFonts w:eastAsia="黑体"/>
                <w:szCs w:val="21"/>
              </w:rPr>
            </w:pPr>
          </w:p>
        </w:tc>
        <w:tc>
          <w:tcPr>
            <w:tcW w:w="3156" w:type="dxa"/>
            <w:gridSpan w:val="3"/>
            <w:vAlign w:val="center"/>
          </w:tcPr>
          <w:p>
            <w:pPr>
              <w:spacing w:line="440" w:lineRule="exact"/>
              <w:rPr>
                <w:rFonts w:eastAsia="黑体"/>
                <w:szCs w:val="21"/>
              </w:rPr>
            </w:pPr>
          </w:p>
        </w:tc>
        <w:tc>
          <w:tcPr>
            <w:tcW w:w="1663" w:type="dxa"/>
            <w:vAlign w:val="center"/>
          </w:tcPr>
          <w:p>
            <w:pPr>
              <w:spacing w:line="440" w:lineRule="exact"/>
              <w:rPr>
                <w:rFonts w:eastAsia="黑体"/>
                <w:szCs w:val="21"/>
              </w:rPr>
            </w:pPr>
          </w:p>
        </w:tc>
        <w:tc>
          <w:tcPr>
            <w:tcW w:w="2602" w:type="dxa"/>
            <w:vAlign w:val="center"/>
          </w:tcPr>
          <w:p>
            <w:pPr>
              <w:spacing w:line="440" w:lineRule="exact"/>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101" w:type="dxa"/>
            <w:vAlign w:val="center"/>
          </w:tcPr>
          <w:p>
            <w:pPr>
              <w:spacing w:line="440" w:lineRule="exact"/>
              <w:rPr>
                <w:rFonts w:eastAsia="黑体"/>
                <w:szCs w:val="21"/>
              </w:rPr>
            </w:pPr>
          </w:p>
        </w:tc>
        <w:tc>
          <w:tcPr>
            <w:tcW w:w="3156" w:type="dxa"/>
            <w:gridSpan w:val="3"/>
            <w:vAlign w:val="center"/>
          </w:tcPr>
          <w:p>
            <w:pPr>
              <w:spacing w:line="440" w:lineRule="exact"/>
              <w:rPr>
                <w:rFonts w:eastAsia="黑体"/>
                <w:szCs w:val="21"/>
              </w:rPr>
            </w:pPr>
          </w:p>
        </w:tc>
        <w:tc>
          <w:tcPr>
            <w:tcW w:w="1663" w:type="dxa"/>
            <w:vAlign w:val="center"/>
          </w:tcPr>
          <w:p>
            <w:pPr>
              <w:spacing w:line="440" w:lineRule="exact"/>
              <w:rPr>
                <w:rFonts w:eastAsia="黑体"/>
                <w:szCs w:val="21"/>
              </w:rPr>
            </w:pPr>
          </w:p>
        </w:tc>
        <w:tc>
          <w:tcPr>
            <w:tcW w:w="2602" w:type="dxa"/>
            <w:vAlign w:val="center"/>
          </w:tcPr>
          <w:p>
            <w:pPr>
              <w:spacing w:line="440" w:lineRule="exact"/>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101" w:type="dxa"/>
            <w:vAlign w:val="center"/>
          </w:tcPr>
          <w:p>
            <w:pPr>
              <w:spacing w:line="440" w:lineRule="exact"/>
              <w:rPr>
                <w:rFonts w:eastAsia="黑体"/>
                <w:szCs w:val="21"/>
              </w:rPr>
            </w:pPr>
          </w:p>
        </w:tc>
        <w:tc>
          <w:tcPr>
            <w:tcW w:w="3156" w:type="dxa"/>
            <w:gridSpan w:val="3"/>
            <w:vAlign w:val="center"/>
          </w:tcPr>
          <w:p>
            <w:pPr>
              <w:spacing w:line="440" w:lineRule="exact"/>
              <w:rPr>
                <w:rFonts w:eastAsia="黑体"/>
                <w:szCs w:val="21"/>
              </w:rPr>
            </w:pPr>
          </w:p>
        </w:tc>
        <w:tc>
          <w:tcPr>
            <w:tcW w:w="1663" w:type="dxa"/>
            <w:vAlign w:val="center"/>
          </w:tcPr>
          <w:p>
            <w:pPr>
              <w:spacing w:line="440" w:lineRule="exact"/>
              <w:rPr>
                <w:rFonts w:eastAsia="黑体"/>
                <w:szCs w:val="21"/>
              </w:rPr>
            </w:pPr>
          </w:p>
        </w:tc>
        <w:tc>
          <w:tcPr>
            <w:tcW w:w="2602" w:type="dxa"/>
            <w:vAlign w:val="center"/>
          </w:tcPr>
          <w:p>
            <w:pPr>
              <w:spacing w:line="440" w:lineRule="exact"/>
              <w:rPr>
                <w:rFonts w:eastAsia="黑体"/>
                <w:szCs w:val="21"/>
              </w:rPr>
            </w:pPr>
          </w:p>
        </w:tc>
      </w:tr>
    </w:tbl>
    <w:p>
      <w:pPr>
        <w:spacing w:line="400" w:lineRule="exact"/>
        <w:ind w:firstLine="420" w:firstLineChars="200"/>
      </w:pPr>
    </w:p>
    <w:p>
      <w:pPr>
        <w:pStyle w:val="4"/>
        <w:jc w:val="left"/>
        <w:rPr>
          <w:rFonts w:ascii="宋体" w:hAnsi="宋体" w:eastAsia="宋体"/>
          <w:b w:val="0"/>
          <w:bCs w:val="0"/>
          <w:kern w:val="2"/>
          <w:sz w:val="21"/>
          <w:szCs w:val="21"/>
        </w:rPr>
      </w:pPr>
      <w:bookmarkStart w:id="305" w:name="_Toc152045812"/>
      <w:bookmarkStart w:id="306" w:name="_Toc179632832"/>
      <w:bookmarkStart w:id="307" w:name="_Toc152042601"/>
      <w:bookmarkStart w:id="308" w:name="_Toc144974880"/>
      <w:r>
        <w:rPr>
          <w:rFonts w:hint="eastAsia" w:ascii="宋体" w:hAnsi="宋体" w:eastAsia="宋体"/>
          <w:b w:val="0"/>
          <w:bCs w:val="0"/>
          <w:kern w:val="2"/>
          <w:sz w:val="21"/>
          <w:szCs w:val="21"/>
        </w:rPr>
        <w:t>本表后应附有效的项目经理身份证、注册资格证书、安全生产考核合格证书（B证）复印件件。类似项目限于以项目经理身份参与的项目。</w:t>
      </w:r>
    </w:p>
    <w:p>
      <w:pPr>
        <w:pStyle w:val="4"/>
      </w:pPr>
    </w:p>
    <w:p/>
    <w:p/>
    <w:p/>
    <w:p/>
    <w:p/>
    <w:p>
      <w:pPr>
        <w:pStyle w:val="5"/>
        <w:jc w:val="center"/>
        <w:rPr>
          <w:rFonts w:ascii="Arial" w:hAnsi="Arial"/>
          <w:b/>
          <w:bCs/>
          <w:sz w:val="21"/>
          <w:szCs w:val="21"/>
        </w:rPr>
      </w:pPr>
    </w:p>
    <w:p>
      <w:pPr>
        <w:pStyle w:val="5"/>
        <w:jc w:val="center"/>
        <w:rPr>
          <w:rFonts w:ascii="Arial" w:hAnsi="Arial"/>
          <w:b/>
          <w:bCs/>
          <w:sz w:val="32"/>
        </w:rPr>
      </w:pPr>
      <w:r>
        <w:rPr>
          <w:rFonts w:hint="eastAsia" w:ascii="Arial" w:hAnsi="Arial"/>
          <w:b/>
          <w:bCs/>
          <w:sz w:val="32"/>
        </w:rPr>
        <w:t>七、资格审查资料</w:t>
      </w:r>
    </w:p>
    <w:p>
      <w:pPr>
        <w:pStyle w:val="5"/>
        <w:jc w:val="center"/>
      </w:pPr>
      <w:bookmarkStart w:id="309" w:name="_Toc275956239"/>
      <w:bookmarkStart w:id="310" w:name="_Toc241459836"/>
      <w:bookmarkStart w:id="311" w:name="_Toc144974876"/>
      <w:bookmarkStart w:id="312" w:name="_Toc152042597"/>
      <w:bookmarkStart w:id="313" w:name="_Toc179632828"/>
      <w:bookmarkStart w:id="314" w:name="_Toc152045808"/>
      <w:bookmarkStart w:id="315" w:name="_Toc241484788"/>
      <w:r>
        <w:rPr>
          <w:rFonts w:hint="eastAsia"/>
        </w:rPr>
        <w:t>投标人基本情况表</w:t>
      </w:r>
      <w:bookmarkEnd w:id="309"/>
      <w:bookmarkEnd w:id="310"/>
      <w:bookmarkEnd w:id="311"/>
      <w:bookmarkEnd w:id="312"/>
      <w:bookmarkEnd w:id="313"/>
      <w:bookmarkEnd w:id="314"/>
      <w:bookmarkEnd w:id="315"/>
    </w:p>
    <w:tbl>
      <w:tblPr>
        <w:tblStyle w:val="15"/>
        <w:tblW w:w="856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6"/>
        <w:gridCol w:w="897"/>
        <w:gridCol w:w="951"/>
        <w:gridCol w:w="840"/>
        <w:gridCol w:w="420"/>
        <w:gridCol w:w="311"/>
        <w:gridCol w:w="1078"/>
        <w:gridCol w:w="490"/>
        <w:gridCol w:w="860"/>
        <w:gridCol w:w="9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7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rFonts w:hint="eastAsia"/>
                <w:szCs w:val="21"/>
              </w:rPr>
              <w:t>投标人名称</w:t>
            </w:r>
          </w:p>
        </w:tc>
        <w:tc>
          <w:tcPr>
            <w:tcW w:w="6839"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7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rFonts w:hint="eastAsia"/>
                <w:szCs w:val="21"/>
              </w:rPr>
              <w:t>注册地址</w:t>
            </w:r>
          </w:p>
        </w:tc>
        <w:tc>
          <w:tcPr>
            <w:tcW w:w="3419" w:type="dxa"/>
            <w:gridSpan w:val="5"/>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rFonts w:hint="eastAsia"/>
                <w:szCs w:val="21"/>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726"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rFonts w:hint="eastAsia"/>
                <w:szCs w:val="21"/>
              </w:rPr>
              <w:t>联系方式</w:t>
            </w:r>
          </w:p>
        </w:tc>
        <w:tc>
          <w:tcPr>
            <w:tcW w:w="89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rFonts w:hint="eastAsia"/>
                <w:szCs w:val="21"/>
              </w:rPr>
              <w:t>联系人</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rFonts w:hint="eastAsia"/>
                <w:szCs w:val="21"/>
              </w:rPr>
              <w:t>电话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7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Cs w:val="21"/>
              </w:rPr>
            </w:pPr>
          </w:p>
        </w:tc>
        <w:tc>
          <w:tcPr>
            <w:tcW w:w="89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rFonts w:hint="eastAsia"/>
                <w:szCs w:val="21"/>
              </w:rPr>
              <w:t>传真</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rFonts w:hint="eastAsia"/>
                <w:szCs w:val="21"/>
              </w:rPr>
              <w:t>网址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7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rFonts w:hint="eastAsia"/>
                <w:szCs w:val="21"/>
              </w:rPr>
              <w:t>组织机构代码</w:t>
            </w:r>
          </w:p>
        </w:tc>
        <w:tc>
          <w:tcPr>
            <w:tcW w:w="6839"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7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rFonts w:hint="eastAsia"/>
                <w:szCs w:val="21"/>
              </w:rPr>
              <w:t>法定代表人</w:t>
            </w:r>
          </w:p>
        </w:tc>
        <w:tc>
          <w:tcPr>
            <w:tcW w:w="89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rFonts w:hint="eastAsia"/>
                <w:szCs w:val="21"/>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rFonts w:hint="eastAsia"/>
                <w:szCs w:val="21"/>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rFonts w:hint="eastAsia"/>
                <w:szCs w:val="21"/>
              </w:rPr>
              <w:t>电话</w:t>
            </w:r>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7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rFonts w:hint="eastAsia"/>
                <w:szCs w:val="21"/>
              </w:rPr>
              <w:t>技术负责人</w:t>
            </w:r>
          </w:p>
        </w:tc>
        <w:tc>
          <w:tcPr>
            <w:tcW w:w="89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rFonts w:hint="eastAsia"/>
                <w:szCs w:val="21"/>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rFonts w:hint="eastAsia"/>
                <w:szCs w:val="21"/>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rFonts w:hint="eastAsia"/>
                <w:szCs w:val="21"/>
              </w:rPr>
              <w:t>电话</w:t>
            </w:r>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7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rFonts w:hint="eastAsia"/>
                <w:szCs w:val="21"/>
              </w:rPr>
              <w:t>成立时间</w:t>
            </w:r>
          </w:p>
        </w:tc>
        <w:tc>
          <w:tcPr>
            <w:tcW w:w="1848"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4991" w:type="dxa"/>
            <w:gridSpan w:val="7"/>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105" w:firstLineChars="50"/>
              <w:jc w:val="center"/>
              <w:rPr>
                <w:szCs w:val="21"/>
              </w:rPr>
            </w:pPr>
            <w:r>
              <w:rPr>
                <w:rFonts w:hint="eastAsia"/>
                <w:szCs w:val="21"/>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7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rFonts w:hint="eastAsia"/>
                <w:szCs w:val="21"/>
              </w:rPr>
              <w:t>企业资质等级</w:t>
            </w:r>
          </w:p>
        </w:tc>
        <w:tc>
          <w:tcPr>
            <w:tcW w:w="1848"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840"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rFonts w:hint="eastAsia"/>
                <w:szCs w:val="21"/>
              </w:rPr>
              <w:t>其中</w:t>
            </w: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rFonts w:hint="eastAsia"/>
                <w:szCs w:val="21"/>
              </w:rPr>
              <w:t>项目经理</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7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rFonts w:hint="eastAsia"/>
                <w:szCs w:val="21"/>
              </w:rPr>
              <w:t>营业执照号</w:t>
            </w:r>
          </w:p>
        </w:tc>
        <w:tc>
          <w:tcPr>
            <w:tcW w:w="1848"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Cs w:val="21"/>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rFonts w:hint="eastAsia"/>
                <w:szCs w:val="21"/>
              </w:rPr>
              <w:t>高级职称人员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7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rFonts w:hint="eastAsia"/>
                <w:szCs w:val="21"/>
              </w:rPr>
              <w:t>注册资金</w:t>
            </w:r>
          </w:p>
        </w:tc>
        <w:tc>
          <w:tcPr>
            <w:tcW w:w="1848"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Cs w:val="21"/>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rFonts w:hint="eastAsia"/>
                <w:szCs w:val="21"/>
              </w:rPr>
              <w:t>中级职称人员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17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rFonts w:hint="eastAsia"/>
                <w:szCs w:val="21"/>
              </w:rPr>
              <w:t>开户银行</w:t>
            </w:r>
          </w:p>
        </w:tc>
        <w:tc>
          <w:tcPr>
            <w:tcW w:w="1848"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Cs w:val="21"/>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rFonts w:hint="eastAsia"/>
                <w:szCs w:val="21"/>
              </w:rPr>
              <w:t>初级职称人员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7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rFonts w:hint="eastAsia"/>
                <w:szCs w:val="21"/>
              </w:rPr>
              <w:t>账号</w:t>
            </w:r>
          </w:p>
        </w:tc>
        <w:tc>
          <w:tcPr>
            <w:tcW w:w="1848"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Cs w:val="21"/>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pStyle w:val="14"/>
            </w:pPr>
            <w:r>
              <w:rPr>
                <w:rFonts w:hint="eastAsia"/>
              </w:rPr>
              <w:t>技工</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04" w:hRule="atLeast"/>
        </w:trPr>
        <w:tc>
          <w:tcPr>
            <w:tcW w:w="1726" w:type="dxa"/>
            <w:tcBorders>
              <w:top w:val="single" w:color="auto" w:sz="4" w:space="0"/>
              <w:left w:val="single" w:color="auto" w:sz="4" w:space="0"/>
              <w:bottom w:val="nil"/>
              <w:right w:val="single" w:color="auto" w:sz="4" w:space="0"/>
            </w:tcBorders>
            <w:vAlign w:val="center"/>
          </w:tcPr>
          <w:p>
            <w:pPr>
              <w:topLinePunct/>
              <w:spacing w:line="440" w:lineRule="exact"/>
              <w:ind w:firstLine="210" w:firstLineChars="100"/>
              <w:jc w:val="center"/>
              <w:rPr>
                <w:szCs w:val="21"/>
              </w:rPr>
            </w:pPr>
            <w:r>
              <w:rPr>
                <w:rFonts w:hint="eastAsia"/>
                <w:szCs w:val="21"/>
              </w:rPr>
              <w:t>经营范围</w:t>
            </w:r>
          </w:p>
        </w:tc>
        <w:tc>
          <w:tcPr>
            <w:tcW w:w="6839" w:type="dxa"/>
            <w:gridSpan w:val="9"/>
            <w:tcBorders>
              <w:top w:val="single" w:color="auto" w:sz="4" w:space="0"/>
              <w:left w:val="single" w:color="auto" w:sz="4" w:space="0"/>
              <w:bottom w:val="nil"/>
              <w:right w:val="single" w:color="auto" w:sz="4" w:space="0"/>
            </w:tcBorders>
            <w:vAlign w:val="center"/>
          </w:tcPr>
          <w:p>
            <w:pPr>
              <w:topLinePunct/>
              <w:spacing w:line="440" w:lineRule="exact"/>
              <w:jc w:val="center"/>
              <w:rPr>
                <w:szCs w:val="21"/>
              </w:rPr>
            </w:pPr>
          </w:p>
          <w:p>
            <w:pPr>
              <w:topLinePunct/>
              <w:spacing w:line="440" w:lineRule="exact"/>
              <w:jc w:val="center"/>
              <w:rPr>
                <w:szCs w:val="21"/>
              </w:rPr>
            </w:pPr>
          </w:p>
          <w:p>
            <w:pPr>
              <w:topLinePunct/>
              <w:spacing w:line="440" w:lineRule="exact"/>
              <w:jc w:val="center"/>
              <w:rPr>
                <w:szCs w:val="21"/>
              </w:rPr>
            </w:pPr>
          </w:p>
          <w:p>
            <w:pPr>
              <w:topLinePunct/>
              <w:spacing w:line="440" w:lineRule="exact"/>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7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rFonts w:hint="eastAsia"/>
                <w:szCs w:val="21"/>
              </w:rPr>
              <w:t>备注</w:t>
            </w:r>
          </w:p>
        </w:tc>
        <w:tc>
          <w:tcPr>
            <w:tcW w:w="6839"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rPr>
                <w:szCs w:val="21"/>
              </w:rPr>
            </w:pPr>
            <w:r>
              <w:rPr>
                <w:rFonts w:hint="eastAsia"/>
                <w:szCs w:val="21"/>
              </w:rPr>
              <w:t>账号是指：</w:t>
            </w:r>
            <w:r>
              <w:rPr>
                <w:rFonts w:hint="eastAsia" w:ascii="宋体" w:hAnsi="宋体" w:cs="仿宋_GB2312"/>
                <w:kern w:val="0"/>
                <w:szCs w:val="21"/>
              </w:rPr>
              <w:t>企业基本存款账户开户许可证上载明的账号</w:t>
            </w:r>
          </w:p>
        </w:tc>
      </w:tr>
    </w:tbl>
    <w:p>
      <w:pPr>
        <w:spacing w:line="280" w:lineRule="exact"/>
        <w:ind w:left="400" w:hanging="400" w:hangingChars="200"/>
        <w:rPr>
          <w:szCs w:val="21"/>
        </w:rPr>
      </w:pPr>
      <w:r>
        <w:rPr>
          <w:rFonts w:hint="eastAsia" w:ascii="黑体" w:hAnsi="宋体" w:eastAsia="黑体"/>
          <w:sz w:val="20"/>
          <w:szCs w:val="20"/>
        </w:rPr>
        <w:t>备注：</w:t>
      </w:r>
      <w:r>
        <w:rPr>
          <w:rFonts w:hint="eastAsia"/>
          <w:szCs w:val="21"/>
        </w:rPr>
        <w:t>本表后应附经企业法人营业执照及其年检合格的证明材料、企业资质证书副本、安全生产许可证、</w:t>
      </w:r>
      <w:r>
        <w:rPr>
          <w:rFonts w:hint="eastAsia" w:ascii="宋体" w:hAnsi="宋体" w:cs="仿宋_GB2312"/>
          <w:kern w:val="0"/>
          <w:szCs w:val="21"/>
        </w:rPr>
        <w:t>企业基本存款账户开户许可证</w:t>
      </w:r>
      <w:r>
        <w:rPr>
          <w:rFonts w:hint="eastAsia"/>
          <w:szCs w:val="21"/>
        </w:rPr>
        <w:t>等材料的复印件。</w:t>
      </w:r>
    </w:p>
    <w:p>
      <w:pPr>
        <w:spacing w:line="280" w:lineRule="exact"/>
        <w:ind w:left="420" w:hanging="420" w:hangingChars="200"/>
        <w:rPr>
          <w:szCs w:val="21"/>
        </w:rPr>
      </w:pPr>
    </w:p>
    <w:p>
      <w:pPr>
        <w:spacing w:line="280" w:lineRule="exact"/>
        <w:ind w:left="420" w:hanging="420" w:hangingChars="200"/>
        <w:rPr>
          <w:szCs w:val="21"/>
        </w:rPr>
      </w:pPr>
    </w:p>
    <w:bookmarkEnd w:id="305"/>
    <w:bookmarkEnd w:id="306"/>
    <w:bookmarkEnd w:id="307"/>
    <w:bookmarkEnd w:id="308"/>
    <w:p>
      <w:pPr>
        <w:pStyle w:val="5"/>
        <w:jc w:val="center"/>
        <w:rPr>
          <w:rFonts w:ascii="Arial" w:hAnsi="Arial"/>
          <w:b/>
          <w:bCs/>
          <w:sz w:val="32"/>
        </w:rPr>
      </w:pPr>
      <w:bookmarkStart w:id="316" w:name="_Toc241459843"/>
      <w:bookmarkStart w:id="317" w:name="_Toc241484795"/>
      <w:bookmarkStart w:id="318" w:name="_Toc179632833"/>
      <w:bookmarkStart w:id="319" w:name="_Toc152045813"/>
      <w:bookmarkStart w:id="320" w:name="_Toc144974881"/>
      <w:bookmarkStart w:id="321" w:name="_Toc275956246"/>
      <w:bookmarkStart w:id="322" w:name="_Toc152042602"/>
    </w:p>
    <w:p>
      <w:pPr>
        <w:pStyle w:val="5"/>
        <w:jc w:val="center"/>
        <w:rPr>
          <w:rFonts w:ascii="Arial" w:hAnsi="Arial"/>
          <w:b/>
          <w:bCs/>
          <w:sz w:val="32"/>
        </w:rPr>
      </w:pPr>
      <w:r>
        <w:rPr>
          <w:rFonts w:hint="eastAsia" w:ascii="Arial" w:hAnsi="Arial"/>
          <w:b/>
          <w:bCs/>
          <w:sz w:val="32"/>
        </w:rPr>
        <w:t>八、投标承诺书</w:t>
      </w:r>
    </w:p>
    <w:p>
      <w:pPr>
        <w:spacing w:line="500" w:lineRule="exact"/>
        <w:jc w:val="center"/>
        <w:rPr>
          <w:rFonts w:ascii="宋体" w:hAnsi="宋体"/>
          <w:sz w:val="32"/>
          <w:szCs w:val="32"/>
        </w:rPr>
      </w:pPr>
      <w:r>
        <w:rPr>
          <w:rFonts w:hint="eastAsia" w:ascii="黑体" w:hAnsi="Arial" w:eastAsia="黑体" w:cs="Arial"/>
          <w:sz w:val="32"/>
          <w:szCs w:val="32"/>
        </w:rPr>
        <w:t>投标承诺书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24"/>
        </w:rPr>
      </w:pPr>
      <w:r>
        <w:rPr>
          <w:rFonts w:hint="eastAsia" w:ascii="宋体" w:hAnsi="宋体"/>
          <w:sz w:val="24"/>
        </w:rPr>
        <w:t>本公司承诺：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一、不在企业诚信库、建筑市场信用管理平台和投标文件中提供虚假材料、信息。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二、不与招标人（招标代理）或其他投标人串通投标。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三、不向招标人（招标代理）或评标委员会成员行贿，以谋取中标。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四、不以他人名义投标或者其他方式弄虚作假，骗取中标。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五、中标后在招标文件规定的时间内依法与招标人签订合同。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六、不转包、违法分包中标项目。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七、不进行缺乏事实根据或者法律依据的投诉。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八、本公司拟派往本工程的项目经理现阶段没有担任其他在建建设工程项目的项目经理。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本公司一旦违反上述承诺，将无条件接受招标人、主管部门作出的取消中标资格、记入信用档案、不退还投标保证金等处理。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投标人：(盖章)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法定代表人或委托代理人：(签字或盖章)</w:t>
      </w:r>
    </w:p>
    <w:p>
      <w:pPr>
        <w:keepNext w:val="0"/>
        <w:keepLines w:val="0"/>
        <w:pageBreakBefore w:val="0"/>
        <w:widowControl w:val="0"/>
        <w:kinsoku/>
        <w:wordWrap/>
        <w:overflowPunct/>
        <w:topLinePunct w:val="0"/>
        <w:autoSpaceDE/>
        <w:autoSpaceDN/>
        <w:bidi w:val="0"/>
        <w:adjustRightInd/>
        <w:snapToGrid/>
        <w:spacing w:line="360" w:lineRule="auto"/>
        <w:ind w:firstLine="4800" w:firstLineChars="2000"/>
        <w:textAlignment w:val="auto"/>
        <w:rPr>
          <w:rFonts w:ascii="宋体" w:hAnsi="宋体"/>
          <w:sz w:val="24"/>
        </w:rPr>
      </w:pPr>
    </w:p>
    <w:p>
      <w:pPr>
        <w:keepNext w:val="0"/>
        <w:keepLines w:val="0"/>
        <w:pageBreakBefore w:val="0"/>
        <w:widowControl w:val="0"/>
        <w:kinsoku/>
        <w:wordWrap/>
        <w:overflowPunct/>
        <w:topLinePunct w:val="0"/>
        <w:autoSpaceDE/>
        <w:autoSpaceDN/>
        <w:bidi w:val="0"/>
        <w:adjustRightInd/>
        <w:snapToGrid/>
        <w:spacing w:line="360" w:lineRule="auto"/>
        <w:ind w:firstLine="4800" w:firstLineChars="2000"/>
        <w:textAlignment w:val="auto"/>
        <w:rPr>
          <w:rFonts w:ascii="宋体" w:hAnsi="宋体"/>
          <w:sz w:val="24"/>
        </w:rPr>
      </w:pPr>
    </w:p>
    <w:p>
      <w:pPr>
        <w:keepNext w:val="0"/>
        <w:keepLines w:val="0"/>
        <w:pageBreakBefore w:val="0"/>
        <w:widowControl w:val="0"/>
        <w:kinsoku/>
        <w:wordWrap/>
        <w:overflowPunct/>
        <w:topLinePunct w:val="0"/>
        <w:autoSpaceDE/>
        <w:autoSpaceDN/>
        <w:bidi w:val="0"/>
        <w:adjustRightInd/>
        <w:snapToGrid/>
        <w:spacing w:line="360" w:lineRule="auto"/>
        <w:ind w:firstLine="4800" w:firstLineChars="2000"/>
        <w:textAlignment w:val="auto"/>
        <w:rPr>
          <w:rFonts w:ascii="宋体" w:hAnsi="宋体"/>
          <w:sz w:val="24"/>
        </w:rPr>
      </w:pPr>
      <w:r>
        <w:rPr>
          <w:rFonts w:hint="eastAsia" w:ascii="宋体" w:hAnsi="宋体"/>
          <w:sz w:val="24"/>
        </w:rPr>
        <w:t>年    月    日</w:t>
      </w:r>
    </w:p>
    <w:p>
      <w:pPr>
        <w:spacing w:line="400" w:lineRule="exact"/>
        <w:rPr>
          <w:szCs w:val="21"/>
        </w:rPr>
      </w:pPr>
    </w:p>
    <w:p>
      <w:pPr>
        <w:spacing w:line="440" w:lineRule="exact"/>
        <w:ind w:left="210" w:leftChars="100"/>
        <w:jc w:val="center"/>
        <w:rPr>
          <w:rFonts w:eastAsia="黑体"/>
          <w:sz w:val="20"/>
          <w:szCs w:val="20"/>
        </w:rPr>
      </w:pPr>
    </w:p>
    <w:p>
      <w:pPr>
        <w:spacing w:line="440" w:lineRule="exact"/>
        <w:ind w:left="210" w:leftChars="100"/>
        <w:jc w:val="center"/>
        <w:rPr>
          <w:rFonts w:eastAsia="黑体"/>
          <w:sz w:val="20"/>
          <w:szCs w:val="20"/>
        </w:rPr>
      </w:pPr>
    </w:p>
    <w:p>
      <w:pPr>
        <w:spacing w:line="440" w:lineRule="exact"/>
        <w:ind w:left="210" w:leftChars="100"/>
        <w:jc w:val="center"/>
        <w:rPr>
          <w:rFonts w:eastAsia="黑体"/>
          <w:sz w:val="20"/>
          <w:szCs w:val="20"/>
        </w:rPr>
      </w:pPr>
    </w:p>
    <w:p>
      <w:pPr>
        <w:spacing w:line="440" w:lineRule="exact"/>
        <w:ind w:left="210" w:leftChars="100"/>
        <w:jc w:val="center"/>
        <w:rPr>
          <w:rFonts w:eastAsia="黑体"/>
          <w:sz w:val="20"/>
          <w:szCs w:val="20"/>
        </w:rPr>
      </w:pPr>
    </w:p>
    <w:p>
      <w:pPr>
        <w:spacing w:line="440" w:lineRule="exact"/>
        <w:ind w:left="210" w:leftChars="100"/>
        <w:jc w:val="center"/>
        <w:rPr>
          <w:rFonts w:eastAsia="黑体"/>
          <w:sz w:val="20"/>
          <w:szCs w:val="20"/>
        </w:rPr>
      </w:pPr>
    </w:p>
    <w:p>
      <w:pPr>
        <w:pStyle w:val="4"/>
      </w:pPr>
    </w:p>
    <w:p>
      <w:pPr>
        <w:pStyle w:val="4"/>
      </w:pPr>
      <w:r>
        <w:rPr>
          <w:rFonts w:hint="eastAsia"/>
        </w:rPr>
        <w:t>九、其他材料</w:t>
      </w:r>
      <w:bookmarkEnd w:id="316"/>
      <w:bookmarkEnd w:id="317"/>
      <w:bookmarkEnd w:id="318"/>
      <w:bookmarkEnd w:id="319"/>
      <w:bookmarkEnd w:id="320"/>
      <w:bookmarkEnd w:id="321"/>
      <w:bookmarkEnd w:id="322"/>
    </w:p>
    <w:p>
      <w:pPr>
        <w:jc w:val="center"/>
        <w:rPr>
          <w:sz w:val="24"/>
        </w:rPr>
      </w:pPr>
      <w:r>
        <w:rPr>
          <w:rFonts w:hint="eastAsia"/>
          <w:sz w:val="24"/>
        </w:rPr>
        <w:t>（如</w:t>
      </w:r>
      <w:r>
        <w:rPr>
          <w:rFonts w:hint="eastAsia" w:ascii="宋体" w:hAnsi="宋体" w:cs="宋体"/>
          <w:kern w:val="0"/>
          <w:sz w:val="24"/>
        </w:rPr>
        <w:t>低价差额担保原件扫描件（如有）等投标人</w:t>
      </w:r>
      <w:r>
        <w:rPr>
          <w:rFonts w:hint="eastAsia" w:ascii="宋体" w:hAnsi="宋体"/>
          <w:sz w:val="24"/>
        </w:rPr>
        <w:t>认为所需要的其它资料</w:t>
      </w:r>
      <w:r>
        <w:rPr>
          <w:rFonts w:hint="eastAsia" w:ascii="宋体" w:hAnsi="宋体" w:cs="宋体"/>
          <w:kern w:val="0"/>
          <w:sz w:val="24"/>
        </w:rPr>
        <w:t>）</w:t>
      </w:r>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MS Mincho">
    <w:altName w:val="MS Gothic"/>
    <w:panose1 w:val="02020609040205080304"/>
    <w:charset w:val="80"/>
    <w:family w:val="roman"/>
    <w:pitch w:val="default"/>
    <w:sig w:usb0="00000000" w:usb1="00000000" w:usb2="00000010" w:usb3="00000000" w:csb0="00020000" w:csb1="00000000"/>
  </w:font>
  <w:font w:name="MS Gothic">
    <w:panose1 w:val="020B0609070205080204"/>
    <w:charset w:val="80"/>
    <w:family w:val="auto"/>
    <w:pitch w:val="default"/>
    <w:sig w:usb0="E00002FF" w:usb1="6AC7FDFB" w:usb2="08000012" w:usb3="00000000" w:csb0="4002009F" w:csb1="DFD70000"/>
  </w:font>
  <w:font w:name="Times">
    <w:altName w:val="Times New Roman"/>
    <w:panose1 w:val="02020603050405020304"/>
    <w:charset w:val="00"/>
    <w:family w:val="roman"/>
    <w:pitch w:val="default"/>
    <w:sig w:usb0="00000000" w:usb1="00000000" w:usb2="00000009" w:usb3="00000000" w:csb0="000001FF" w:csb1="00000000"/>
  </w:font>
  <w:font w:name="MingLiU">
    <w:altName w:val="PMingLiU-ExtB"/>
    <w:panose1 w:val="02010609000101010101"/>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Wingdings 2">
    <w:panose1 w:val="05020102010507070707"/>
    <w:charset w:val="02"/>
    <w:family w:val="roman"/>
    <w:pitch w:val="default"/>
    <w:sig w:usb0="00000000" w:usb1="00000000" w:usb2="00000000" w:usb3="00000000" w:csb0="80000000" w:csb1="00000000"/>
  </w:font>
  <w:font w:name="TimesNewRomanPSMT">
    <w:altName w:val="Times New Roman"/>
    <w:panose1 w:val="00000000000000000000"/>
    <w:charset w:val="00"/>
    <w:family w:val="roman"/>
    <w:pitch w:val="default"/>
    <w:sig w:usb0="00000000" w:usb1="00000000" w:usb2="00000000" w:usb3="00000000" w:csb0="00000001" w:csb1="00000000"/>
  </w:font>
  <w:font w:name="宋体e眠副浡渀.">
    <w:altName w:val="宋体"/>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17"/>
      </w:rPr>
    </w:pPr>
    <w:r>
      <w:rPr>
        <w:rStyle w:val="17"/>
      </w:rPr>
      <w:fldChar w:fldCharType="begin"/>
    </w:r>
    <w:r>
      <w:rPr>
        <w:rStyle w:val="17"/>
      </w:rPr>
      <w:instrText xml:space="preserve">PAGE  </w:instrText>
    </w:r>
    <w:r>
      <w:rPr>
        <w:rStyle w:val="17"/>
      </w:rPr>
      <w:fldChar w:fldCharType="separate"/>
    </w:r>
    <w:r>
      <w:rPr>
        <w:rStyle w:val="17"/>
      </w:rPr>
      <w:t>20</w:t>
    </w:r>
    <w:r>
      <w:rPr>
        <w:rStyle w:val="17"/>
      </w:rPr>
      <w:fldChar w:fldCharType="end"/>
    </w: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17"/>
      </w:rPr>
    </w:pPr>
    <w:r>
      <w:rPr>
        <w:rStyle w:val="17"/>
      </w:rPr>
      <w:fldChar w:fldCharType="begin"/>
    </w:r>
    <w:r>
      <w:rPr>
        <w:rStyle w:val="17"/>
      </w:rPr>
      <w:instrText xml:space="preserve">PAGE  </w:instrText>
    </w:r>
    <w:r>
      <w:rPr>
        <w:rStyle w:val="17"/>
      </w:rPr>
      <w:fldChar w:fldCharType="end"/>
    </w:r>
  </w:p>
  <w:p>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9586EE"/>
    <w:multiLevelType w:val="singleLevel"/>
    <w:tmpl w:val="579586EE"/>
    <w:lvl w:ilvl="0" w:tentative="0">
      <w:start w:val="8"/>
      <w:numFmt w:val="chineseCounting"/>
      <w:suff w:val="space"/>
      <w:lvlText w:val="第%1章"/>
      <w:lvlJc w:val="left"/>
      <w:rPr>
        <w:rFonts w:cs="Times New Roman"/>
      </w:rPr>
    </w:lvl>
  </w:abstractNum>
  <w:abstractNum w:abstractNumId="1">
    <w:nsid w:val="58578F02"/>
    <w:multiLevelType w:val="singleLevel"/>
    <w:tmpl w:val="58578F02"/>
    <w:lvl w:ilvl="0" w:tentative="0">
      <w:start w:val="1"/>
      <w:numFmt w:val="decimal"/>
      <w:suff w:val="nothing"/>
      <w:lvlText w:val="%1、"/>
      <w:lvlJc w:val="left"/>
      <w:rPr>
        <w:rFonts w:cs="Times New Roman"/>
      </w:rPr>
    </w:lvl>
  </w:abstractNum>
  <w:abstractNum w:abstractNumId="2">
    <w:nsid w:val="5E9C4EAD"/>
    <w:multiLevelType w:val="multilevel"/>
    <w:tmpl w:val="5E9C4EAD"/>
    <w:lvl w:ilvl="0" w:tentative="0">
      <w:start w:val="1"/>
      <w:numFmt w:val="bullet"/>
      <w:lvlText w:val="□"/>
      <w:lvlJc w:val="left"/>
      <w:pPr>
        <w:ind w:left="360" w:hanging="360"/>
      </w:pPr>
      <w:rPr>
        <w:rFonts w:hint="eastAsia" w:ascii="宋体" w:hAnsi="宋体" w:eastAsia="宋体" w:cs="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717152BD"/>
    <w:multiLevelType w:val="multilevel"/>
    <w:tmpl w:val="717152BD"/>
    <w:lvl w:ilvl="0" w:tentative="0">
      <w:start w:val="1"/>
      <w:numFmt w:val="bullet"/>
      <w:lvlText w:val="□"/>
      <w:lvlJc w:val="left"/>
      <w:pPr>
        <w:ind w:left="1395" w:hanging="360"/>
      </w:pPr>
      <w:rPr>
        <w:rFonts w:hint="eastAsia" w:ascii="宋体" w:hAnsi="宋体" w:eastAsia="宋体" w:cs="Arial"/>
      </w:rPr>
    </w:lvl>
    <w:lvl w:ilvl="1" w:tentative="0">
      <w:start w:val="1"/>
      <w:numFmt w:val="bullet"/>
      <w:lvlText w:val=""/>
      <w:lvlJc w:val="left"/>
      <w:pPr>
        <w:ind w:left="1875" w:hanging="420"/>
      </w:pPr>
      <w:rPr>
        <w:rFonts w:hint="default" w:ascii="Wingdings" w:hAnsi="Wingdings"/>
      </w:rPr>
    </w:lvl>
    <w:lvl w:ilvl="2" w:tentative="0">
      <w:start w:val="1"/>
      <w:numFmt w:val="bullet"/>
      <w:lvlText w:val=""/>
      <w:lvlJc w:val="left"/>
      <w:pPr>
        <w:ind w:left="2295" w:hanging="420"/>
      </w:pPr>
      <w:rPr>
        <w:rFonts w:hint="default" w:ascii="Wingdings" w:hAnsi="Wingdings"/>
      </w:rPr>
    </w:lvl>
    <w:lvl w:ilvl="3" w:tentative="0">
      <w:start w:val="1"/>
      <w:numFmt w:val="bullet"/>
      <w:lvlText w:val=""/>
      <w:lvlJc w:val="left"/>
      <w:pPr>
        <w:ind w:left="2715" w:hanging="420"/>
      </w:pPr>
      <w:rPr>
        <w:rFonts w:hint="default" w:ascii="Wingdings" w:hAnsi="Wingdings"/>
      </w:rPr>
    </w:lvl>
    <w:lvl w:ilvl="4" w:tentative="0">
      <w:start w:val="1"/>
      <w:numFmt w:val="bullet"/>
      <w:lvlText w:val=""/>
      <w:lvlJc w:val="left"/>
      <w:pPr>
        <w:ind w:left="3135" w:hanging="420"/>
      </w:pPr>
      <w:rPr>
        <w:rFonts w:hint="default" w:ascii="Wingdings" w:hAnsi="Wingdings"/>
      </w:rPr>
    </w:lvl>
    <w:lvl w:ilvl="5" w:tentative="0">
      <w:start w:val="1"/>
      <w:numFmt w:val="bullet"/>
      <w:lvlText w:val=""/>
      <w:lvlJc w:val="left"/>
      <w:pPr>
        <w:ind w:left="3555" w:hanging="420"/>
      </w:pPr>
      <w:rPr>
        <w:rFonts w:hint="default" w:ascii="Wingdings" w:hAnsi="Wingdings"/>
      </w:rPr>
    </w:lvl>
    <w:lvl w:ilvl="6" w:tentative="0">
      <w:start w:val="1"/>
      <w:numFmt w:val="bullet"/>
      <w:lvlText w:val=""/>
      <w:lvlJc w:val="left"/>
      <w:pPr>
        <w:ind w:left="3975" w:hanging="420"/>
      </w:pPr>
      <w:rPr>
        <w:rFonts w:hint="default" w:ascii="Wingdings" w:hAnsi="Wingdings"/>
      </w:rPr>
    </w:lvl>
    <w:lvl w:ilvl="7" w:tentative="0">
      <w:start w:val="1"/>
      <w:numFmt w:val="bullet"/>
      <w:lvlText w:val=""/>
      <w:lvlJc w:val="left"/>
      <w:pPr>
        <w:ind w:left="4395" w:hanging="420"/>
      </w:pPr>
      <w:rPr>
        <w:rFonts w:hint="default" w:ascii="Wingdings" w:hAnsi="Wingdings"/>
      </w:rPr>
    </w:lvl>
    <w:lvl w:ilvl="8" w:tentative="0">
      <w:start w:val="1"/>
      <w:numFmt w:val="bullet"/>
      <w:lvlText w:val=""/>
      <w:lvlJc w:val="left"/>
      <w:pPr>
        <w:ind w:left="4815" w:hanging="420"/>
      </w:pPr>
      <w:rPr>
        <w:rFonts w:hint="default" w:ascii="Wingdings" w:hAnsi="Wingdings"/>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hideSpellingErrors/>
  <w:doNotTrackMove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2ZWQzZGI0ZDA0MWU0MjY1YjkyNDg1OGY3ZjE2ZDMifQ=="/>
  </w:docVars>
  <w:rsids>
    <w:rsidRoot w:val="446F6F73"/>
    <w:rsid w:val="0000036A"/>
    <w:rsid w:val="000021E1"/>
    <w:rsid w:val="000050DE"/>
    <w:rsid w:val="00006598"/>
    <w:rsid w:val="00015F3D"/>
    <w:rsid w:val="0001665A"/>
    <w:rsid w:val="00016E3E"/>
    <w:rsid w:val="000171AE"/>
    <w:rsid w:val="00020AA1"/>
    <w:rsid w:val="00023B80"/>
    <w:rsid w:val="00024A82"/>
    <w:rsid w:val="00030463"/>
    <w:rsid w:val="000330D7"/>
    <w:rsid w:val="00033774"/>
    <w:rsid w:val="00033B8C"/>
    <w:rsid w:val="00046744"/>
    <w:rsid w:val="000476F6"/>
    <w:rsid w:val="00047CA0"/>
    <w:rsid w:val="00052AE1"/>
    <w:rsid w:val="00052E89"/>
    <w:rsid w:val="00054760"/>
    <w:rsid w:val="0006079C"/>
    <w:rsid w:val="00061731"/>
    <w:rsid w:val="00064DE9"/>
    <w:rsid w:val="00065AD3"/>
    <w:rsid w:val="000714C0"/>
    <w:rsid w:val="000716BD"/>
    <w:rsid w:val="000719AE"/>
    <w:rsid w:val="00072260"/>
    <w:rsid w:val="00076004"/>
    <w:rsid w:val="000760C6"/>
    <w:rsid w:val="00080A5C"/>
    <w:rsid w:val="00082DA5"/>
    <w:rsid w:val="00084ACD"/>
    <w:rsid w:val="00087CFC"/>
    <w:rsid w:val="0009124C"/>
    <w:rsid w:val="00091568"/>
    <w:rsid w:val="0009519B"/>
    <w:rsid w:val="00095621"/>
    <w:rsid w:val="00095D5E"/>
    <w:rsid w:val="00095F42"/>
    <w:rsid w:val="000A117E"/>
    <w:rsid w:val="000A2CC4"/>
    <w:rsid w:val="000A3ADF"/>
    <w:rsid w:val="000A3F1A"/>
    <w:rsid w:val="000A4978"/>
    <w:rsid w:val="000A4FE5"/>
    <w:rsid w:val="000A649D"/>
    <w:rsid w:val="000B3009"/>
    <w:rsid w:val="000B5070"/>
    <w:rsid w:val="000B5D82"/>
    <w:rsid w:val="000B5EAF"/>
    <w:rsid w:val="000B6141"/>
    <w:rsid w:val="000B7D43"/>
    <w:rsid w:val="000C1479"/>
    <w:rsid w:val="000C3CB8"/>
    <w:rsid w:val="000C4493"/>
    <w:rsid w:val="000C5E6F"/>
    <w:rsid w:val="000D1170"/>
    <w:rsid w:val="000D2111"/>
    <w:rsid w:val="000E0AD3"/>
    <w:rsid w:val="000F3455"/>
    <w:rsid w:val="000F37D5"/>
    <w:rsid w:val="000F396F"/>
    <w:rsid w:val="00100B75"/>
    <w:rsid w:val="0010285A"/>
    <w:rsid w:val="001048D7"/>
    <w:rsid w:val="00104924"/>
    <w:rsid w:val="00107D6A"/>
    <w:rsid w:val="0011202A"/>
    <w:rsid w:val="00114458"/>
    <w:rsid w:val="00121B00"/>
    <w:rsid w:val="00122321"/>
    <w:rsid w:val="001345CC"/>
    <w:rsid w:val="00136B80"/>
    <w:rsid w:val="00140840"/>
    <w:rsid w:val="00141C65"/>
    <w:rsid w:val="001432CE"/>
    <w:rsid w:val="00145814"/>
    <w:rsid w:val="0014760D"/>
    <w:rsid w:val="00147A84"/>
    <w:rsid w:val="00153AE8"/>
    <w:rsid w:val="00155D83"/>
    <w:rsid w:val="0015742F"/>
    <w:rsid w:val="001604F2"/>
    <w:rsid w:val="001615FD"/>
    <w:rsid w:val="001766E8"/>
    <w:rsid w:val="00177DE2"/>
    <w:rsid w:val="001843F9"/>
    <w:rsid w:val="00185FBC"/>
    <w:rsid w:val="001865A3"/>
    <w:rsid w:val="0019751B"/>
    <w:rsid w:val="001B512C"/>
    <w:rsid w:val="001B5F68"/>
    <w:rsid w:val="001C2811"/>
    <w:rsid w:val="001C3D2E"/>
    <w:rsid w:val="001C5E37"/>
    <w:rsid w:val="001E1CF1"/>
    <w:rsid w:val="001E53F0"/>
    <w:rsid w:val="001E5B4A"/>
    <w:rsid w:val="001E6277"/>
    <w:rsid w:val="001F7C6C"/>
    <w:rsid w:val="00201F82"/>
    <w:rsid w:val="0020458F"/>
    <w:rsid w:val="00204848"/>
    <w:rsid w:val="00206014"/>
    <w:rsid w:val="0021771C"/>
    <w:rsid w:val="00222955"/>
    <w:rsid w:val="00225A3E"/>
    <w:rsid w:val="00226137"/>
    <w:rsid w:val="00230D3A"/>
    <w:rsid w:val="00232554"/>
    <w:rsid w:val="00233981"/>
    <w:rsid w:val="0023410D"/>
    <w:rsid w:val="00234C92"/>
    <w:rsid w:val="00234E45"/>
    <w:rsid w:val="00241F42"/>
    <w:rsid w:val="00242117"/>
    <w:rsid w:val="002436CA"/>
    <w:rsid w:val="00246CB0"/>
    <w:rsid w:val="00246E4F"/>
    <w:rsid w:val="00255201"/>
    <w:rsid w:val="00256E7C"/>
    <w:rsid w:val="002579D2"/>
    <w:rsid w:val="00257FB9"/>
    <w:rsid w:val="0027571A"/>
    <w:rsid w:val="00277957"/>
    <w:rsid w:val="002819D5"/>
    <w:rsid w:val="00282101"/>
    <w:rsid w:val="00284942"/>
    <w:rsid w:val="00285BE9"/>
    <w:rsid w:val="00294EB4"/>
    <w:rsid w:val="002B78D7"/>
    <w:rsid w:val="002C27C8"/>
    <w:rsid w:val="002C4317"/>
    <w:rsid w:val="002C4F79"/>
    <w:rsid w:val="002D2186"/>
    <w:rsid w:val="002D32A8"/>
    <w:rsid w:val="002D3F1B"/>
    <w:rsid w:val="002D3F79"/>
    <w:rsid w:val="002D5835"/>
    <w:rsid w:val="002D5BDF"/>
    <w:rsid w:val="002E4929"/>
    <w:rsid w:val="002E6DE0"/>
    <w:rsid w:val="002F00B7"/>
    <w:rsid w:val="002F1123"/>
    <w:rsid w:val="002F2D7F"/>
    <w:rsid w:val="002F4B09"/>
    <w:rsid w:val="002F7B50"/>
    <w:rsid w:val="00302497"/>
    <w:rsid w:val="003045E3"/>
    <w:rsid w:val="003049E9"/>
    <w:rsid w:val="00305754"/>
    <w:rsid w:val="00307171"/>
    <w:rsid w:val="00317805"/>
    <w:rsid w:val="00321495"/>
    <w:rsid w:val="00333462"/>
    <w:rsid w:val="0033704E"/>
    <w:rsid w:val="00337202"/>
    <w:rsid w:val="00341B63"/>
    <w:rsid w:val="00351379"/>
    <w:rsid w:val="00351B56"/>
    <w:rsid w:val="003547AC"/>
    <w:rsid w:val="003557B7"/>
    <w:rsid w:val="00356680"/>
    <w:rsid w:val="00360722"/>
    <w:rsid w:val="00360D38"/>
    <w:rsid w:val="00361988"/>
    <w:rsid w:val="00370AE5"/>
    <w:rsid w:val="00372BA5"/>
    <w:rsid w:val="00373798"/>
    <w:rsid w:val="0037624A"/>
    <w:rsid w:val="00376E52"/>
    <w:rsid w:val="00381C46"/>
    <w:rsid w:val="00386174"/>
    <w:rsid w:val="003862D7"/>
    <w:rsid w:val="00387891"/>
    <w:rsid w:val="00391822"/>
    <w:rsid w:val="00391BED"/>
    <w:rsid w:val="003936A1"/>
    <w:rsid w:val="00394AF4"/>
    <w:rsid w:val="00394E41"/>
    <w:rsid w:val="00395861"/>
    <w:rsid w:val="003A185B"/>
    <w:rsid w:val="003A3EE3"/>
    <w:rsid w:val="003A7724"/>
    <w:rsid w:val="003B090C"/>
    <w:rsid w:val="003B759F"/>
    <w:rsid w:val="003C056F"/>
    <w:rsid w:val="003C2FCE"/>
    <w:rsid w:val="003C6013"/>
    <w:rsid w:val="003D650C"/>
    <w:rsid w:val="003D704A"/>
    <w:rsid w:val="003D76EA"/>
    <w:rsid w:val="003D77AD"/>
    <w:rsid w:val="003D7ACE"/>
    <w:rsid w:val="003E0193"/>
    <w:rsid w:val="003E21B0"/>
    <w:rsid w:val="003F017D"/>
    <w:rsid w:val="003F41AE"/>
    <w:rsid w:val="003F5887"/>
    <w:rsid w:val="003F7FAC"/>
    <w:rsid w:val="00400D1B"/>
    <w:rsid w:val="00403BC7"/>
    <w:rsid w:val="0040491A"/>
    <w:rsid w:val="00407ECC"/>
    <w:rsid w:val="00411430"/>
    <w:rsid w:val="004129B0"/>
    <w:rsid w:val="0041353E"/>
    <w:rsid w:val="004152BB"/>
    <w:rsid w:val="00425757"/>
    <w:rsid w:val="004444A2"/>
    <w:rsid w:val="00444ED1"/>
    <w:rsid w:val="00450CD4"/>
    <w:rsid w:val="004510E0"/>
    <w:rsid w:val="00455D8C"/>
    <w:rsid w:val="00460BCF"/>
    <w:rsid w:val="00465795"/>
    <w:rsid w:val="00466056"/>
    <w:rsid w:val="00466D80"/>
    <w:rsid w:val="00467B13"/>
    <w:rsid w:val="00467D07"/>
    <w:rsid w:val="0047050E"/>
    <w:rsid w:val="0047056C"/>
    <w:rsid w:val="004720CF"/>
    <w:rsid w:val="00474646"/>
    <w:rsid w:val="0047599F"/>
    <w:rsid w:val="00477708"/>
    <w:rsid w:val="00484ACD"/>
    <w:rsid w:val="004856C9"/>
    <w:rsid w:val="004916FA"/>
    <w:rsid w:val="00495C8D"/>
    <w:rsid w:val="004A6925"/>
    <w:rsid w:val="004B253B"/>
    <w:rsid w:val="004B33FF"/>
    <w:rsid w:val="004B38FF"/>
    <w:rsid w:val="004B42F6"/>
    <w:rsid w:val="004B62EC"/>
    <w:rsid w:val="004B675C"/>
    <w:rsid w:val="004C0C2D"/>
    <w:rsid w:val="004C120F"/>
    <w:rsid w:val="004C4863"/>
    <w:rsid w:val="004C6AB1"/>
    <w:rsid w:val="004D2422"/>
    <w:rsid w:val="004D253F"/>
    <w:rsid w:val="004D31AF"/>
    <w:rsid w:val="004D3CEF"/>
    <w:rsid w:val="004D3E65"/>
    <w:rsid w:val="004D58EC"/>
    <w:rsid w:val="004D71FA"/>
    <w:rsid w:val="004D7581"/>
    <w:rsid w:val="004D7953"/>
    <w:rsid w:val="004E171D"/>
    <w:rsid w:val="004E34E6"/>
    <w:rsid w:val="004E654C"/>
    <w:rsid w:val="004E6D73"/>
    <w:rsid w:val="004F6DE4"/>
    <w:rsid w:val="005011A5"/>
    <w:rsid w:val="00511334"/>
    <w:rsid w:val="005225F1"/>
    <w:rsid w:val="005239A2"/>
    <w:rsid w:val="00533E6D"/>
    <w:rsid w:val="00544607"/>
    <w:rsid w:val="005479DE"/>
    <w:rsid w:val="0055546C"/>
    <w:rsid w:val="00561643"/>
    <w:rsid w:val="0056297D"/>
    <w:rsid w:val="00563DF9"/>
    <w:rsid w:val="005757C2"/>
    <w:rsid w:val="005769C2"/>
    <w:rsid w:val="00577961"/>
    <w:rsid w:val="00585273"/>
    <w:rsid w:val="00593A2E"/>
    <w:rsid w:val="005977F1"/>
    <w:rsid w:val="005A2B47"/>
    <w:rsid w:val="005A2F12"/>
    <w:rsid w:val="005A395A"/>
    <w:rsid w:val="005A3DBD"/>
    <w:rsid w:val="005A56C1"/>
    <w:rsid w:val="005A695A"/>
    <w:rsid w:val="005A7C5E"/>
    <w:rsid w:val="005B50E6"/>
    <w:rsid w:val="005B5CA1"/>
    <w:rsid w:val="005B64CD"/>
    <w:rsid w:val="005C17BF"/>
    <w:rsid w:val="005C4056"/>
    <w:rsid w:val="005C4123"/>
    <w:rsid w:val="005C4335"/>
    <w:rsid w:val="005D0B15"/>
    <w:rsid w:val="005D1E8A"/>
    <w:rsid w:val="005D6FFB"/>
    <w:rsid w:val="005D7516"/>
    <w:rsid w:val="005E125A"/>
    <w:rsid w:val="005E313A"/>
    <w:rsid w:val="005E5C3D"/>
    <w:rsid w:val="005E7634"/>
    <w:rsid w:val="005F1F88"/>
    <w:rsid w:val="005F65A8"/>
    <w:rsid w:val="005F6825"/>
    <w:rsid w:val="0060007C"/>
    <w:rsid w:val="00600152"/>
    <w:rsid w:val="006022F1"/>
    <w:rsid w:val="00605C4D"/>
    <w:rsid w:val="00607098"/>
    <w:rsid w:val="006075BD"/>
    <w:rsid w:val="00621D2D"/>
    <w:rsid w:val="00624356"/>
    <w:rsid w:val="00625497"/>
    <w:rsid w:val="006260E3"/>
    <w:rsid w:val="00630BE8"/>
    <w:rsid w:val="00642013"/>
    <w:rsid w:val="00642772"/>
    <w:rsid w:val="0065060F"/>
    <w:rsid w:val="00650E2F"/>
    <w:rsid w:val="006536AD"/>
    <w:rsid w:val="00654614"/>
    <w:rsid w:val="00654CE9"/>
    <w:rsid w:val="0065568B"/>
    <w:rsid w:val="00656950"/>
    <w:rsid w:val="00657B43"/>
    <w:rsid w:val="00660DBE"/>
    <w:rsid w:val="00665E12"/>
    <w:rsid w:val="00670BDB"/>
    <w:rsid w:val="00673C2E"/>
    <w:rsid w:val="00675C21"/>
    <w:rsid w:val="00677471"/>
    <w:rsid w:val="00677676"/>
    <w:rsid w:val="00677B92"/>
    <w:rsid w:val="00683E68"/>
    <w:rsid w:val="00687E1C"/>
    <w:rsid w:val="0069583C"/>
    <w:rsid w:val="00696037"/>
    <w:rsid w:val="006A26CF"/>
    <w:rsid w:val="006A3D96"/>
    <w:rsid w:val="006A401B"/>
    <w:rsid w:val="006A58FA"/>
    <w:rsid w:val="006B0BA8"/>
    <w:rsid w:val="006B127A"/>
    <w:rsid w:val="006B1A37"/>
    <w:rsid w:val="006B62CB"/>
    <w:rsid w:val="006B7700"/>
    <w:rsid w:val="006C3FE3"/>
    <w:rsid w:val="006C44B1"/>
    <w:rsid w:val="006C5B1A"/>
    <w:rsid w:val="006C5F34"/>
    <w:rsid w:val="006C6622"/>
    <w:rsid w:val="006C7E5C"/>
    <w:rsid w:val="006D5D9F"/>
    <w:rsid w:val="006E110B"/>
    <w:rsid w:val="006E18E5"/>
    <w:rsid w:val="006E26C9"/>
    <w:rsid w:val="006E6FD4"/>
    <w:rsid w:val="006E791C"/>
    <w:rsid w:val="006F00FA"/>
    <w:rsid w:val="00700CA4"/>
    <w:rsid w:val="00704499"/>
    <w:rsid w:val="0070509B"/>
    <w:rsid w:val="00707FB2"/>
    <w:rsid w:val="0071264A"/>
    <w:rsid w:val="007134EE"/>
    <w:rsid w:val="00713596"/>
    <w:rsid w:val="0071774E"/>
    <w:rsid w:val="007178EE"/>
    <w:rsid w:val="0072293C"/>
    <w:rsid w:val="00724851"/>
    <w:rsid w:val="007267EB"/>
    <w:rsid w:val="00737B09"/>
    <w:rsid w:val="007449E1"/>
    <w:rsid w:val="0074541C"/>
    <w:rsid w:val="0075317A"/>
    <w:rsid w:val="00755061"/>
    <w:rsid w:val="007575EE"/>
    <w:rsid w:val="00757D12"/>
    <w:rsid w:val="0076106F"/>
    <w:rsid w:val="00765331"/>
    <w:rsid w:val="007673AC"/>
    <w:rsid w:val="007709E3"/>
    <w:rsid w:val="007727D1"/>
    <w:rsid w:val="00772BDC"/>
    <w:rsid w:val="0077390D"/>
    <w:rsid w:val="00775755"/>
    <w:rsid w:val="00776707"/>
    <w:rsid w:val="007829E5"/>
    <w:rsid w:val="00785331"/>
    <w:rsid w:val="007860AD"/>
    <w:rsid w:val="00786F8A"/>
    <w:rsid w:val="00790B57"/>
    <w:rsid w:val="00792575"/>
    <w:rsid w:val="00795CB4"/>
    <w:rsid w:val="007A4B25"/>
    <w:rsid w:val="007B0F78"/>
    <w:rsid w:val="007C6D29"/>
    <w:rsid w:val="007D0515"/>
    <w:rsid w:val="007D06F5"/>
    <w:rsid w:val="007D3C9F"/>
    <w:rsid w:val="007D7312"/>
    <w:rsid w:val="007E1A65"/>
    <w:rsid w:val="007E2ADF"/>
    <w:rsid w:val="007F1298"/>
    <w:rsid w:val="007F2CA7"/>
    <w:rsid w:val="007F3043"/>
    <w:rsid w:val="007F3C6C"/>
    <w:rsid w:val="007F7219"/>
    <w:rsid w:val="008024A7"/>
    <w:rsid w:val="008041AD"/>
    <w:rsid w:val="0081268D"/>
    <w:rsid w:val="00820DDA"/>
    <w:rsid w:val="00821B46"/>
    <w:rsid w:val="00822679"/>
    <w:rsid w:val="00826E2A"/>
    <w:rsid w:val="00830883"/>
    <w:rsid w:val="008311D2"/>
    <w:rsid w:val="00832C27"/>
    <w:rsid w:val="008357CB"/>
    <w:rsid w:val="00837720"/>
    <w:rsid w:val="008453C5"/>
    <w:rsid w:val="00845440"/>
    <w:rsid w:val="00846FCD"/>
    <w:rsid w:val="00854814"/>
    <w:rsid w:val="00857CC8"/>
    <w:rsid w:val="00860BDC"/>
    <w:rsid w:val="00863D75"/>
    <w:rsid w:val="00864806"/>
    <w:rsid w:val="00865EA7"/>
    <w:rsid w:val="00872631"/>
    <w:rsid w:val="008750BC"/>
    <w:rsid w:val="00881C19"/>
    <w:rsid w:val="00882EC4"/>
    <w:rsid w:val="00885044"/>
    <w:rsid w:val="0088606E"/>
    <w:rsid w:val="00886513"/>
    <w:rsid w:val="008912A4"/>
    <w:rsid w:val="0089337B"/>
    <w:rsid w:val="008942EB"/>
    <w:rsid w:val="0089434A"/>
    <w:rsid w:val="00896865"/>
    <w:rsid w:val="008A339B"/>
    <w:rsid w:val="008A7894"/>
    <w:rsid w:val="008A7AAA"/>
    <w:rsid w:val="008C06F2"/>
    <w:rsid w:val="008C3F45"/>
    <w:rsid w:val="008C5F6A"/>
    <w:rsid w:val="008C604E"/>
    <w:rsid w:val="008D0B35"/>
    <w:rsid w:val="008D225D"/>
    <w:rsid w:val="008D3A09"/>
    <w:rsid w:val="008D3E19"/>
    <w:rsid w:val="008D54E6"/>
    <w:rsid w:val="008E0AB3"/>
    <w:rsid w:val="008E0CB6"/>
    <w:rsid w:val="008E61B5"/>
    <w:rsid w:val="008E6C1B"/>
    <w:rsid w:val="008F3229"/>
    <w:rsid w:val="008F3B5F"/>
    <w:rsid w:val="008F5F56"/>
    <w:rsid w:val="008F6D7B"/>
    <w:rsid w:val="008F6F20"/>
    <w:rsid w:val="009048D3"/>
    <w:rsid w:val="00905925"/>
    <w:rsid w:val="00911B80"/>
    <w:rsid w:val="0091371F"/>
    <w:rsid w:val="009168CD"/>
    <w:rsid w:val="00917946"/>
    <w:rsid w:val="0092109A"/>
    <w:rsid w:val="009226D4"/>
    <w:rsid w:val="009250A7"/>
    <w:rsid w:val="00926F19"/>
    <w:rsid w:val="00927917"/>
    <w:rsid w:val="009344C4"/>
    <w:rsid w:val="00941EAE"/>
    <w:rsid w:val="009432B7"/>
    <w:rsid w:val="00945F30"/>
    <w:rsid w:val="00947A08"/>
    <w:rsid w:val="00951D63"/>
    <w:rsid w:val="00956564"/>
    <w:rsid w:val="009623A0"/>
    <w:rsid w:val="00963655"/>
    <w:rsid w:val="009658FF"/>
    <w:rsid w:val="00970AF2"/>
    <w:rsid w:val="00971CBB"/>
    <w:rsid w:val="00975F0C"/>
    <w:rsid w:val="0097794C"/>
    <w:rsid w:val="00977D5B"/>
    <w:rsid w:val="009822E9"/>
    <w:rsid w:val="0098593C"/>
    <w:rsid w:val="00987307"/>
    <w:rsid w:val="00987496"/>
    <w:rsid w:val="009937CF"/>
    <w:rsid w:val="009938D8"/>
    <w:rsid w:val="00995F15"/>
    <w:rsid w:val="009A03A0"/>
    <w:rsid w:val="009A1640"/>
    <w:rsid w:val="009A4FFC"/>
    <w:rsid w:val="009B4551"/>
    <w:rsid w:val="009B5839"/>
    <w:rsid w:val="009C066E"/>
    <w:rsid w:val="009D11C9"/>
    <w:rsid w:val="009D1FA9"/>
    <w:rsid w:val="009D54DE"/>
    <w:rsid w:val="009D7622"/>
    <w:rsid w:val="009E35D5"/>
    <w:rsid w:val="009E3821"/>
    <w:rsid w:val="009E7763"/>
    <w:rsid w:val="009F6970"/>
    <w:rsid w:val="00A00DC9"/>
    <w:rsid w:val="00A0448B"/>
    <w:rsid w:val="00A10F1D"/>
    <w:rsid w:val="00A16543"/>
    <w:rsid w:val="00A20294"/>
    <w:rsid w:val="00A22C4C"/>
    <w:rsid w:val="00A23E8C"/>
    <w:rsid w:val="00A27314"/>
    <w:rsid w:val="00A33525"/>
    <w:rsid w:val="00A33C7E"/>
    <w:rsid w:val="00A34DCF"/>
    <w:rsid w:val="00A35A53"/>
    <w:rsid w:val="00A364A0"/>
    <w:rsid w:val="00A40574"/>
    <w:rsid w:val="00A4131B"/>
    <w:rsid w:val="00A4148E"/>
    <w:rsid w:val="00A419FA"/>
    <w:rsid w:val="00A41EA1"/>
    <w:rsid w:val="00A43D41"/>
    <w:rsid w:val="00A5466E"/>
    <w:rsid w:val="00A60585"/>
    <w:rsid w:val="00A6328A"/>
    <w:rsid w:val="00A63D2A"/>
    <w:rsid w:val="00A63EE3"/>
    <w:rsid w:val="00A64095"/>
    <w:rsid w:val="00A65D08"/>
    <w:rsid w:val="00A7286A"/>
    <w:rsid w:val="00A81438"/>
    <w:rsid w:val="00A84C2D"/>
    <w:rsid w:val="00A8507A"/>
    <w:rsid w:val="00A97EFF"/>
    <w:rsid w:val="00AA1714"/>
    <w:rsid w:val="00AA1D81"/>
    <w:rsid w:val="00AB03C7"/>
    <w:rsid w:val="00AB3600"/>
    <w:rsid w:val="00AB5A32"/>
    <w:rsid w:val="00AC70FF"/>
    <w:rsid w:val="00AD5365"/>
    <w:rsid w:val="00AD6B6E"/>
    <w:rsid w:val="00AD701C"/>
    <w:rsid w:val="00AE1221"/>
    <w:rsid w:val="00AE2C85"/>
    <w:rsid w:val="00AE55F7"/>
    <w:rsid w:val="00AE7A12"/>
    <w:rsid w:val="00AF0CBE"/>
    <w:rsid w:val="00AF3418"/>
    <w:rsid w:val="00AF6348"/>
    <w:rsid w:val="00AF6AE7"/>
    <w:rsid w:val="00B00414"/>
    <w:rsid w:val="00B061E9"/>
    <w:rsid w:val="00B06A87"/>
    <w:rsid w:val="00B07F5C"/>
    <w:rsid w:val="00B14192"/>
    <w:rsid w:val="00B1617D"/>
    <w:rsid w:val="00B16D42"/>
    <w:rsid w:val="00B21C31"/>
    <w:rsid w:val="00B3051D"/>
    <w:rsid w:val="00B31D80"/>
    <w:rsid w:val="00B35F94"/>
    <w:rsid w:val="00B362E8"/>
    <w:rsid w:val="00B3725A"/>
    <w:rsid w:val="00B372A0"/>
    <w:rsid w:val="00B42367"/>
    <w:rsid w:val="00B44BF2"/>
    <w:rsid w:val="00B50C4C"/>
    <w:rsid w:val="00B50D10"/>
    <w:rsid w:val="00B62732"/>
    <w:rsid w:val="00B65E03"/>
    <w:rsid w:val="00B66F75"/>
    <w:rsid w:val="00B755E0"/>
    <w:rsid w:val="00B77DE7"/>
    <w:rsid w:val="00B8093E"/>
    <w:rsid w:val="00B8358D"/>
    <w:rsid w:val="00B84B33"/>
    <w:rsid w:val="00B863DD"/>
    <w:rsid w:val="00B93A8E"/>
    <w:rsid w:val="00BA3FD7"/>
    <w:rsid w:val="00BA4215"/>
    <w:rsid w:val="00BB7B96"/>
    <w:rsid w:val="00BC073C"/>
    <w:rsid w:val="00BC1C09"/>
    <w:rsid w:val="00BC4EBC"/>
    <w:rsid w:val="00BC588F"/>
    <w:rsid w:val="00BC6B02"/>
    <w:rsid w:val="00BD4448"/>
    <w:rsid w:val="00BE172C"/>
    <w:rsid w:val="00BE5022"/>
    <w:rsid w:val="00BF36C4"/>
    <w:rsid w:val="00BF38A0"/>
    <w:rsid w:val="00BF57ED"/>
    <w:rsid w:val="00C011D7"/>
    <w:rsid w:val="00C02115"/>
    <w:rsid w:val="00C0509C"/>
    <w:rsid w:val="00C13A21"/>
    <w:rsid w:val="00C30817"/>
    <w:rsid w:val="00C32182"/>
    <w:rsid w:val="00C33A46"/>
    <w:rsid w:val="00C35FB6"/>
    <w:rsid w:val="00C368E0"/>
    <w:rsid w:val="00C41179"/>
    <w:rsid w:val="00C413ED"/>
    <w:rsid w:val="00C50973"/>
    <w:rsid w:val="00C50B6C"/>
    <w:rsid w:val="00C50D50"/>
    <w:rsid w:val="00C531C8"/>
    <w:rsid w:val="00C53BD1"/>
    <w:rsid w:val="00C5733D"/>
    <w:rsid w:val="00C57812"/>
    <w:rsid w:val="00C578A0"/>
    <w:rsid w:val="00C5798F"/>
    <w:rsid w:val="00C63B04"/>
    <w:rsid w:val="00C70C4A"/>
    <w:rsid w:val="00C71A86"/>
    <w:rsid w:val="00C73E34"/>
    <w:rsid w:val="00C75464"/>
    <w:rsid w:val="00C76483"/>
    <w:rsid w:val="00C812A3"/>
    <w:rsid w:val="00C819B8"/>
    <w:rsid w:val="00C847A5"/>
    <w:rsid w:val="00C94941"/>
    <w:rsid w:val="00C951B8"/>
    <w:rsid w:val="00C95EAB"/>
    <w:rsid w:val="00C9649F"/>
    <w:rsid w:val="00C96707"/>
    <w:rsid w:val="00CA057C"/>
    <w:rsid w:val="00CA0A6C"/>
    <w:rsid w:val="00CA16DB"/>
    <w:rsid w:val="00CA1E14"/>
    <w:rsid w:val="00CA24D9"/>
    <w:rsid w:val="00CA41B6"/>
    <w:rsid w:val="00CA4624"/>
    <w:rsid w:val="00CA75A9"/>
    <w:rsid w:val="00CB21F9"/>
    <w:rsid w:val="00CB391B"/>
    <w:rsid w:val="00CB4210"/>
    <w:rsid w:val="00CB5316"/>
    <w:rsid w:val="00CB5D1D"/>
    <w:rsid w:val="00CB6C5D"/>
    <w:rsid w:val="00CB75AF"/>
    <w:rsid w:val="00CC10D3"/>
    <w:rsid w:val="00CC167E"/>
    <w:rsid w:val="00CC29A6"/>
    <w:rsid w:val="00CC3783"/>
    <w:rsid w:val="00CC6B2E"/>
    <w:rsid w:val="00CD0CE6"/>
    <w:rsid w:val="00CD150B"/>
    <w:rsid w:val="00CD213E"/>
    <w:rsid w:val="00CD2819"/>
    <w:rsid w:val="00CD4396"/>
    <w:rsid w:val="00CE113F"/>
    <w:rsid w:val="00CE1738"/>
    <w:rsid w:val="00CE2B31"/>
    <w:rsid w:val="00CE76C3"/>
    <w:rsid w:val="00CF109A"/>
    <w:rsid w:val="00CF2AD5"/>
    <w:rsid w:val="00CF2DAF"/>
    <w:rsid w:val="00CF49AE"/>
    <w:rsid w:val="00CF62E2"/>
    <w:rsid w:val="00D00C2D"/>
    <w:rsid w:val="00D054C2"/>
    <w:rsid w:val="00D06F1B"/>
    <w:rsid w:val="00D10E43"/>
    <w:rsid w:val="00D145BE"/>
    <w:rsid w:val="00D14720"/>
    <w:rsid w:val="00D1685E"/>
    <w:rsid w:val="00D245E7"/>
    <w:rsid w:val="00D33801"/>
    <w:rsid w:val="00D35706"/>
    <w:rsid w:val="00D41199"/>
    <w:rsid w:val="00D412D0"/>
    <w:rsid w:val="00D41A19"/>
    <w:rsid w:val="00D457CC"/>
    <w:rsid w:val="00D51033"/>
    <w:rsid w:val="00D52C95"/>
    <w:rsid w:val="00D54B90"/>
    <w:rsid w:val="00D54D55"/>
    <w:rsid w:val="00D55D67"/>
    <w:rsid w:val="00D5696B"/>
    <w:rsid w:val="00D57046"/>
    <w:rsid w:val="00D629BE"/>
    <w:rsid w:val="00D65EFC"/>
    <w:rsid w:val="00D66C2E"/>
    <w:rsid w:val="00D75D64"/>
    <w:rsid w:val="00D777BC"/>
    <w:rsid w:val="00D800F2"/>
    <w:rsid w:val="00D9105C"/>
    <w:rsid w:val="00D93144"/>
    <w:rsid w:val="00D96D46"/>
    <w:rsid w:val="00D9732B"/>
    <w:rsid w:val="00D9760B"/>
    <w:rsid w:val="00DA081F"/>
    <w:rsid w:val="00DA51D9"/>
    <w:rsid w:val="00DB149B"/>
    <w:rsid w:val="00DB2C21"/>
    <w:rsid w:val="00DB496F"/>
    <w:rsid w:val="00DB49CB"/>
    <w:rsid w:val="00DC260C"/>
    <w:rsid w:val="00DC27CC"/>
    <w:rsid w:val="00DC4AA1"/>
    <w:rsid w:val="00DC6E82"/>
    <w:rsid w:val="00DC7338"/>
    <w:rsid w:val="00DD0895"/>
    <w:rsid w:val="00DD13CB"/>
    <w:rsid w:val="00DD1E22"/>
    <w:rsid w:val="00DE2901"/>
    <w:rsid w:val="00DE4C45"/>
    <w:rsid w:val="00DE75AA"/>
    <w:rsid w:val="00DF406B"/>
    <w:rsid w:val="00E01CB9"/>
    <w:rsid w:val="00E02567"/>
    <w:rsid w:val="00E04954"/>
    <w:rsid w:val="00E06B4F"/>
    <w:rsid w:val="00E10B67"/>
    <w:rsid w:val="00E1110D"/>
    <w:rsid w:val="00E220C7"/>
    <w:rsid w:val="00E23360"/>
    <w:rsid w:val="00E24605"/>
    <w:rsid w:val="00E276D5"/>
    <w:rsid w:val="00E34055"/>
    <w:rsid w:val="00E3571E"/>
    <w:rsid w:val="00E36007"/>
    <w:rsid w:val="00E4017E"/>
    <w:rsid w:val="00E423CF"/>
    <w:rsid w:val="00E42F47"/>
    <w:rsid w:val="00E438E8"/>
    <w:rsid w:val="00E44AE2"/>
    <w:rsid w:val="00E47F34"/>
    <w:rsid w:val="00E57E21"/>
    <w:rsid w:val="00E637AB"/>
    <w:rsid w:val="00E64FC1"/>
    <w:rsid w:val="00E6581B"/>
    <w:rsid w:val="00E65920"/>
    <w:rsid w:val="00E7117C"/>
    <w:rsid w:val="00E72644"/>
    <w:rsid w:val="00E739DC"/>
    <w:rsid w:val="00E80598"/>
    <w:rsid w:val="00E8266B"/>
    <w:rsid w:val="00E82DFF"/>
    <w:rsid w:val="00E84169"/>
    <w:rsid w:val="00E8487A"/>
    <w:rsid w:val="00E92513"/>
    <w:rsid w:val="00E9308B"/>
    <w:rsid w:val="00E93E0E"/>
    <w:rsid w:val="00E96198"/>
    <w:rsid w:val="00EA2B28"/>
    <w:rsid w:val="00EA2DE8"/>
    <w:rsid w:val="00EA4345"/>
    <w:rsid w:val="00EB02DC"/>
    <w:rsid w:val="00EB3DF6"/>
    <w:rsid w:val="00EB6583"/>
    <w:rsid w:val="00EB74B8"/>
    <w:rsid w:val="00EC6C12"/>
    <w:rsid w:val="00ED28CC"/>
    <w:rsid w:val="00ED34AE"/>
    <w:rsid w:val="00ED4BB4"/>
    <w:rsid w:val="00ED7ECF"/>
    <w:rsid w:val="00EE0A06"/>
    <w:rsid w:val="00EF085F"/>
    <w:rsid w:val="00EF5A7A"/>
    <w:rsid w:val="00EF6C13"/>
    <w:rsid w:val="00EF707C"/>
    <w:rsid w:val="00F025C2"/>
    <w:rsid w:val="00F035D9"/>
    <w:rsid w:val="00F05E79"/>
    <w:rsid w:val="00F10605"/>
    <w:rsid w:val="00F16A7F"/>
    <w:rsid w:val="00F21A78"/>
    <w:rsid w:val="00F2505F"/>
    <w:rsid w:val="00F4159C"/>
    <w:rsid w:val="00F447CA"/>
    <w:rsid w:val="00F515B2"/>
    <w:rsid w:val="00F51673"/>
    <w:rsid w:val="00F55E5E"/>
    <w:rsid w:val="00F564DF"/>
    <w:rsid w:val="00F56D9C"/>
    <w:rsid w:val="00F57A64"/>
    <w:rsid w:val="00F6110B"/>
    <w:rsid w:val="00F617CE"/>
    <w:rsid w:val="00F6218D"/>
    <w:rsid w:val="00F62202"/>
    <w:rsid w:val="00F6653A"/>
    <w:rsid w:val="00F72669"/>
    <w:rsid w:val="00F743A6"/>
    <w:rsid w:val="00F7506F"/>
    <w:rsid w:val="00F75A5A"/>
    <w:rsid w:val="00F76AF4"/>
    <w:rsid w:val="00F817EE"/>
    <w:rsid w:val="00F81CAD"/>
    <w:rsid w:val="00F82C59"/>
    <w:rsid w:val="00F82C61"/>
    <w:rsid w:val="00F83241"/>
    <w:rsid w:val="00F84A38"/>
    <w:rsid w:val="00F87FFC"/>
    <w:rsid w:val="00F93192"/>
    <w:rsid w:val="00F952D0"/>
    <w:rsid w:val="00F957B6"/>
    <w:rsid w:val="00F979C5"/>
    <w:rsid w:val="00F97D03"/>
    <w:rsid w:val="00FA19DA"/>
    <w:rsid w:val="00FA2081"/>
    <w:rsid w:val="00FA2363"/>
    <w:rsid w:val="00FB0810"/>
    <w:rsid w:val="00FB1834"/>
    <w:rsid w:val="00FB59E7"/>
    <w:rsid w:val="00FB762C"/>
    <w:rsid w:val="00FB7E3B"/>
    <w:rsid w:val="00FC0A2A"/>
    <w:rsid w:val="00FC2E05"/>
    <w:rsid w:val="00FC3137"/>
    <w:rsid w:val="00FC60B6"/>
    <w:rsid w:val="00FD1C28"/>
    <w:rsid w:val="00FD61A2"/>
    <w:rsid w:val="00FD65CE"/>
    <w:rsid w:val="00FE0AD2"/>
    <w:rsid w:val="00FE3979"/>
    <w:rsid w:val="00FE3999"/>
    <w:rsid w:val="00FE5E71"/>
    <w:rsid w:val="00FF5AFC"/>
    <w:rsid w:val="014577FB"/>
    <w:rsid w:val="014C344B"/>
    <w:rsid w:val="016E6EDC"/>
    <w:rsid w:val="01764982"/>
    <w:rsid w:val="01AF679A"/>
    <w:rsid w:val="01D451AE"/>
    <w:rsid w:val="01E00FE0"/>
    <w:rsid w:val="01E30102"/>
    <w:rsid w:val="01F00C43"/>
    <w:rsid w:val="01F614AC"/>
    <w:rsid w:val="01F764D3"/>
    <w:rsid w:val="02054C4A"/>
    <w:rsid w:val="02155AE1"/>
    <w:rsid w:val="023D2F6C"/>
    <w:rsid w:val="025E145E"/>
    <w:rsid w:val="0289226D"/>
    <w:rsid w:val="02905E63"/>
    <w:rsid w:val="02952452"/>
    <w:rsid w:val="02F16A4E"/>
    <w:rsid w:val="033E7817"/>
    <w:rsid w:val="03656D16"/>
    <w:rsid w:val="039A109A"/>
    <w:rsid w:val="03A10B3E"/>
    <w:rsid w:val="03A53CBC"/>
    <w:rsid w:val="03B31109"/>
    <w:rsid w:val="03E71972"/>
    <w:rsid w:val="03EC0C8A"/>
    <w:rsid w:val="03F55B11"/>
    <w:rsid w:val="04187DFC"/>
    <w:rsid w:val="04840340"/>
    <w:rsid w:val="04BE0DA1"/>
    <w:rsid w:val="04E10F1F"/>
    <w:rsid w:val="05157209"/>
    <w:rsid w:val="052E4A18"/>
    <w:rsid w:val="053B4201"/>
    <w:rsid w:val="057905CB"/>
    <w:rsid w:val="057A6DDD"/>
    <w:rsid w:val="05976A5C"/>
    <w:rsid w:val="05A17E44"/>
    <w:rsid w:val="05E0503A"/>
    <w:rsid w:val="05E14510"/>
    <w:rsid w:val="05E32A68"/>
    <w:rsid w:val="06090FD9"/>
    <w:rsid w:val="060D2707"/>
    <w:rsid w:val="060E41DC"/>
    <w:rsid w:val="060F0DF9"/>
    <w:rsid w:val="06222960"/>
    <w:rsid w:val="06425E9A"/>
    <w:rsid w:val="06775941"/>
    <w:rsid w:val="0684130B"/>
    <w:rsid w:val="06A92430"/>
    <w:rsid w:val="06E034A8"/>
    <w:rsid w:val="06F06710"/>
    <w:rsid w:val="070172DE"/>
    <w:rsid w:val="0734330C"/>
    <w:rsid w:val="075A75A7"/>
    <w:rsid w:val="076945BB"/>
    <w:rsid w:val="07741DE1"/>
    <w:rsid w:val="07A2157A"/>
    <w:rsid w:val="07CD7102"/>
    <w:rsid w:val="080B6BFB"/>
    <w:rsid w:val="081C10CF"/>
    <w:rsid w:val="081C7983"/>
    <w:rsid w:val="08AC3E15"/>
    <w:rsid w:val="08E06F2B"/>
    <w:rsid w:val="08F15C13"/>
    <w:rsid w:val="090018AD"/>
    <w:rsid w:val="090719E8"/>
    <w:rsid w:val="091657B0"/>
    <w:rsid w:val="094301E5"/>
    <w:rsid w:val="094E49EE"/>
    <w:rsid w:val="0974627A"/>
    <w:rsid w:val="09DE26B4"/>
    <w:rsid w:val="0A274D14"/>
    <w:rsid w:val="0A670967"/>
    <w:rsid w:val="0A6A3854"/>
    <w:rsid w:val="0A802215"/>
    <w:rsid w:val="0AAF35DA"/>
    <w:rsid w:val="0AB04CB6"/>
    <w:rsid w:val="0AC770BB"/>
    <w:rsid w:val="0ADA483A"/>
    <w:rsid w:val="0ADD096A"/>
    <w:rsid w:val="0AE63489"/>
    <w:rsid w:val="0AFB6903"/>
    <w:rsid w:val="0B3D4F56"/>
    <w:rsid w:val="0B4D592E"/>
    <w:rsid w:val="0B545624"/>
    <w:rsid w:val="0B6658B6"/>
    <w:rsid w:val="0B676D53"/>
    <w:rsid w:val="0B966D4A"/>
    <w:rsid w:val="0BA1268D"/>
    <w:rsid w:val="0BEB52D5"/>
    <w:rsid w:val="0BF40BC7"/>
    <w:rsid w:val="0C78746C"/>
    <w:rsid w:val="0C8B68CA"/>
    <w:rsid w:val="0CB21A4C"/>
    <w:rsid w:val="0CC43322"/>
    <w:rsid w:val="0CF1370F"/>
    <w:rsid w:val="0D216D73"/>
    <w:rsid w:val="0D2D6BAC"/>
    <w:rsid w:val="0D42272B"/>
    <w:rsid w:val="0D731D3C"/>
    <w:rsid w:val="0DF13432"/>
    <w:rsid w:val="0DF21A80"/>
    <w:rsid w:val="0E254A5A"/>
    <w:rsid w:val="0E4D4265"/>
    <w:rsid w:val="0E803B6C"/>
    <w:rsid w:val="0E981A00"/>
    <w:rsid w:val="0EA74205"/>
    <w:rsid w:val="0EB81479"/>
    <w:rsid w:val="0EEE7C89"/>
    <w:rsid w:val="0F133F24"/>
    <w:rsid w:val="0F136D08"/>
    <w:rsid w:val="0F1A13DA"/>
    <w:rsid w:val="0F2D0F2D"/>
    <w:rsid w:val="0F32672C"/>
    <w:rsid w:val="0F4725AF"/>
    <w:rsid w:val="0F552DBC"/>
    <w:rsid w:val="0F761CA8"/>
    <w:rsid w:val="0F8A7010"/>
    <w:rsid w:val="0FC61D0B"/>
    <w:rsid w:val="0FE648D0"/>
    <w:rsid w:val="100976E6"/>
    <w:rsid w:val="101A64DB"/>
    <w:rsid w:val="101D7F0A"/>
    <w:rsid w:val="105969FC"/>
    <w:rsid w:val="10683E04"/>
    <w:rsid w:val="109423C7"/>
    <w:rsid w:val="10F45325"/>
    <w:rsid w:val="10F7291E"/>
    <w:rsid w:val="11157141"/>
    <w:rsid w:val="111F7C44"/>
    <w:rsid w:val="1133314B"/>
    <w:rsid w:val="11863365"/>
    <w:rsid w:val="118F7A1F"/>
    <w:rsid w:val="11AD2EBC"/>
    <w:rsid w:val="11DD05BE"/>
    <w:rsid w:val="11E54C2D"/>
    <w:rsid w:val="12173200"/>
    <w:rsid w:val="121B366D"/>
    <w:rsid w:val="122E2C51"/>
    <w:rsid w:val="12A713D5"/>
    <w:rsid w:val="12B0209B"/>
    <w:rsid w:val="12DA5FBA"/>
    <w:rsid w:val="12E26A68"/>
    <w:rsid w:val="12E665F2"/>
    <w:rsid w:val="12F233D5"/>
    <w:rsid w:val="132C17D9"/>
    <w:rsid w:val="13680BE8"/>
    <w:rsid w:val="138826B8"/>
    <w:rsid w:val="13C01122"/>
    <w:rsid w:val="13D41C60"/>
    <w:rsid w:val="13E74F7A"/>
    <w:rsid w:val="140F493F"/>
    <w:rsid w:val="142C780D"/>
    <w:rsid w:val="14856B83"/>
    <w:rsid w:val="148E7405"/>
    <w:rsid w:val="14B922F8"/>
    <w:rsid w:val="14B92328"/>
    <w:rsid w:val="14DA3DFA"/>
    <w:rsid w:val="14DB4584"/>
    <w:rsid w:val="14EE713A"/>
    <w:rsid w:val="15142516"/>
    <w:rsid w:val="15227AC5"/>
    <w:rsid w:val="1539166F"/>
    <w:rsid w:val="155A5536"/>
    <w:rsid w:val="15627B5D"/>
    <w:rsid w:val="157B75AD"/>
    <w:rsid w:val="159F75E7"/>
    <w:rsid w:val="15BC1090"/>
    <w:rsid w:val="15D555E6"/>
    <w:rsid w:val="16235917"/>
    <w:rsid w:val="163B345B"/>
    <w:rsid w:val="164C5A4A"/>
    <w:rsid w:val="167C1848"/>
    <w:rsid w:val="1684140D"/>
    <w:rsid w:val="169750DF"/>
    <w:rsid w:val="16D12419"/>
    <w:rsid w:val="1719707D"/>
    <w:rsid w:val="172B28DA"/>
    <w:rsid w:val="174A632B"/>
    <w:rsid w:val="175B0419"/>
    <w:rsid w:val="1761469A"/>
    <w:rsid w:val="17820812"/>
    <w:rsid w:val="17920598"/>
    <w:rsid w:val="17936AB5"/>
    <w:rsid w:val="179C5B83"/>
    <w:rsid w:val="17B339D8"/>
    <w:rsid w:val="17DC40A7"/>
    <w:rsid w:val="17E038C1"/>
    <w:rsid w:val="17F2607D"/>
    <w:rsid w:val="17F72FAD"/>
    <w:rsid w:val="181D13D7"/>
    <w:rsid w:val="182E164F"/>
    <w:rsid w:val="18445D4E"/>
    <w:rsid w:val="184460CB"/>
    <w:rsid w:val="18593F1C"/>
    <w:rsid w:val="18794590"/>
    <w:rsid w:val="18990935"/>
    <w:rsid w:val="18CF38A0"/>
    <w:rsid w:val="19225537"/>
    <w:rsid w:val="194342E3"/>
    <w:rsid w:val="196806D1"/>
    <w:rsid w:val="1969269C"/>
    <w:rsid w:val="19915D1D"/>
    <w:rsid w:val="199F17C4"/>
    <w:rsid w:val="19A152BE"/>
    <w:rsid w:val="19AC1408"/>
    <w:rsid w:val="19B81AD2"/>
    <w:rsid w:val="19CC4083"/>
    <w:rsid w:val="1A0D6899"/>
    <w:rsid w:val="1A1B5C23"/>
    <w:rsid w:val="1A487A53"/>
    <w:rsid w:val="1A5C0B41"/>
    <w:rsid w:val="1B0A1593"/>
    <w:rsid w:val="1B122C7E"/>
    <w:rsid w:val="1B3603F7"/>
    <w:rsid w:val="1B4A338D"/>
    <w:rsid w:val="1B6F2397"/>
    <w:rsid w:val="1B9400E0"/>
    <w:rsid w:val="1BE42BED"/>
    <w:rsid w:val="1BFC2DCA"/>
    <w:rsid w:val="1C084D5C"/>
    <w:rsid w:val="1C284A2C"/>
    <w:rsid w:val="1C4579DA"/>
    <w:rsid w:val="1C486214"/>
    <w:rsid w:val="1CC45EC7"/>
    <w:rsid w:val="1CCE090A"/>
    <w:rsid w:val="1CFD66E3"/>
    <w:rsid w:val="1D2D3D67"/>
    <w:rsid w:val="1D444884"/>
    <w:rsid w:val="1DCC3694"/>
    <w:rsid w:val="1DD429F2"/>
    <w:rsid w:val="1E0B5D01"/>
    <w:rsid w:val="1E273CBE"/>
    <w:rsid w:val="1E4E0FFE"/>
    <w:rsid w:val="1E5B00B9"/>
    <w:rsid w:val="1EB0110A"/>
    <w:rsid w:val="1EE2438C"/>
    <w:rsid w:val="1F0574FB"/>
    <w:rsid w:val="1F4B17D9"/>
    <w:rsid w:val="1F4E5D32"/>
    <w:rsid w:val="1FBB76CD"/>
    <w:rsid w:val="1FE45056"/>
    <w:rsid w:val="1FF51B66"/>
    <w:rsid w:val="202830B2"/>
    <w:rsid w:val="206664DD"/>
    <w:rsid w:val="208F7CDB"/>
    <w:rsid w:val="20974961"/>
    <w:rsid w:val="20D63D6E"/>
    <w:rsid w:val="20E73350"/>
    <w:rsid w:val="20F0558A"/>
    <w:rsid w:val="20FA43BF"/>
    <w:rsid w:val="20FF0A6B"/>
    <w:rsid w:val="21113545"/>
    <w:rsid w:val="21373BBB"/>
    <w:rsid w:val="21420B91"/>
    <w:rsid w:val="216A1E2B"/>
    <w:rsid w:val="217730D5"/>
    <w:rsid w:val="217F74BA"/>
    <w:rsid w:val="219A6388"/>
    <w:rsid w:val="219E3CD8"/>
    <w:rsid w:val="21CF7CF3"/>
    <w:rsid w:val="220E15B1"/>
    <w:rsid w:val="22592FDD"/>
    <w:rsid w:val="227E2A4F"/>
    <w:rsid w:val="22980FF7"/>
    <w:rsid w:val="22EA693A"/>
    <w:rsid w:val="22F06A07"/>
    <w:rsid w:val="22F93413"/>
    <w:rsid w:val="232F7D23"/>
    <w:rsid w:val="233C30F0"/>
    <w:rsid w:val="23591D32"/>
    <w:rsid w:val="23687130"/>
    <w:rsid w:val="23816358"/>
    <w:rsid w:val="2391358D"/>
    <w:rsid w:val="23D53EB0"/>
    <w:rsid w:val="23D80339"/>
    <w:rsid w:val="23E057B0"/>
    <w:rsid w:val="247B3AE6"/>
    <w:rsid w:val="248851CA"/>
    <w:rsid w:val="24914AB7"/>
    <w:rsid w:val="24AE4601"/>
    <w:rsid w:val="24FB36D6"/>
    <w:rsid w:val="252546E8"/>
    <w:rsid w:val="252634A2"/>
    <w:rsid w:val="2539357C"/>
    <w:rsid w:val="25441DAF"/>
    <w:rsid w:val="2551246C"/>
    <w:rsid w:val="25674446"/>
    <w:rsid w:val="256D46DC"/>
    <w:rsid w:val="2584109A"/>
    <w:rsid w:val="25A4555F"/>
    <w:rsid w:val="25C0635D"/>
    <w:rsid w:val="25C56EF1"/>
    <w:rsid w:val="25CB3D5E"/>
    <w:rsid w:val="261A57B1"/>
    <w:rsid w:val="26357D75"/>
    <w:rsid w:val="26440F3D"/>
    <w:rsid w:val="26520004"/>
    <w:rsid w:val="266814CD"/>
    <w:rsid w:val="26AF226F"/>
    <w:rsid w:val="26C43EC7"/>
    <w:rsid w:val="273E3660"/>
    <w:rsid w:val="276D0969"/>
    <w:rsid w:val="27BC331F"/>
    <w:rsid w:val="27D06637"/>
    <w:rsid w:val="27E5433A"/>
    <w:rsid w:val="27EF61B4"/>
    <w:rsid w:val="28095D39"/>
    <w:rsid w:val="28285F23"/>
    <w:rsid w:val="283835EA"/>
    <w:rsid w:val="283A32F8"/>
    <w:rsid w:val="283A4493"/>
    <w:rsid w:val="28406960"/>
    <w:rsid w:val="2845199A"/>
    <w:rsid w:val="28452A6C"/>
    <w:rsid w:val="285E7AA0"/>
    <w:rsid w:val="28967EAD"/>
    <w:rsid w:val="289C0A28"/>
    <w:rsid w:val="28B841F4"/>
    <w:rsid w:val="28CB3419"/>
    <w:rsid w:val="28D24C25"/>
    <w:rsid w:val="28F03283"/>
    <w:rsid w:val="29100FAF"/>
    <w:rsid w:val="291C57A0"/>
    <w:rsid w:val="29283527"/>
    <w:rsid w:val="292A1E1F"/>
    <w:rsid w:val="29594643"/>
    <w:rsid w:val="295959FF"/>
    <w:rsid w:val="296827EA"/>
    <w:rsid w:val="29753330"/>
    <w:rsid w:val="29A31E52"/>
    <w:rsid w:val="29BB78B4"/>
    <w:rsid w:val="29BF3741"/>
    <w:rsid w:val="2A0308B0"/>
    <w:rsid w:val="2A031E0C"/>
    <w:rsid w:val="2A117042"/>
    <w:rsid w:val="2A8F219B"/>
    <w:rsid w:val="2A8F5984"/>
    <w:rsid w:val="2ADB7D15"/>
    <w:rsid w:val="2B1B20EA"/>
    <w:rsid w:val="2B1D5948"/>
    <w:rsid w:val="2B3B2351"/>
    <w:rsid w:val="2BB30B98"/>
    <w:rsid w:val="2BE614D9"/>
    <w:rsid w:val="2BF30AB0"/>
    <w:rsid w:val="2C637127"/>
    <w:rsid w:val="2C796D8B"/>
    <w:rsid w:val="2C7D70C1"/>
    <w:rsid w:val="2C850B51"/>
    <w:rsid w:val="2C894E4C"/>
    <w:rsid w:val="2CB824E8"/>
    <w:rsid w:val="2D6929D4"/>
    <w:rsid w:val="2D83304B"/>
    <w:rsid w:val="2D897FC3"/>
    <w:rsid w:val="2DA57A9C"/>
    <w:rsid w:val="2DC5334D"/>
    <w:rsid w:val="2DCE789A"/>
    <w:rsid w:val="2DDC525F"/>
    <w:rsid w:val="2E14037E"/>
    <w:rsid w:val="2E336AB9"/>
    <w:rsid w:val="2EB44641"/>
    <w:rsid w:val="2EC94CDE"/>
    <w:rsid w:val="2ED5006B"/>
    <w:rsid w:val="2EDA1C17"/>
    <w:rsid w:val="2EE028B3"/>
    <w:rsid w:val="2EEB59D0"/>
    <w:rsid w:val="2EFC7A58"/>
    <w:rsid w:val="2F04596D"/>
    <w:rsid w:val="2F260154"/>
    <w:rsid w:val="2F2C3A4D"/>
    <w:rsid w:val="2F2D40A3"/>
    <w:rsid w:val="2FA774C5"/>
    <w:rsid w:val="2FD05FC8"/>
    <w:rsid w:val="30114E63"/>
    <w:rsid w:val="3016553A"/>
    <w:rsid w:val="30177A62"/>
    <w:rsid w:val="302E6DEA"/>
    <w:rsid w:val="304D18A5"/>
    <w:rsid w:val="30541426"/>
    <w:rsid w:val="30687E8C"/>
    <w:rsid w:val="30706DED"/>
    <w:rsid w:val="307A2BED"/>
    <w:rsid w:val="3089349D"/>
    <w:rsid w:val="30CD5DD2"/>
    <w:rsid w:val="30D43F00"/>
    <w:rsid w:val="30D541D8"/>
    <w:rsid w:val="3127645A"/>
    <w:rsid w:val="31A77669"/>
    <w:rsid w:val="31C60B59"/>
    <w:rsid w:val="31E15DD5"/>
    <w:rsid w:val="32077328"/>
    <w:rsid w:val="32142A99"/>
    <w:rsid w:val="32281C34"/>
    <w:rsid w:val="32325A2A"/>
    <w:rsid w:val="325912C4"/>
    <w:rsid w:val="328B2AB2"/>
    <w:rsid w:val="32B24C3C"/>
    <w:rsid w:val="32B3587A"/>
    <w:rsid w:val="32B715C9"/>
    <w:rsid w:val="32D32C59"/>
    <w:rsid w:val="32DB385B"/>
    <w:rsid w:val="32E15C20"/>
    <w:rsid w:val="33006B01"/>
    <w:rsid w:val="337027E7"/>
    <w:rsid w:val="33842183"/>
    <w:rsid w:val="339F62A9"/>
    <w:rsid w:val="33A635D1"/>
    <w:rsid w:val="3402116D"/>
    <w:rsid w:val="34221E5F"/>
    <w:rsid w:val="34386E6D"/>
    <w:rsid w:val="349A13E5"/>
    <w:rsid w:val="34C07B3C"/>
    <w:rsid w:val="34E7055B"/>
    <w:rsid w:val="34F819D8"/>
    <w:rsid w:val="34F86957"/>
    <w:rsid w:val="3517109F"/>
    <w:rsid w:val="354D0C9B"/>
    <w:rsid w:val="357813C1"/>
    <w:rsid w:val="357B533D"/>
    <w:rsid w:val="35964DBB"/>
    <w:rsid w:val="35A0083C"/>
    <w:rsid w:val="35C239A4"/>
    <w:rsid w:val="35CC4B44"/>
    <w:rsid w:val="35CD03D9"/>
    <w:rsid w:val="35D36E1F"/>
    <w:rsid w:val="35D70FF8"/>
    <w:rsid w:val="36415799"/>
    <w:rsid w:val="36475479"/>
    <w:rsid w:val="364F1615"/>
    <w:rsid w:val="366B2770"/>
    <w:rsid w:val="36D80B9E"/>
    <w:rsid w:val="375A21BC"/>
    <w:rsid w:val="3782091B"/>
    <w:rsid w:val="3794594B"/>
    <w:rsid w:val="37A638CA"/>
    <w:rsid w:val="37BE09E5"/>
    <w:rsid w:val="37DC7FCA"/>
    <w:rsid w:val="37E319F4"/>
    <w:rsid w:val="381E5EAE"/>
    <w:rsid w:val="38644550"/>
    <w:rsid w:val="38774D05"/>
    <w:rsid w:val="38B04B1C"/>
    <w:rsid w:val="38F14651"/>
    <w:rsid w:val="38FF2C00"/>
    <w:rsid w:val="391530D9"/>
    <w:rsid w:val="393F770A"/>
    <w:rsid w:val="394E2BCB"/>
    <w:rsid w:val="39567D9F"/>
    <w:rsid w:val="397630F9"/>
    <w:rsid w:val="39A76DC0"/>
    <w:rsid w:val="39D16557"/>
    <w:rsid w:val="39D25676"/>
    <w:rsid w:val="39E42021"/>
    <w:rsid w:val="3A1073CB"/>
    <w:rsid w:val="3A2424EB"/>
    <w:rsid w:val="3A323A9F"/>
    <w:rsid w:val="3A5D3485"/>
    <w:rsid w:val="3A824AE7"/>
    <w:rsid w:val="3AC044CA"/>
    <w:rsid w:val="3AC33F09"/>
    <w:rsid w:val="3AD9238A"/>
    <w:rsid w:val="3ADA1C32"/>
    <w:rsid w:val="3B455353"/>
    <w:rsid w:val="3B49555F"/>
    <w:rsid w:val="3B5D25D9"/>
    <w:rsid w:val="3B5F2DAD"/>
    <w:rsid w:val="3B6113E2"/>
    <w:rsid w:val="3B80785C"/>
    <w:rsid w:val="3B976352"/>
    <w:rsid w:val="3BB04B8C"/>
    <w:rsid w:val="3BE953A2"/>
    <w:rsid w:val="3BFC038B"/>
    <w:rsid w:val="3BFD2201"/>
    <w:rsid w:val="3C0B13DF"/>
    <w:rsid w:val="3C600CBC"/>
    <w:rsid w:val="3C680981"/>
    <w:rsid w:val="3C9A5180"/>
    <w:rsid w:val="3CAD3C40"/>
    <w:rsid w:val="3CFF18A7"/>
    <w:rsid w:val="3D0B2D9F"/>
    <w:rsid w:val="3D1C0E35"/>
    <w:rsid w:val="3D2615D0"/>
    <w:rsid w:val="3D26659A"/>
    <w:rsid w:val="3D4A5D50"/>
    <w:rsid w:val="3D615884"/>
    <w:rsid w:val="3D6C7DCB"/>
    <w:rsid w:val="3DCE0520"/>
    <w:rsid w:val="3DDE6517"/>
    <w:rsid w:val="3DF67961"/>
    <w:rsid w:val="3E2106A9"/>
    <w:rsid w:val="3E265CE1"/>
    <w:rsid w:val="3E2730A1"/>
    <w:rsid w:val="3E48475A"/>
    <w:rsid w:val="3E4B3711"/>
    <w:rsid w:val="3E4C74CF"/>
    <w:rsid w:val="3E8E111C"/>
    <w:rsid w:val="3E9A4029"/>
    <w:rsid w:val="3EA3568C"/>
    <w:rsid w:val="3ECA29CE"/>
    <w:rsid w:val="3ECD70C6"/>
    <w:rsid w:val="3EE53BDC"/>
    <w:rsid w:val="3EF506CC"/>
    <w:rsid w:val="3F1A432E"/>
    <w:rsid w:val="3F2E07D1"/>
    <w:rsid w:val="3F35641D"/>
    <w:rsid w:val="3F364B01"/>
    <w:rsid w:val="3F4E102C"/>
    <w:rsid w:val="3F576381"/>
    <w:rsid w:val="3F582270"/>
    <w:rsid w:val="3F6F54DF"/>
    <w:rsid w:val="3F894D9E"/>
    <w:rsid w:val="3F9E4154"/>
    <w:rsid w:val="3FB4789A"/>
    <w:rsid w:val="3FC410C5"/>
    <w:rsid w:val="3FCC3961"/>
    <w:rsid w:val="3FD42B4F"/>
    <w:rsid w:val="400075EB"/>
    <w:rsid w:val="400E20D1"/>
    <w:rsid w:val="403927B4"/>
    <w:rsid w:val="404C0AB8"/>
    <w:rsid w:val="407A6915"/>
    <w:rsid w:val="40A1621A"/>
    <w:rsid w:val="40B80353"/>
    <w:rsid w:val="40E63509"/>
    <w:rsid w:val="41246B2B"/>
    <w:rsid w:val="412B5FCA"/>
    <w:rsid w:val="41335D4E"/>
    <w:rsid w:val="413E7575"/>
    <w:rsid w:val="4145142C"/>
    <w:rsid w:val="41BC3C97"/>
    <w:rsid w:val="41C625AF"/>
    <w:rsid w:val="41CF051C"/>
    <w:rsid w:val="41F05DA9"/>
    <w:rsid w:val="421620DF"/>
    <w:rsid w:val="42246753"/>
    <w:rsid w:val="428D2F65"/>
    <w:rsid w:val="429E2461"/>
    <w:rsid w:val="42BE2361"/>
    <w:rsid w:val="42D132FB"/>
    <w:rsid w:val="42DC32C4"/>
    <w:rsid w:val="43055F9E"/>
    <w:rsid w:val="4321600F"/>
    <w:rsid w:val="434C5AB8"/>
    <w:rsid w:val="43DF438F"/>
    <w:rsid w:val="43FC4722"/>
    <w:rsid w:val="44013E70"/>
    <w:rsid w:val="44481958"/>
    <w:rsid w:val="444A6BD1"/>
    <w:rsid w:val="444D276C"/>
    <w:rsid w:val="446C481B"/>
    <w:rsid w:val="446F6F73"/>
    <w:rsid w:val="44895819"/>
    <w:rsid w:val="448C5777"/>
    <w:rsid w:val="44B47891"/>
    <w:rsid w:val="44C65ACB"/>
    <w:rsid w:val="452071C9"/>
    <w:rsid w:val="45237113"/>
    <w:rsid w:val="4527197B"/>
    <w:rsid w:val="45572EFE"/>
    <w:rsid w:val="457838D8"/>
    <w:rsid w:val="4582115D"/>
    <w:rsid w:val="45C27BE3"/>
    <w:rsid w:val="46014C78"/>
    <w:rsid w:val="46452E23"/>
    <w:rsid w:val="464D3D4D"/>
    <w:rsid w:val="469B605E"/>
    <w:rsid w:val="46AA1F11"/>
    <w:rsid w:val="46BB7AA0"/>
    <w:rsid w:val="46C17788"/>
    <w:rsid w:val="46CC546D"/>
    <w:rsid w:val="46E324AF"/>
    <w:rsid w:val="46EC49C0"/>
    <w:rsid w:val="4720222D"/>
    <w:rsid w:val="47355EC7"/>
    <w:rsid w:val="47764DB6"/>
    <w:rsid w:val="477D26D7"/>
    <w:rsid w:val="47854777"/>
    <w:rsid w:val="47E31599"/>
    <w:rsid w:val="483F1627"/>
    <w:rsid w:val="484910C2"/>
    <w:rsid w:val="485405BC"/>
    <w:rsid w:val="486B2735"/>
    <w:rsid w:val="4871213E"/>
    <w:rsid w:val="488B56AC"/>
    <w:rsid w:val="48CC3954"/>
    <w:rsid w:val="48D60259"/>
    <w:rsid w:val="48E05DB7"/>
    <w:rsid w:val="48E75B94"/>
    <w:rsid w:val="48EA49EB"/>
    <w:rsid w:val="491639D3"/>
    <w:rsid w:val="49250EED"/>
    <w:rsid w:val="49866979"/>
    <w:rsid w:val="49926336"/>
    <w:rsid w:val="49A92383"/>
    <w:rsid w:val="49B478E7"/>
    <w:rsid w:val="4A1913D2"/>
    <w:rsid w:val="4A682188"/>
    <w:rsid w:val="4A6A314B"/>
    <w:rsid w:val="4A860DC3"/>
    <w:rsid w:val="4A8B3647"/>
    <w:rsid w:val="4A9A71E4"/>
    <w:rsid w:val="4ACA5F47"/>
    <w:rsid w:val="4B1C270A"/>
    <w:rsid w:val="4B3D354C"/>
    <w:rsid w:val="4B4655D6"/>
    <w:rsid w:val="4B616F89"/>
    <w:rsid w:val="4B6976A2"/>
    <w:rsid w:val="4B8F2702"/>
    <w:rsid w:val="4BA91D4A"/>
    <w:rsid w:val="4BC64415"/>
    <w:rsid w:val="4C1E6B87"/>
    <w:rsid w:val="4C387FE4"/>
    <w:rsid w:val="4C643419"/>
    <w:rsid w:val="4C7246F3"/>
    <w:rsid w:val="4C8153E8"/>
    <w:rsid w:val="4C831B8A"/>
    <w:rsid w:val="4C893252"/>
    <w:rsid w:val="4CB768E0"/>
    <w:rsid w:val="4CB77D88"/>
    <w:rsid w:val="4CC01FB4"/>
    <w:rsid w:val="4D0A0F10"/>
    <w:rsid w:val="4D2A58BA"/>
    <w:rsid w:val="4D536C97"/>
    <w:rsid w:val="4D54607B"/>
    <w:rsid w:val="4D7E2FE3"/>
    <w:rsid w:val="4DAD2868"/>
    <w:rsid w:val="4DBD5A5E"/>
    <w:rsid w:val="4DC7024C"/>
    <w:rsid w:val="4DCC2F54"/>
    <w:rsid w:val="4E1F0D00"/>
    <w:rsid w:val="4E295DAB"/>
    <w:rsid w:val="4E336F9E"/>
    <w:rsid w:val="4EA230BC"/>
    <w:rsid w:val="4EB32E2B"/>
    <w:rsid w:val="4EEF0C05"/>
    <w:rsid w:val="4F142BFD"/>
    <w:rsid w:val="4F225C4A"/>
    <w:rsid w:val="4F6D41D5"/>
    <w:rsid w:val="4F716BA8"/>
    <w:rsid w:val="4F7261BB"/>
    <w:rsid w:val="4F8F0BE6"/>
    <w:rsid w:val="4F9C6295"/>
    <w:rsid w:val="4FAB4F42"/>
    <w:rsid w:val="4FC8506F"/>
    <w:rsid w:val="4FD02497"/>
    <w:rsid w:val="502F6A30"/>
    <w:rsid w:val="504A26DB"/>
    <w:rsid w:val="507035CF"/>
    <w:rsid w:val="507C4D08"/>
    <w:rsid w:val="50B8474C"/>
    <w:rsid w:val="50F76041"/>
    <w:rsid w:val="510737C2"/>
    <w:rsid w:val="514E559A"/>
    <w:rsid w:val="51580B71"/>
    <w:rsid w:val="51B15952"/>
    <w:rsid w:val="51D65839"/>
    <w:rsid w:val="51E8496C"/>
    <w:rsid w:val="520872C7"/>
    <w:rsid w:val="52835A7F"/>
    <w:rsid w:val="52D967C0"/>
    <w:rsid w:val="52E71C77"/>
    <w:rsid w:val="52EA35F6"/>
    <w:rsid w:val="53130B62"/>
    <w:rsid w:val="5323490F"/>
    <w:rsid w:val="53294022"/>
    <w:rsid w:val="53354E1A"/>
    <w:rsid w:val="53A708BB"/>
    <w:rsid w:val="53C30F5B"/>
    <w:rsid w:val="54115660"/>
    <w:rsid w:val="543D6BED"/>
    <w:rsid w:val="544B15D9"/>
    <w:rsid w:val="54614F62"/>
    <w:rsid w:val="54700509"/>
    <w:rsid w:val="54D8441B"/>
    <w:rsid w:val="54DD12F9"/>
    <w:rsid w:val="551727AE"/>
    <w:rsid w:val="55271AB4"/>
    <w:rsid w:val="55555437"/>
    <w:rsid w:val="55791872"/>
    <w:rsid w:val="5584739D"/>
    <w:rsid w:val="55BB6FD4"/>
    <w:rsid w:val="55C73405"/>
    <w:rsid w:val="55E9591E"/>
    <w:rsid w:val="56361DAB"/>
    <w:rsid w:val="564D76C4"/>
    <w:rsid w:val="56657C8B"/>
    <w:rsid w:val="56813176"/>
    <w:rsid w:val="56961D9D"/>
    <w:rsid w:val="56A557B2"/>
    <w:rsid w:val="56C17F4A"/>
    <w:rsid w:val="56D01F0B"/>
    <w:rsid w:val="572D1F31"/>
    <w:rsid w:val="57594468"/>
    <w:rsid w:val="575B258A"/>
    <w:rsid w:val="575E2713"/>
    <w:rsid w:val="57936F71"/>
    <w:rsid w:val="57CF196D"/>
    <w:rsid w:val="57CF6926"/>
    <w:rsid w:val="57CF770A"/>
    <w:rsid w:val="57D66786"/>
    <w:rsid w:val="57DD4699"/>
    <w:rsid w:val="58397A17"/>
    <w:rsid w:val="583C1CAD"/>
    <w:rsid w:val="586B6234"/>
    <w:rsid w:val="587C0C3F"/>
    <w:rsid w:val="588615FB"/>
    <w:rsid w:val="58A7021B"/>
    <w:rsid w:val="58BE1ECF"/>
    <w:rsid w:val="58BE475E"/>
    <w:rsid w:val="58DC3F35"/>
    <w:rsid w:val="590638FA"/>
    <w:rsid w:val="590C6909"/>
    <w:rsid w:val="592133CA"/>
    <w:rsid w:val="593E2AD4"/>
    <w:rsid w:val="598A2F5F"/>
    <w:rsid w:val="59A06881"/>
    <w:rsid w:val="59D77167"/>
    <w:rsid w:val="59FD3EE5"/>
    <w:rsid w:val="5A0F1B5B"/>
    <w:rsid w:val="5A2B4255"/>
    <w:rsid w:val="5A5B3749"/>
    <w:rsid w:val="5A9155FA"/>
    <w:rsid w:val="5AE731B8"/>
    <w:rsid w:val="5AFA4F8A"/>
    <w:rsid w:val="5B0B4B3D"/>
    <w:rsid w:val="5B462075"/>
    <w:rsid w:val="5B521B3E"/>
    <w:rsid w:val="5B5C070D"/>
    <w:rsid w:val="5B8C6B05"/>
    <w:rsid w:val="5B9F029A"/>
    <w:rsid w:val="5C225FA7"/>
    <w:rsid w:val="5C47161F"/>
    <w:rsid w:val="5C7155D3"/>
    <w:rsid w:val="5C7A091C"/>
    <w:rsid w:val="5C877CE2"/>
    <w:rsid w:val="5CA91110"/>
    <w:rsid w:val="5CEF1C2C"/>
    <w:rsid w:val="5D155BE1"/>
    <w:rsid w:val="5D206E8C"/>
    <w:rsid w:val="5D215412"/>
    <w:rsid w:val="5D4E5502"/>
    <w:rsid w:val="5D564D85"/>
    <w:rsid w:val="5D7B43B7"/>
    <w:rsid w:val="5D8D3969"/>
    <w:rsid w:val="5DEC2C3F"/>
    <w:rsid w:val="5E011B92"/>
    <w:rsid w:val="5E071EE3"/>
    <w:rsid w:val="5EBA34AB"/>
    <w:rsid w:val="5EE05833"/>
    <w:rsid w:val="5F1E0A55"/>
    <w:rsid w:val="5F2821E0"/>
    <w:rsid w:val="5F3344ED"/>
    <w:rsid w:val="5F5972B5"/>
    <w:rsid w:val="5F785507"/>
    <w:rsid w:val="5F7A2A48"/>
    <w:rsid w:val="5FB577CD"/>
    <w:rsid w:val="5FD05297"/>
    <w:rsid w:val="5FDD42FC"/>
    <w:rsid w:val="5FF14751"/>
    <w:rsid w:val="60004C71"/>
    <w:rsid w:val="60140341"/>
    <w:rsid w:val="60361B67"/>
    <w:rsid w:val="60395667"/>
    <w:rsid w:val="606777FE"/>
    <w:rsid w:val="607428BE"/>
    <w:rsid w:val="6084510D"/>
    <w:rsid w:val="60991E33"/>
    <w:rsid w:val="60C04DD2"/>
    <w:rsid w:val="610B7C07"/>
    <w:rsid w:val="618B606A"/>
    <w:rsid w:val="618D7445"/>
    <w:rsid w:val="61AC3A1F"/>
    <w:rsid w:val="61B4061F"/>
    <w:rsid w:val="61C87DD7"/>
    <w:rsid w:val="61DE2D9D"/>
    <w:rsid w:val="620060AA"/>
    <w:rsid w:val="62465AA7"/>
    <w:rsid w:val="624E07D6"/>
    <w:rsid w:val="62554171"/>
    <w:rsid w:val="626F4CF3"/>
    <w:rsid w:val="62AD0364"/>
    <w:rsid w:val="62C30AFA"/>
    <w:rsid w:val="62E14E70"/>
    <w:rsid w:val="62F9794D"/>
    <w:rsid w:val="63110157"/>
    <w:rsid w:val="63163450"/>
    <w:rsid w:val="63C51319"/>
    <w:rsid w:val="63C90225"/>
    <w:rsid w:val="64207756"/>
    <w:rsid w:val="64380B9D"/>
    <w:rsid w:val="64533937"/>
    <w:rsid w:val="64B4745A"/>
    <w:rsid w:val="64C65DD2"/>
    <w:rsid w:val="64D25A06"/>
    <w:rsid w:val="64D83B69"/>
    <w:rsid w:val="65C21893"/>
    <w:rsid w:val="65C37EAD"/>
    <w:rsid w:val="661560A2"/>
    <w:rsid w:val="66166F38"/>
    <w:rsid w:val="663D3E1A"/>
    <w:rsid w:val="66857477"/>
    <w:rsid w:val="66B95340"/>
    <w:rsid w:val="6712717F"/>
    <w:rsid w:val="67293416"/>
    <w:rsid w:val="675A5144"/>
    <w:rsid w:val="67621B26"/>
    <w:rsid w:val="67941D8C"/>
    <w:rsid w:val="679A1153"/>
    <w:rsid w:val="67BE03F6"/>
    <w:rsid w:val="67E277B4"/>
    <w:rsid w:val="67EE6639"/>
    <w:rsid w:val="67FC76B8"/>
    <w:rsid w:val="683C3851"/>
    <w:rsid w:val="68470F5F"/>
    <w:rsid w:val="685263C7"/>
    <w:rsid w:val="687A3803"/>
    <w:rsid w:val="68AC6696"/>
    <w:rsid w:val="68C416C2"/>
    <w:rsid w:val="68DA5C50"/>
    <w:rsid w:val="68F35C7E"/>
    <w:rsid w:val="690078FC"/>
    <w:rsid w:val="69021059"/>
    <w:rsid w:val="695556F1"/>
    <w:rsid w:val="695F4647"/>
    <w:rsid w:val="696B5BE5"/>
    <w:rsid w:val="697F38E6"/>
    <w:rsid w:val="69814938"/>
    <w:rsid w:val="69BB4267"/>
    <w:rsid w:val="69C14413"/>
    <w:rsid w:val="69C50256"/>
    <w:rsid w:val="69D75658"/>
    <w:rsid w:val="6A4E43D0"/>
    <w:rsid w:val="6AA1791F"/>
    <w:rsid w:val="6AC742F1"/>
    <w:rsid w:val="6ACD4857"/>
    <w:rsid w:val="6B496245"/>
    <w:rsid w:val="6B7975A2"/>
    <w:rsid w:val="6B7D1EE4"/>
    <w:rsid w:val="6B9C69F1"/>
    <w:rsid w:val="6BA149F7"/>
    <w:rsid w:val="6BA31E24"/>
    <w:rsid w:val="6BC90B44"/>
    <w:rsid w:val="6BD0637C"/>
    <w:rsid w:val="6BD5266B"/>
    <w:rsid w:val="6C0C0AED"/>
    <w:rsid w:val="6C66496C"/>
    <w:rsid w:val="6CB43B69"/>
    <w:rsid w:val="6CB53C6D"/>
    <w:rsid w:val="6CBC431E"/>
    <w:rsid w:val="6CDC3283"/>
    <w:rsid w:val="6CE635EB"/>
    <w:rsid w:val="6CF05F17"/>
    <w:rsid w:val="6D0E1251"/>
    <w:rsid w:val="6D2329D9"/>
    <w:rsid w:val="6D256854"/>
    <w:rsid w:val="6D337701"/>
    <w:rsid w:val="6D432F76"/>
    <w:rsid w:val="6D5E51D0"/>
    <w:rsid w:val="6D9D71E3"/>
    <w:rsid w:val="6DA012D8"/>
    <w:rsid w:val="6DAD0FAF"/>
    <w:rsid w:val="6DCF4F92"/>
    <w:rsid w:val="6DFC0194"/>
    <w:rsid w:val="6E011A4E"/>
    <w:rsid w:val="6E1365DC"/>
    <w:rsid w:val="6E205A5D"/>
    <w:rsid w:val="6E28030A"/>
    <w:rsid w:val="6E2A314C"/>
    <w:rsid w:val="6E2C1337"/>
    <w:rsid w:val="6E3E496D"/>
    <w:rsid w:val="6E780F21"/>
    <w:rsid w:val="6E877239"/>
    <w:rsid w:val="6EB06D86"/>
    <w:rsid w:val="6EFA30B2"/>
    <w:rsid w:val="6F0577A8"/>
    <w:rsid w:val="6F160A17"/>
    <w:rsid w:val="6F222E62"/>
    <w:rsid w:val="6F4A2BDF"/>
    <w:rsid w:val="6F5C03ED"/>
    <w:rsid w:val="6F887AD1"/>
    <w:rsid w:val="6F96351B"/>
    <w:rsid w:val="6FB2118C"/>
    <w:rsid w:val="6FB311E5"/>
    <w:rsid w:val="6FCA1481"/>
    <w:rsid w:val="6FE25552"/>
    <w:rsid w:val="6FEA7830"/>
    <w:rsid w:val="700700F7"/>
    <w:rsid w:val="701025F6"/>
    <w:rsid w:val="702E7B45"/>
    <w:rsid w:val="705802FB"/>
    <w:rsid w:val="705C5C76"/>
    <w:rsid w:val="706502DB"/>
    <w:rsid w:val="7086384E"/>
    <w:rsid w:val="70CB0A7C"/>
    <w:rsid w:val="70D2143E"/>
    <w:rsid w:val="70DD6151"/>
    <w:rsid w:val="71052DE1"/>
    <w:rsid w:val="71202CB5"/>
    <w:rsid w:val="718F0F81"/>
    <w:rsid w:val="719B1355"/>
    <w:rsid w:val="71AC7FA4"/>
    <w:rsid w:val="71C138D1"/>
    <w:rsid w:val="71DB2123"/>
    <w:rsid w:val="71F66ABB"/>
    <w:rsid w:val="72195DC1"/>
    <w:rsid w:val="721C2315"/>
    <w:rsid w:val="722542A3"/>
    <w:rsid w:val="72257E5C"/>
    <w:rsid w:val="72494CA4"/>
    <w:rsid w:val="72AA3887"/>
    <w:rsid w:val="72E522DC"/>
    <w:rsid w:val="7361233D"/>
    <w:rsid w:val="7368498D"/>
    <w:rsid w:val="736C0EE8"/>
    <w:rsid w:val="73AC559E"/>
    <w:rsid w:val="73B34071"/>
    <w:rsid w:val="73F317FC"/>
    <w:rsid w:val="741142D6"/>
    <w:rsid w:val="74443D60"/>
    <w:rsid w:val="749F4903"/>
    <w:rsid w:val="74BA6292"/>
    <w:rsid w:val="74D707AF"/>
    <w:rsid w:val="74F96ACC"/>
    <w:rsid w:val="751308C7"/>
    <w:rsid w:val="754C3AA7"/>
    <w:rsid w:val="756366FA"/>
    <w:rsid w:val="75B64648"/>
    <w:rsid w:val="75BD2DF8"/>
    <w:rsid w:val="75D94C0F"/>
    <w:rsid w:val="76024A0A"/>
    <w:rsid w:val="76352ADC"/>
    <w:rsid w:val="7648231B"/>
    <w:rsid w:val="7658346F"/>
    <w:rsid w:val="76915069"/>
    <w:rsid w:val="76962A71"/>
    <w:rsid w:val="76C34CB7"/>
    <w:rsid w:val="76D00E44"/>
    <w:rsid w:val="76F52BE3"/>
    <w:rsid w:val="76F90963"/>
    <w:rsid w:val="77021823"/>
    <w:rsid w:val="77315274"/>
    <w:rsid w:val="77534405"/>
    <w:rsid w:val="7762727C"/>
    <w:rsid w:val="776A1AE3"/>
    <w:rsid w:val="77B062EF"/>
    <w:rsid w:val="77EA3EC0"/>
    <w:rsid w:val="77F91F88"/>
    <w:rsid w:val="7823056C"/>
    <w:rsid w:val="784D1317"/>
    <w:rsid w:val="78901767"/>
    <w:rsid w:val="78D741CC"/>
    <w:rsid w:val="78E149C4"/>
    <w:rsid w:val="78E45ADF"/>
    <w:rsid w:val="78FC3EE6"/>
    <w:rsid w:val="791D6F6D"/>
    <w:rsid w:val="795678C6"/>
    <w:rsid w:val="799F4F4E"/>
    <w:rsid w:val="79A075BD"/>
    <w:rsid w:val="79A97F69"/>
    <w:rsid w:val="79AC7FAC"/>
    <w:rsid w:val="7A2662CF"/>
    <w:rsid w:val="7A602904"/>
    <w:rsid w:val="7A6F6402"/>
    <w:rsid w:val="7A7549CC"/>
    <w:rsid w:val="7AA242C7"/>
    <w:rsid w:val="7AB217D9"/>
    <w:rsid w:val="7AC275C3"/>
    <w:rsid w:val="7ACF737E"/>
    <w:rsid w:val="7ADA7EEF"/>
    <w:rsid w:val="7AF31DC6"/>
    <w:rsid w:val="7B0458BF"/>
    <w:rsid w:val="7B0D54FF"/>
    <w:rsid w:val="7B4664A3"/>
    <w:rsid w:val="7B6071E9"/>
    <w:rsid w:val="7B6720B2"/>
    <w:rsid w:val="7BA12185"/>
    <w:rsid w:val="7BC459F1"/>
    <w:rsid w:val="7BE17EE7"/>
    <w:rsid w:val="7C1A70F3"/>
    <w:rsid w:val="7C730027"/>
    <w:rsid w:val="7C947B48"/>
    <w:rsid w:val="7CB05E0B"/>
    <w:rsid w:val="7CBC4880"/>
    <w:rsid w:val="7CF219C5"/>
    <w:rsid w:val="7D200427"/>
    <w:rsid w:val="7D3938F9"/>
    <w:rsid w:val="7D6767FA"/>
    <w:rsid w:val="7D6825CB"/>
    <w:rsid w:val="7D8730DA"/>
    <w:rsid w:val="7DBB4EC4"/>
    <w:rsid w:val="7DD85024"/>
    <w:rsid w:val="7DDB4010"/>
    <w:rsid w:val="7E230CA6"/>
    <w:rsid w:val="7E38795B"/>
    <w:rsid w:val="7E5A7DBC"/>
    <w:rsid w:val="7E5E1AC1"/>
    <w:rsid w:val="7E706F2A"/>
    <w:rsid w:val="7E753DE4"/>
    <w:rsid w:val="7EB9724B"/>
    <w:rsid w:val="7EC145B8"/>
    <w:rsid w:val="7ECA40E2"/>
    <w:rsid w:val="7EE03800"/>
    <w:rsid w:val="7EEC1DCB"/>
    <w:rsid w:val="7F1D178A"/>
    <w:rsid w:val="7FAF743D"/>
    <w:rsid w:val="7FB930F4"/>
    <w:rsid w:val="7FC43944"/>
    <w:rsid w:val="7FD860E1"/>
    <w:rsid w:val="7FDC3B7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0" w:name="toc 2" w:locked="1"/>
    <w:lsdException w:uiPriority="0" w:name="toc 3" w:locked="1"/>
    <w:lsdException w:uiPriority="0" w:name="toc 4" w:locked="1"/>
    <w:lsdException w:uiPriority="0" w:name="toc 5" w:locked="1"/>
    <w:lsdException w:uiPriority="0" w:name="toc 6" w:locked="1"/>
    <w:lsdException w:uiPriority="0" w:name="toc 7" w:locked="1"/>
    <w:lsdException w:uiPriority="0" w:name="toc 8" w:locked="1"/>
    <w:lsdException w:uiPriority="0" w:name="toc 9" w:locked="1"/>
    <w:lsdException w:qFormat="1" w:unhideWhenUsed="0" w:uiPriority="0" w:semiHidden="0" w:name="Normal Indent"/>
    <w:lsdException w:uiPriority="99" w:name="footnote text"/>
    <w:lsdException w:qFormat="1" w:unhideWhenUsed="0" w:uiPriority="99" w:semiHidden="0" w:name="annotation text"/>
    <w:lsdException w:qFormat="1"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0" w:semiHidden="0" w:name="Date"/>
    <w:lsdException w:uiPriority="99" w:name="Body Text First Indent"/>
    <w:lsdException w:uiPriority="99" w:name="Body Text First Indent 2"/>
    <w:lsdException w:qFormat="1"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9"/>
    <w:qFormat/>
    <w:uiPriority w:val="99"/>
    <w:pPr>
      <w:keepNext/>
      <w:keepLines/>
      <w:spacing w:before="120" w:after="120"/>
      <w:jc w:val="center"/>
      <w:outlineLvl w:val="0"/>
    </w:pPr>
    <w:rPr>
      <w:rFonts w:eastAsia="黑体"/>
      <w:b/>
      <w:bCs/>
      <w:kern w:val="0"/>
      <w:sz w:val="72"/>
      <w:szCs w:val="44"/>
    </w:rPr>
  </w:style>
  <w:style w:type="paragraph" w:styleId="4">
    <w:name w:val="heading 2"/>
    <w:basedOn w:val="1"/>
    <w:next w:val="1"/>
    <w:link w:val="20"/>
    <w:qFormat/>
    <w:uiPriority w:val="0"/>
    <w:pPr>
      <w:keepNext/>
      <w:keepLines/>
      <w:spacing w:before="120" w:after="120"/>
      <w:jc w:val="center"/>
      <w:outlineLvl w:val="1"/>
    </w:pPr>
    <w:rPr>
      <w:rFonts w:ascii="Arial" w:hAnsi="Arial" w:eastAsia="黑体"/>
      <w:b/>
      <w:bCs/>
      <w:kern w:val="0"/>
      <w:sz w:val="32"/>
      <w:szCs w:val="32"/>
    </w:rPr>
  </w:style>
  <w:style w:type="paragraph" w:styleId="5">
    <w:name w:val="heading 3"/>
    <w:basedOn w:val="1"/>
    <w:next w:val="1"/>
    <w:link w:val="21"/>
    <w:qFormat/>
    <w:uiPriority w:val="0"/>
    <w:pPr>
      <w:keepNext/>
      <w:keepLines/>
      <w:spacing w:before="20" w:after="20"/>
      <w:outlineLvl w:val="2"/>
    </w:pPr>
    <w:rPr>
      <w:rFonts w:eastAsia="黑体"/>
      <w:kern w:val="0"/>
      <w:sz w:val="28"/>
      <w:szCs w:val="32"/>
    </w:rPr>
  </w:style>
  <w:style w:type="paragraph" w:styleId="6">
    <w:name w:val="heading 4"/>
    <w:basedOn w:val="1"/>
    <w:next w:val="1"/>
    <w:link w:val="22"/>
    <w:qFormat/>
    <w:uiPriority w:val="99"/>
    <w:pPr>
      <w:keepNext/>
      <w:keepLines/>
      <w:outlineLvl w:val="3"/>
    </w:pPr>
    <w:rPr>
      <w:rFonts w:ascii="Arial" w:hAnsi="Arial" w:eastAsia="黑体"/>
      <w:bCs/>
      <w:kern w:val="0"/>
      <w:sz w:val="24"/>
      <w:szCs w:val="28"/>
    </w:rPr>
  </w:style>
  <w:style w:type="paragraph" w:styleId="7">
    <w:name w:val="heading 5"/>
    <w:basedOn w:val="1"/>
    <w:next w:val="1"/>
    <w:link w:val="23"/>
    <w:qFormat/>
    <w:uiPriority w:val="99"/>
    <w:pPr>
      <w:keepNext/>
      <w:keepLines/>
      <w:jc w:val="center"/>
      <w:outlineLvl w:val="4"/>
    </w:pPr>
    <w:rPr>
      <w:rFonts w:ascii="宋体" w:hAnsi="宋体"/>
      <w:b/>
      <w:bCs/>
      <w:szCs w:val="21"/>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Note Heading"/>
    <w:basedOn w:val="1"/>
    <w:next w:val="1"/>
    <w:unhideWhenUsed/>
    <w:qFormat/>
    <w:uiPriority w:val="99"/>
    <w:pPr>
      <w:jc w:val="center"/>
    </w:pPr>
  </w:style>
  <w:style w:type="paragraph" w:styleId="8">
    <w:name w:val="Normal Indent"/>
    <w:basedOn w:val="1"/>
    <w:qFormat/>
    <w:uiPriority w:val="0"/>
    <w:pPr>
      <w:ind w:firstLine="420" w:firstLineChars="200"/>
    </w:pPr>
  </w:style>
  <w:style w:type="paragraph" w:styleId="9">
    <w:name w:val="annotation text"/>
    <w:basedOn w:val="1"/>
    <w:link w:val="24"/>
    <w:qFormat/>
    <w:uiPriority w:val="99"/>
    <w:pPr>
      <w:jc w:val="left"/>
    </w:pPr>
  </w:style>
  <w:style w:type="paragraph" w:styleId="10">
    <w:name w:val="Body Text"/>
    <w:basedOn w:val="1"/>
    <w:qFormat/>
    <w:uiPriority w:val="0"/>
    <w:pPr>
      <w:widowControl/>
    </w:pPr>
    <w:rPr>
      <w:rFonts w:ascii="仿宋_GB2312" w:eastAsia="仿宋_GB2312"/>
      <w:sz w:val="24"/>
    </w:rPr>
  </w:style>
  <w:style w:type="paragraph" w:styleId="11">
    <w:name w:val="Date"/>
    <w:basedOn w:val="1"/>
    <w:next w:val="1"/>
    <w:link w:val="25"/>
    <w:qFormat/>
    <w:uiPriority w:val="0"/>
    <w:pPr>
      <w:adjustRightInd w:val="0"/>
      <w:spacing w:line="360" w:lineRule="atLeast"/>
    </w:pPr>
    <w:rPr>
      <w:rFonts w:ascii="宋体"/>
      <w:kern w:val="0"/>
      <w:sz w:val="24"/>
      <w:szCs w:val="20"/>
    </w:rPr>
  </w:style>
  <w:style w:type="paragraph" w:styleId="12">
    <w:name w:val="footer"/>
    <w:basedOn w:val="1"/>
    <w:link w:val="26"/>
    <w:qFormat/>
    <w:uiPriority w:val="99"/>
    <w:pPr>
      <w:tabs>
        <w:tab w:val="center" w:pos="4153"/>
        <w:tab w:val="right" w:pos="8306"/>
      </w:tabs>
      <w:snapToGrid w:val="0"/>
      <w:jc w:val="left"/>
    </w:pPr>
    <w:rPr>
      <w:sz w:val="18"/>
      <w:szCs w:val="18"/>
    </w:rPr>
  </w:style>
  <w:style w:type="paragraph" w:styleId="13">
    <w:name w:val="header"/>
    <w:basedOn w:val="1"/>
    <w:link w:val="34"/>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pPr>
      <w:tabs>
        <w:tab w:val="right" w:leader="dot" w:pos="8302"/>
      </w:tabs>
      <w:spacing w:line="440" w:lineRule="exact"/>
      <w:ind w:left="540" w:leftChars="257"/>
      <w:jc w:val="left"/>
    </w:pPr>
  </w:style>
  <w:style w:type="character" w:styleId="17">
    <w:name w:val="page number"/>
    <w:qFormat/>
    <w:uiPriority w:val="99"/>
    <w:rPr>
      <w:rFonts w:cs="Times New Roman"/>
    </w:rPr>
  </w:style>
  <w:style w:type="character" w:styleId="18">
    <w:name w:val="Hyperlink"/>
    <w:qFormat/>
    <w:uiPriority w:val="99"/>
    <w:rPr>
      <w:rFonts w:cs="Times New Roman"/>
      <w:color w:val="0000FF"/>
      <w:u w:val="single"/>
    </w:rPr>
  </w:style>
  <w:style w:type="character" w:customStyle="1" w:styleId="19">
    <w:name w:val="标题 1 Char"/>
    <w:link w:val="3"/>
    <w:qFormat/>
    <w:locked/>
    <w:uiPriority w:val="99"/>
    <w:rPr>
      <w:rFonts w:cs="Times New Roman"/>
      <w:b/>
      <w:bCs/>
      <w:kern w:val="44"/>
      <w:sz w:val="44"/>
      <w:szCs w:val="44"/>
    </w:rPr>
  </w:style>
  <w:style w:type="character" w:customStyle="1" w:styleId="20">
    <w:name w:val="标题 2 Char"/>
    <w:link w:val="4"/>
    <w:qFormat/>
    <w:locked/>
    <w:uiPriority w:val="0"/>
    <w:rPr>
      <w:rFonts w:ascii="Cambria" w:hAnsi="Cambria" w:eastAsia="宋体" w:cs="Times New Roman"/>
      <w:b/>
      <w:bCs/>
      <w:sz w:val="32"/>
      <w:szCs w:val="32"/>
    </w:rPr>
  </w:style>
  <w:style w:type="character" w:customStyle="1" w:styleId="21">
    <w:name w:val="标题 3 Char"/>
    <w:link w:val="5"/>
    <w:qFormat/>
    <w:locked/>
    <w:uiPriority w:val="0"/>
    <w:rPr>
      <w:rFonts w:cs="Times New Roman"/>
      <w:b/>
      <w:bCs/>
      <w:sz w:val="32"/>
      <w:szCs w:val="32"/>
    </w:rPr>
  </w:style>
  <w:style w:type="character" w:customStyle="1" w:styleId="22">
    <w:name w:val="标题 4 Char"/>
    <w:link w:val="6"/>
    <w:semiHidden/>
    <w:qFormat/>
    <w:locked/>
    <w:uiPriority w:val="99"/>
    <w:rPr>
      <w:rFonts w:ascii="Cambria" w:hAnsi="Cambria" w:eastAsia="宋体" w:cs="Times New Roman"/>
      <w:b/>
      <w:bCs/>
      <w:sz w:val="28"/>
      <w:szCs w:val="28"/>
    </w:rPr>
  </w:style>
  <w:style w:type="character" w:customStyle="1" w:styleId="23">
    <w:name w:val="标题 5 Char"/>
    <w:link w:val="7"/>
    <w:semiHidden/>
    <w:qFormat/>
    <w:locked/>
    <w:uiPriority w:val="99"/>
    <w:rPr>
      <w:rFonts w:cs="Times New Roman"/>
      <w:b/>
      <w:bCs/>
      <w:sz w:val="28"/>
      <w:szCs w:val="28"/>
    </w:rPr>
  </w:style>
  <w:style w:type="character" w:customStyle="1" w:styleId="24">
    <w:name w:val="批注文字 Char"/>
    <w:link w:val="9"/>
    <w:semiHidden/>
    <w:qFormat/>
    <w:locked/>
    <w:uiPriority w:val="99"/>
    <w:rPr>
      <w:rFonts w:cs="Times New Roman"/>
      <w:sz w:val="24"/>
      <w:szCs w:val="24"/>
    </w:rPr>
  </w:style>
  <w:style w:type="character" w:customStyle="1" w:styleId="25">
    <w:name w:val="日期 Char"/>
    <w:link w:val="11"/>
    <w:semiHidden/>
    <w:qFormat/>
    <w:locked/>
    <w:uiPriority w:val="0"/>
    <w:rPr>
      <w:rFonts w:cs="Times New Roman"/>
      <w:sz w:val="24"/>
      <w:szCs w:val="24"/>
    </w:rPr>
  </w:style>
  <w:style w:type="character" w:customStyle="1" w:styleId="26">
    <w:name w:val="页脚 Char"/>
    <w:link w:val="12"/>
    <w:semiHidden/>
    <w:qFormat/>
    <w:locked/>
    <w:uiPriority w:val="99"/>
    <w:rPr>
      <w:rFonts w:cs="Times New Roman"/>
      <w:sz w:val="18"/>
      <w:szCs w:val="18"/>
    </w:rPr>
  </w:style>
  <w:style w:type="paragraph" w:customStyle="1" w:styleId="27">
    <w:name w:val="列出段落1"/>
    <w:basedOn w:val="1"/>
    <w:qFormat/>
    <w:uiPriority w:val="99"/>
    <w:pPr>
      <w:ind w:firstLine="420" w:firstLineChars="200"/>
    </w:pPr>
    <w:rPr>
      <w:rFonts w:ascii="Calibri" w:hAnsi="Calibri"/>
      <w:szCs w:val="22"/>
    </w:rPr>
  </w:style>
  <w:style w:type="paragraph" w:customStyle="1" w:styleId="28">
    <w:name w:val="样式 标题 3 + (中文) 黑体 小四 非加粗 段前: 7.8 磅 段后: 0 磅 行距: 固定值 20 磅"/>
    <w:basedOn w:val="5"/>
    <w:next w:val="1"/>
    <w:qFormat/>
    <w:uiPriority w:val="0"/>
    <w:pPr>
      <w:spacing w:before="0" w:after="0" w:line="400" w:lineRule="exact"/>
    </w:pPr>
    <w:rPr>
      <w:sz w:val="24"/>
      <w:szCs w:val="20"/>
    </w:rPr>
  </w:style>
  <w:style w:type="paragraph" w:customStyle="1" w:styleId="29">
    <w:name w:val="Default"/>
    <w:qFormat/>
    <w:uiPriority w:val="99"/>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30">
    <w:name w:val="font11"/>
    <w:qFormat/>
    <w:uiPriority w:val="99"/>
    <w:rPr>
      <w:rFonts w:ascii="宋体" w:hAnsi="宋体" w:eastAsia="宋体" w:cs="宋体"/>
      <w:color w:val="000000"/>
      <w:sz w:val="20"/>
      <w:szCs w:val="20"/>
    </w:rPr>
  </w:style>
  <w:style w:type="paragraph" w:customStyle="1" w:styleId="31">
    <w:name w:val="无间隔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styleId="33">
    <w:name w:val="List Paragraph"/>
    <w:basedOn w:val="1"/>
    <w:unhideWhenUsed/>
    <w:qFormat/>
    <w:uiPriority w:val="99"/>
    <w:pPr>
      <w:ind w:firstLine="420" w:firstLineChars="200"/>
    </w:pPr>
  </w:style>
  <w:style w:type="character" w:customStyle="1" w:styleId="34">
    <w:name w:val="页眉 Char"/>
    <w:basedOn w:val="16"/>
    <w:link w:val="13"/>
    <w:qFormat/>
    <w:uiPriority w:val="99"/>
    <w:rPr>
      <w:kern w:val="2"/>
      <w:sz w:val="18"/>
      <w:szCs w:val="18"/>
    </w:rPr>
  </w:style>
  <w:style w:type="paragraph" w:customStyle="1" w:styleId="35">
    <w:name w:val="WPS Plain"/>
    <w:qFormat/>
    <w:uiPriority w:val="0"/>
    <w:rPr>
      <w:rFonts w:ascii="Times New Roman" w:hAnsi="Times New Roman" w:eastAsia="宋体" w:cs="Times New Roman"/>
      <w:lang w:val="en-US" w:eastAsia="zh-CN" w:bidi="ar-SA"/>
    </w:rPr>
  </w:style>
  <w:style w:type="paragraph" w:customStyle="1" w:styleId="36">
    <w:name w:val="_Style 1"/>
    <w:qFormat/>
    <w:uiPriority w:val="1"/>
    <w:pPr>
      <w:adjustRightInd w:val="0"/>
      <w:snapToGrid w:val="0"/>
    </w:pPr>
    <w:rPr>
      <w:rFonts w:ascii="Tahoma" w:hAnsi="Tahoma" w:eastAsia="微软雅黑" w:cs="Times New Roman"/>
      <w:sz w:val="22"/>
      <w:szCs w:val="22"/>
      <w:lang w:val="en-US" w:eastAsia="zh-CN" w:bidi="ar-SA"/>
    </w:rPr>
  </w:style>
  <w:style w:type="paragraph" w:customStyle="1" w:styleId="37">
    <w:name w:val="_Style 0"/>
    <w:qFormat/>
    <w:uiPriority w:val="1"/>
    <w:pPr>
      <w:adjustRightInd w:val="0"/>
      <w:snapToGrid w:val="0"/>
    </w:pPr>
    <w:rPr>
      <w:rFonts w:ascii="Tahoma" w:hAnsi="Tahoma" w:eastAsia="微软雅黑" w:cs="Times New Roman"/>
      <w:sz w:val="22"/>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717A2A-FA7E-489F-A7B1-5848C81FB37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50</Pages>
  <Words>31719</Words>
  <Characters>33965</Characters>
  <Lines>320</Lines>
  <Paragraphs>90</Paragraphs>
  <TotalTime>1</TotalTime>
  <ScaleCrop>false</ScaleCrop>
  <LinksUpToDate>false</LinksUpToDate>
  <CharactersWithSpaces>34905</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2020-12-02T15:59:00Z</dcterms:created>
  <dc:creator>Administrator</dc:creator>
  <cp:lastModifiedBy>炯炯妈妈</cp:lastModifiedBy>
  <cp:lastPrinted>2018-05-11T03:25:00Z</cp:lastPrinted>
  <dcterms:modified xsi:type="dcterms:W3CDTF">2022-08-15T09:57:38Z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BA5DC88D1148473EAC20F06756705058</vt:lpwstr>
  </property>
</Properties>
</file>