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30"/>
          <w:szCs w:val="30"/>
        </w:rPr>
      </w:pPr>
    </w:p>
    <w:tbl>
      <w:tblPr>
        <w:tblStyle w:val="19"/>
        <w:tblpPr w:leftFromText="180" w:rightFromText="180" w:horzAnchor="margin" w:tblpY="1872"/>
        <w:tblW w:w="9526" w:type="dxa"/>
        <w:tblInd w:w="0" w:type="dxa"/>
        <w:tblLayout w:type="fixed"/>
        <w:tblCellMar>
          <w:top w:w="0" w:type="dxa"/>
          <w:left w:w="108" w:type="dxa"/>
          <w:bottom w:w="0" w:type="dxa"/>
          <w:right w:w="108" w:type="dxa"/>
        </w:tblCellMar>
      </w:tblPr>
      <w:tblGrid>
        <w:gridCol w:w="9526"/>
      </w:tblGrid>
      <w:tr>
        <w:tblPrEx>
          <w:tblCellMar>
            <w:top w:w="0" w:type="dxa"/>
            <w:left w:w="108" w:type="dxa"/>
            <w:bottom w:w="0" w:type="dxa"/>
            <w:right w:w="108" w:type="dxa"/>
          </w:tblCellMar>
        </w:tblPrEx>
        <w:trPr>
          <w:trHeight w:val="1440" w:hRule="atLeast"/>
        </w:trPr>
        <w:tc>
          <w:tcPr>
            <w:tcW w:w="9526" w:type="dxa"/>
            <w:tcBorders>
              <w:bottom w:val="single" w:color="4F81BD" w:sz="4" w:space="0"/>
            </w:tcBorders>
            <w:vAlign w:val="center"/>
          </w:tcPr>
          <w:p>
            <w:pPr>
              <w:pStyle w:val="36"/>
              <w:tabs>
                <w:tab w:val="left" w:pos="5940"/>
              </w:tabs>
              <w:jc w:val="center"/>
              <w:rPr>
                <w:rFonts w:ascii="Cambria" w:hAnsi="Cambria"/>
                <w:sz w:val="80"/>
                <w:szCs w:val="80"/>
              </w:rPr>
            </w:pPr>
            <w:r>
              <w:rPr>
                <w:rFonts w:hint="eastAsia" w:ascii="宋体" w:hAnsi="宋体"/>
                <w:b/>
                <w:spacing w:val="60"/>
                <w:sz w:val="112"/>
                <w:szCs w:val="112"/>
              </w:rPr>
              <w:t>招 标 文 件</w:t>
            </w:r>
          </w:p>
        </w:tc>
      </w:tr>
    </w:tbl>
    <w:p>
      <w:pPr>
        <w:ind w:left="420" w:leftChars="200" w:firstLine="600" w:firstLineChars="200"/>
        <w:rPr>
          <w:rFonts w:ascii="宋体" w:hAnsi="宋体"/>
          <w:sz w:val="30"/>
          <w:szCs w:val="30"/>
        </w:rPr>
      </w:pPr>
    </w:p>
    <w:p>
      <w:pPr>
        <w:ind w:left="420" w:leftChars="200" w:firstLine="600" w:firstLineChars="200"/>
        <w:rPr>
          <w:rFonts w:ascii="宋体" w:hAnsi="宋体"/>
          <w:sz w:val="30"/>
          <w:szCs w:val="30"/>
        </w:rPr>
      </w:pPr>
    </w:p>
    <w:p>
      <w:pPr>
        <w:ind w:left="419" w:hanging="419" w:hangingChars="87"/>
        <w:jc w:val="center"/>
        <w:rPr>
          <w:rFonts w:ascii="宋体" w:hAnsi="宋体"/>
          <w:b/>
          <w:sz w:val="48"/>
          <w:szCs w:val="48"/>
        </w:rPr>
      </w:pPr>
    </w:p>
    <w:p>
      <w:pPr>
        <w:ind w:left="314" w:hanging="314" w:hangingChars="87"/>
        <w:jc w:val="center"/>
        <w:rPr>
          <w:rFonts w:ascii="宋体" w:hAnsi="宋体"/>
          <w:b/>
          <w:sz w:val="36"/>
          <w:szCs w:val="36"/>
        </w:rPr>
      </w:pPr>
    </w:p>
    <w:p>
      <w:pPr>
        <w:pStyle w:val="2"/>
      </w:pPr>
    </w:p>
    <w:p>
      <w:pPr>
        <w:pStyle w:val="2"/>
      </w:pPr>
    </w:p>
    <w:p>
      <w:pPr>
        <w:ind w:left="314" w:hanging="314" w:hangingChars="87"/>
        <w:jc w:val="center"/>
        <w:rPr>
          <w:rFonts w:ascii="宋体" w:hAnsi="宋体"/>
          <w:b/>
          <w:sz w:val="36"/>
          <w:szCs w:val="36"/>
        </w:rPr>
      </w:pPr>
      <w:r>
        <w:rPr>
          <w:rFonts w:hint="eastAsia" w:ascii="宋体" w:hAnsi="宋体"/>
          <w:b/>
          <w:sz w:val="36"/>
          <w:szCs w:val="36"/>
        </w:rPr>
        <w:t>工程名称：</w:t>
      </w:r>
    </w:p>
    <w:p>
      <w:pPr>
        <w:pStyle w:val="2"/>
      </w:pPr>
    </w:p>
    <w:p/>
    <w:p>
      <w:pPr>
        <w:ind w:left="384" w:hanging="384" w:hangingChars="87"/>
        <w:jc w:val="center"/>
        <w:rPr>
          <w:rFonts w:hint="eastAsia" w:asciiTheme="minorEastAsia" w:hAnsiTheme="minorEastAsia" w:eastAsiaTheme="minorEastAsia" w:cstheme="minorEastAsia"/>
          <w:b/>
          <w:bCs/>
          <w:kern w:val="0"/>
          <w:sz w:val="44"/>
          <w:szCs w:val="44"/>
          <w:highlight w:val="none"/>
          <w:u w:val="single"/>
        </w:rPr>
      </w:pPr>
      <w:r>
        <w:rPr>
          <w:rFonts w:hint="eastAsia" w:asciiTheme="minorEastAsia" w:hAnsiTheme="minorEastAsia" w:eastAsiaTheme="minorEastAsia" w:cstheme="minorEastAsia"/>
          <w:b/>
          <w:bCs/>
          <w:kern w:val="0"/>
          <w:sz w:val="44"/>
          <w:szCs w:val="44"/>
          <w:highlight w:val="none"/>
          <w:u w:val="single"/>
        </w:rPr>
        <w:t>泰州职业技术学院医学院外墙维修工程</w:t>
      </w:r>
    </w:p>
    <w:p>
      <w:pPr>
        <w:pStyle w:val="2"/>
        <w:rPr>
          <w:rFonts w:hint="eastAsia" w:asciiTheme="minorEastAsia" w:hAnsiTheme="minorEastAsia" w:eastAsiaTheme="minorEastAsia" w:cstheme="minorEastAsia"/>
          <w:b/>
          <w:bCs/>
          <w:kern w:val="0"/>
          <w:sz w:val="44"/>
          <w:szCs w:val="44"/>
          <w:highlight w:val="none"/>
          <w:u w:val="single"/>
        </w:rPr>
      </w:pPr>
    </w:p>
    <w:p>
      <w:pPr>
        <w:pStyle w:val="2"/>
        <w:rPr>
          <w:rFonts w:hint="eastAsia" w:asciiTheme="minorEastAsia" w:hAnsiTheme="minorEastAsia" w:eastAsiaTheme="minorEastAsia" w:cstheme="minorEastAsia"/>
          <w:b/>
          <w:bCs/>
          <w:kern w:val="0"/>
          <w:sz w:val="44"/>
          <w:szCs w:val="44"/>
          <w:highlight w:val="none"/>
          <w:u w:val="single"/>
        </w:rPr>
      </w:pPr>
    </w:p>
    <w:p>
      <w:pPr>
        <w:pStyle w:val="2"/>
        <w:rPr>
          <w:rFonts w:hint="eastAsia" w:asciiTheme="minorEastAsia" w:hAnsiTheme="minorEastAsia" w:eastAsiaTheme="minorEastAsia" w:cstheme="minorEastAsia"/>
          <w:b/>
          <w:bCs/>
          <w:kern w:val="0"/>
          <w:sz w:val="44"/>
          <w:szCs w:val="44"/>
          <w:highlight w:val="none"/>
          <w:u w:val="single"/>
        </w:rPr>
      </w:pPr>
    </w:p>
    <w:p>
      <w:pPr>
        <w:pStyle w:val="2"/>
        <w:ind w:firstLine="883" w:firstLineChars="200"/>
        <w:rPr>
          <w:rFonts w:hint="default" w:asciiTheme="minorEastAsia" w:hAnsiTheme="minorEastAsia" w:eastAsiaTheme="minorEastAsia" w:cstheme="minorEastAsia"/>
          <w:b/>
          <w:bCs/>
          <w:kern w:val="0"/>
          <w:sz w:val="44"/>
          <w:szCs w:val="44"/>
          <w:highlight w:val="none"/>
          <w:u w:val="single"/>
          <w:lang w:val="en-US" w:eastAsia="zh-CN"/>
        </w:rPr>
      </w:pPr>
      <w:r>
        <w:rPr>
          <w:rFonts w:hint="eastAsia" w:asciiTheme="minorEastAsia" w:hAnsiTheme="minorEastAsia" w:eastAsiaTheme="minorEastAsia" w:cstheme="minorEastAsia"/>
          <w:b/>
          <w:bCs/>
          <w:kern w:val="0"/>
          <w:sz w:val="44"/>
          <w:szCs w:val="44"/>
          <w:highlight w:val="none"/>
          <w:u w:val="single"/>
          <w:lang w:val="en-US" w:eastAsia="zh-CN"/>
        </w:rPr>
        <w:t>采购项目编号：TZY22010</w:t>
      </w:r>
    </w:p>
    <w:p>
      <w:pPr>
        <w:ind w:left="420" w:leftChars="200" w:firstLine="600" w:firstLineChars="200"/>
        <w:jc w:val="center"/>
        <w:rPr>
          <w:rFonts w:ascii="宋体" w:hAnsi="宋体"/>
          <w:sz w:val="30"/>
          <w:szCs w:val="30"/>
        </w:rPr>
      </w:pPr>
    </w:p>
    <w:p>
      <w:pPr>
        <w:tabs>
          <w:tab w:val="left" w:pos="4200"/>
        </w:tabs>
        <w:ind w:left="420" w:leftChars="200" w:firstLine="600" w:firstLineChars="200"/>
        <w:rPr>
          <w:rFonts w:ascii="宋体" w:hAnsi="宋体"/>
          <w:sz w:val="30"/>
          <w:szCs w:val="30"/>
        </w:rPr>
      </w:pPr>
      <w:r>
        <w:rPr>
          <w:rFonts w:ascii="宋体" w:hAnsi="宋体"/>
          <w:sz w:val="30"/>
          <w:szCs w:val="30"/>
        </w:rPr>
        <w:tab/>
      </w:r>
    </w:p>
    <w:p>
      <w:pPr>
        <w:ind w:left="420" w:leftChars="200" w:firstLine="600" w:firstLineChars="200"/>
        <w:jc w:val="center"/>
        <w:rPr>
          <w:rFonts w:ascii="宋体" w:hAnsi="宋体"/>
          <w:sz w:val="30"/>
          <w:szCs w:val="30"/>
        </w:rPr>
      </w:pPr>
    </w:p>
    <w:p>
      <w:pPr>
        <w:ind w:left="420" w:leftChars="200" w:firstLine="600" w:firstLineChars="200"/>
        <w:jc w:val="center"/>
        <w:rPr>
          <w:rFonts w:ascii="宋体" w:hAnsi="宋体"/>
          <w:sz w:val="30"/>
          <w:szCs w:val="30"/>
        </w:rPr>
      </w:pPr>
    </w:p>
    <w:p>
      <w:pPr>
        <w:ind w:left="420" w:leftChars="200" w:firstLine="600" w:firstLineChars="200"/>
        <w:jc w:val="center"/>
        <w:rPr>
          <w:rFonts w:ascii="宋体" w:hAnsi="宋体"/>
          <w:sz w:val="30"/>
          <w:szCs w:val="30"/>
        </w:rPr>
      </w:pPr>
    </w:p>
    <w:p>
      <w:pPr>
        <w:ind w:left="420" w:leftChars="200" w:firstLine="600" w:firstLineChars="200"/>
        <w:jc w:val="center"/>
        <w:rPr>
          <w:rFonts w:ascii="宋体" w:hAnsi="宋体"/>
          <w:sz w:val="30"/>
          <w:szCs w:val="30"/>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ind w:left="420" w:leftChars="200" w:firstLine="600" w:firstLineChars="200"/>
        <w:jc w:val="center"/>
        <w:rPr>
          <w:rFonts w:ascii="宋体" w:hAnsi="宋体"/>
          <w:sz w:val="30"/>
          <w:szCs w:val="30"/>
        </w:rPr>
      </w:pPr>
    </w:p>
    <w:p>
      <w:pPr>
        <w:ind w:firstLine="361" w:firstLineChars="100"/>
        <w:jc w:val="center"/>
        <w:rPr>
          <w:rFonts w:ascii="宋体" w:hAnsi="宋体"/>
          <w:sz w:val="32"/>
          <w:szCs w:val="32"/>
          <w:u w:val="single"/>
        </w:rPr>
      </w:pPr>
      <w:r>
        <w:rPr>
          <w:rFonts w:hint="eastAsia" w:ascii="宋体" w:hAnsi="宋体"/>
          <w:b/>
          <w:sz w:val="36"/>
          <w:szCs w:val="36"/>
        </w:rPr>
        <w:t>招标人: 泰州职业技术学院</w:t>
      </w:r>
    </w:p>
    <w:p>
      <w:pPr>
        <w:rPr>
          <w:rFonts w:ascii="宋体" w:hAnsi="宋体"/>
          <w:sz w:val="32"/>
          <w:szCs w:val="32"/>
        </w:rPr>
      </w:pPr>
    </w:p>
    <w:p>
      <w:pPr>
        <w:ind w:firstLine="320" w:firstLineChars="100"/>
        <w:jc w:val="center"/>
        <w:rPr>
          <w:rFonts w:ascii="宋体" w:hAnsi="宋体"/>
          <w:sz w:val="32"/>
          <w:szCs w:val="32"/>
        </w:rPr>
      </w:pPr>
    </w:p>
    <w:p>
      <w:pPr>
        <w:ind w:firstLine="320" w:firstLineChars="100"/>
        <w:jc w:val="center"/>
        <w:rPr>
          <w:rFonts w:ascii="宋体" w:hAnsi="宋体"/>
          <w:sz w:val="32"/>
          <w:szCs w:val="32"/>
        </w:rPr>
      </w:pPr>
      <w:r>
        <w:rPr>
          <w:rFonts w:ascii="宋体" w:hAnsi="宋体"/>
          <w:sz w:val="32"/>
          <w:szCs w:val="32"/>
        </w:rPr>
        <w:t>20</w:t>
      </w:r>
      <w:r>
        <w:rPr>
          <w:rFonts w:hint="eastAsia" w:ascii="宋体" w:hAnsi="宋体"/>
          <w:sz w:val="32"/>
          <w:szCs w:val="32"/>
          <w:lang w:val="en-US" w:eastAsia="zh-CN"/>
        </w:rPr>
        <w:t>2</w:t>
      </w:r>
      <w:r>
        <w:rPr>
          <w:rFonts w:ascii="宋体" w:hAnsi="宋体"/>
          <w:sz w:val="32"/>
          <w:szCs w:val="32"/>
        </w:rPr>
        <w:t>2</w:t>
      </w:r>
      <w:r>
        <w:rPr>
          <w:rFonts w:hint="eastAsia" w:ascii="宋体" w:hAnsi="宋体"/>
          <w:sz w:val="32"/>
          <w:szCs w:val="32"/>
        </w:rPr>
        <w:t xml:space="preserve">年 </w:t>
      </w:r>
      <w:r>
        <w:rPr>
          <w:rFonts w:ascii="宋体" w:hAnsi="宋体"/>
          <w:sz w:val="32"/>
          <w:szCs w:val="32"/>
        </w:rPr>
        <w:t xml:space="preserve"> </w:t>
      </w:r>
      <w:r>
        <w:rPr>
          <w:rFonts w:hint="eastAsia" w:ascii="宋体" w:hAnsi="宋体"/>
          <w:sz w:val="32"/>
          <w:szCs w:val="32"/>
          <w:lang w:val="en-US" w:eastAsia="zh-CN"/>
        </w:rPr>
        <w:t>7</w:t>
      </w:r>
      <w:r>
        <w:rPr>
          <w:rFonts w:hint="eastAsia" w:ascii="宋体" w:hAnsi="宋体"/>
          <w:sz w:val="32"/>
          <w:szCs w:val="32"/>
        </w:rPr>
        <w:t xml:space="preserve">月 </w:t>
      </w:r>
      <w:r>
        <w:rPr>
          <w:rFonts w:hint="eastAsia" w:ascii="宋体" w:hAnsi="宋体"/>
          <w:sz w:val="32"/>
          <w:szCs w:val="32"/>
          <w:lang w:val="en-US" w:eastAsia="zh-CN"/>
        </w:rPr>
        <w:t>4</w:t>
      </w:r>
      <w:r>
        <w:rPr>
          <w:rFonts w:ascii="宋体" w:hAnsi="宋体"/>
          <w:sz w:val="32"/>
          <w:szCs w:val="32"/>
        </w:rPr>
        <w:t xml:space="preserve"> </w:t>
      </w:r>
      <w:r>
        <w:rPr>
          <w:rFonts w:hint="eastAsia" w:ascii="宋体" w:hAnsi="宋体"/>
          <w:sz w:val="32"/>
          <w:szCs w:val="32"/>
        </w:rPr>
        <w:t>日</w:t>
      </w:r>
    </w:p>
    <w:p>
      <w:pPr>
        <w:jc w:val="center"/>
        <w:rPr>
          <w:rFonts w:ascii="黑体" w:eastAsia="黑体"/>
          <w:b/>
          <w:sz w:val="36"/>
          <w:szCs w:val="36"/>
        </w:rPr>
      </w:pPr>
    </w:p>
    <w:p>
      <w:pPr>
        <w:jc w:val="center"/>
        <w:rPr>
          <w:rFonts w:ascii="黑体" w:eastAsia="黑体"/>
          <w:b/>
          <w:sz w:val="36"/>
          <w:szCs w:val="36"/>
        </w:rPr>
      </w:pPr>
    </w:p>
    <w:p>
      <w:pPr>
        <w:jc w:val="center"/>
        <w:rPr>
          <w:rFonts w:ascii="黑体" w:eastAsia="黑体"/>
          <w:b/>
          <w:sz w:val="36"/>
          <w:szCs w:val="36"/>
        </w:rPr>
      </w:pPr>
      <w:r>
        <w:rPr>
          <w:rFonts w:hint="eastAsia" w:ascii="黑体" w:eastAsia="黑体"/>
          <w:b/>
          <w:sz w:val="36"/>
          <w:szCs w:val="36"/>
        </w:rPr>
        <w:t>目录</w:t>
      </w:r>
    </w:p>
    <w:p/>
    <w:p>
      <w:pPr>
        <w:spacing w:line="360" w:lineRule="auto"/>
        <w:rPr>
          <w:b/>
        </w:rPr>
      </w:pPr>
      <w:r>
        <w:rPr>
          <w:rFonts w:hint="eastAsia"/>
          <w:b/>
        </w:rPr>
        <w:t>第一章 招标公告</w:t>
      </w:r>
    </w:p>
    <w:p>
      <w:pPr>
        <w:spacing w:line="360" w:lineRule="auto"/>
        <w:rPr>
          <w:b/>
        </w:rPr>
      </w:pPr>
      <w:r>
        <w:rPr>
          <w:rFonts w:hint="eastAsia"/>
          <w:b/>
        </w:rPr>
        <w:t>第二章 投标人须知</w:t>
      </w:r>
    </w:p>
    <w:p>
      <w:pPr>
        <w:spacing w:line="360" w:lineRule="auto"/>
      </w:pPr>
      <w:r>
        <w:rPr>
          <w:rFonts w:hint="eastAsia"/>
        </w:rPr>
        <w:t>投标人须知前附表</w:t>
      </w:r>
    </w:p>
    <w:p>
      <w:pPr>
        <w:spacing w:line="360" w:lineRule="auto"/>
      </w:pPr>
      <w:r>
        <w:t xml:space="preserve">1 </w:t>
      </w:r>
      <w:r>
        <w:rPr>
          <w:rFonts w:hint="eastAsia"/>
        </w:rPr>
        <w:t>总则</w:t>
      </w:r>
    </w:p>
    <w:p>
      <w:pPr>
        <w:spacing w:line="360" w:lineRule="auto"/>
      </w:pPr>
      <w:r>
        <w:t xml:space="preserve">2 </w:t>
      </w:r>
      <w:r>
        <w:rPr>
          <w:rFonts w:hint="eastAsia"/>
        </w:rPr>
        <w:t>招标文件</w:t>
      </w:r>
    </w:p>
    <w:p>
      <w:pPr>
        <w:spacing w:line="360" w:lineRule="auto"/>
      </w:pPr>
      <w:r>
        <w:t xml:space="preserve">3 </w:t>
      </w:r>
      <w:r>
        <w:rPr>
          <w:rFonts w:hint="eastAsia"/>
        </w:rPr>
        <w:t>投标文件</w:t>
      </w:r>
    </w:p>
    <w:p>
      <w:pPr>
        <w:spacing w:line="360" w:lineRule="auto"/>
      </w:pPr>
      <w:r>
        <w:t xml:space="preserve">4 </w:t>
      </w:r>
      <w:r>
        <w:rPr>
          <w:rFonts w:hint="eastAsia"/>
        </w:rPr>
        <w:t>投标</w:t>
      </w:r>
    </w:p>
    <w:p>
      <w:pPr>
        <w:spacing w:line="360" w:lineRule="auto"/>
      </w:pPr>
      <w:r>
        <w:t>5</w:t>
      </w:r>
      <w:r>
        <w:rPr>
          <w:rFonts w:hint="eastAsia"/>
        </w:rPr>
        <w:t>开标</w:t>
      </w:r>
    </w:p>
    <w:p>
      <w:pPr>
        <w:spacing w:line="360" w:lineRule="auto"/>
      </w:pPr>
      <w:r>
        <w:t xml:space="preserve">6 </w:t>
      </w:r>
      <w:r>
        <w:rPr>
          <w:rFonts w:hint="eastAsia"/>
        </w:rPr>
        <w:t>评标</w:t>
      </w:r>
    </w:p>
    <w:p>
      <w:pPr>
        <w:spacing w:line="360" w:lineRule="auto"/>
      </w:pPr>
      <w:r>
        <w:t xml:space="preserve">7 </w:t>
      </w:r>
      <w:r>
        <w:rPr>
          <w:rFonts w:hint="eastAsia"/>
        </w:rPr>
        <w:t>合同授予</w:t>
      </w:r>
    </w:p>
    <w:p>
      <w:pPr>
        <w:spacing w:line="360" w:lineRule="auto"/>
      </w:pPr>
      <w:r>
        <w:t xml:space="preserve">8 </w:t>
      </w:r>
      <w:r>
        <w:rPr>
          <w:rFonts w:hint="eastAsia"/>
        </w:rPr>
        <w:t>重新招标和不再招标</w:t>
      </w:r>
    </w:p>
    <w:p>
      <w:pPr>
        <w:spacing w:line="360" w:lineRule="auto"/>
      </w:pPr>
      <w:r>
        <w:t xml:space="preserve">9 </w:t>
      </w:r>
      <w:r>
        <w:rPr>
          <w:rFonts w:hint="eastAsia"/>
        </w:rPr>
        <w:t>纪律和监督</w:t>
      </w:r>
    </w:p>
    <w:p>
      <w:pPr>
        <w:spacing w:line="360" w:lineRule="auto"/>
      </w:pPr>
      <w:r>
        <w:t xml:space="preserve">10 </w:t>
      </w:r>
      <w:r>
        <w:rPr>
          <w:rFonts w:hint="eastAsia"/>
        </w:rPr>
        <w:t>需要补充的其他内容</w:t>
      </w:r>
    </w:p>
    <w:p>
      <w:pPr>
        <w:spacing w:line="360" w:lineRule="auto"/>
        <w:rPr>
          <w:b/>
        </w:rPr>
      </w:pPr>
      <w:r>
        <w:rPr>
          <w:rFonts w:hint="eastAsia"/>
          <w:b/>
        </w:rPr>
        <w:t>第三章 评标办法</w:t>
      </w:r>
    </w:p>
    <w:p>
      <w:pPr>
        <w:spacing w:line="360" w:lineRule="auto"/>
      </w:pPr>
      <w:r>
        <w:rPr>
          <w:rFonts w:hint="eastAsia"/>
        </w:rPr>
        <w:t>评标办法正文</w:t>
      </w:r>
    </w:p>
    <w:p>
      <w:pPr>
        <w:spacing w:line="360" w:lineRule="auto"/>
      </w:pPr>
      <w:r>
        <w:rPr>
          <w:rFonts w:hint="eastAsia"/>
          <w:b/>
        </w:rPr>
        <w:t>第四章 工程量清单</w:t>
      </w:r>
    </w:p>
    <w:p>
      <w:pPr>
        <w:spacing w:line="360" w:lineRule="auto"/>
        <w:rPr>
          <w:rFonts w:hint="eastAsia"/>
          <w:b/>
        </w:rPr>
      </w:pPr>
      <w:r>
        <w:rPr>
          <w:rFonts w:hint="eastAsia"/>
          <w:b/>
        </w:rPr>
        <w:t>第五章 投标文件格式</w:t>
      </w:r>
    </w:p>
    <w:p>
      <w:pPr>
        <w:pStyle w:val="2"/>
        <w:rPr>
          <w:rFonts w:hint="default" w:ascii="Times New Roman" w:hAnsi="Times New Roman" w:eastAsia="宋体" w:cs="Times New Roman"/>
          <w:b/>
          <w:kern w:val="2"/>
          <w:sz w:val="21"/>
          <w:szCs w:val="24"/>
          <w:lang w:val="en-US" w:eastAsia="zh-CN" w:bidi="ar-SA"/>
        </w:rPr>
      </w:pPr>
      <w:r>
        <w:rPr>
          <w:rFonts w:hint="eastAsia" w:ascii="Times New Roman" w:hAnsi="Times New Roman" w:eastAsia="宋体" w:cs="Times New Roman"/>
          <w:b/>
          <w:kern w:val="2"/>
          <w:sz w:val="21"/>
          <w:szCs w:val="24"/>
          <w:lang w:val="en-US" w:eastAsia="zh-CN" w:bidi="ar-SA"/>
        </w:rPr>
        <w:t>第六章 合同模板</w:t>
      </w:r>
    </w:p>
    <w:p>
      <w:pPr>
        <w:autoSpaceDE w:val="0"/>
        <w:autoSpaceDN w:val="0"/>
        <w:adjustRightInd w:val="0"/>
        <w:spacing w:line="360" w:lineRule="auto"/>
        <w:jc w:val="center"/>
        <w:rPr>
          <w:rFonts w:ascii="黑体" w:eastAsia="黑体" w:cs="黑体"/>
          <w:kern w:val="0"/>
          <w:sz w:val="24"/>
        </w:rPr>
      </w:pPr>
    </w:p>
    <w:p>
      <w:pPr>
        <w:autoSpaceDE w:val="0"/>
        <w:autoSpaceDN w:val="0"/>
        <w:adjustRightInd w:val="0"/>
        <w:jc w:val="center"/>
        <w:rPr>
          <w:rFonts w:ascii="黑体" w:eastAsia="黑体" w:cs="黑体"/>
          <w:kern w:val="0"/>
          <w:sz w:val="24"/>
        </w:rPr>
      </w:pPr>
    </w:p>
    <w:p>
      <w:pPr>
        <w:autoSpaceDE w:val="0"/>
        <w:autoSpaceDN w:val="0"/>
        <w:adjustRightInd w:val="0"/>
        <w:jc w:val="center"/>
        <w:rPr>
          <w:rFonts w:ascii="黑体" w:eastAsia="黑体" w:cs="黑体"/>
          <w:kern w:val="0"/>
          <w:sz w:val="24"/>
        </w:rPr>
      </w:pPr>
    </w:p>
    <w:p>
      <w:pPr>
        <w:autoSpaceDE w:val="0"/>
        <w:autoSpaceDN w:val="0"/>
        <w:adjustRightInd w:val="0"/>
        <w:jc w:val="center"/>
        <w:rPr>
          <w:rFonts w:ascii="黑体" w:eastAsia="黑体" w:cs="黑体"/>
          <w:kern w:val="0"/>
          <w:sz w:val="24"/>
        </w:rPr>
      </w:pPr>
    </w:p>
    <w:p>
      <w:pPr>
        <w:autoSpaceDE w:val="0"/>
        <w:autoSpaceDN w:val="0"/>
        <w:adjustRightInd w:val="0"/>
        <w:jc w:val="center"/>
        <w:rPr>
          <w:rFonts w:ascii="黑体" w:eastAsia="黑体" w:cs="黑体"/>
          <w:kern w:val="0"/>
          <w:sz w:val="24"/>
        </w:rPr>
      </w:pPr>
    </w:p>
    <w:p>
      <w:pPr>
        <w:autoSpaceDE w:val="0"/>
        <w:autoSpaceDN w:val="0"/>
        <w:adjustRightInd w:val="0"/>
        <w:rPr>
          <w:rFonts w:ascii="黑体" w:eastAsia="黑体" w:cs="黑体"/>
          <w:kern w:val="0"/>
          <w:sz w:val="24"/>
        </w:rPr>
      </w:pPr>
    </w:p>
    <w:p>
      <w:pPr>
        <w:jc w:val="center"/>
        <w:rPr>
          <w:rFonts w:ascii="黑体" w:hAnsi="黑体" w:eastAsia="黑体"/>
          <w:b/>
          <w:bCs/>
          <w:sz w:val="32"/>
        </w:rPr>
      </w:pPr>
    </w:p>
    <w:p>
      <w:pPr>
        <w:jc w:val="center"/>
        <w:rPr>
          <w:rFonts w:ascii="黑体" w:hAnsi="黑体" w:eastAsia="黑体"/>
          <w:b/>
          <w:bCs/>
          <w:sz w:val="32"/>
        </w:rPr>
      </w:pPr>
    </w:p>
    <w:p>
      <w:pPr>
        <w:jc w:val="center"/>
        <w:rPr>
          <w:rFonts w:ascii="黑体" w:hAnsi="黑体" w:eastAsia="黑体"/>
          <w:b/>
          <w:bCs/>
          <w:sz w:val="32"/>
        </w:rPr>
      </w:pPr>
    </w:p>
    <w:p>
      <w:pPr>
        <w:rPr>
          <w:rFonts w:ascii="黑体" w:hAnsi="黑体" w:eastAsia="黑体"/>
          <w:b/>
          <w:bCs/>
          <w:sz w:val="32"/>
        </w:rPr>
      </w:pPr>
    </w:p>
    <w:p>
      <w:pPr>
        <w:jc w:val="center"/>
        <w:rPr>
          <w:rFonts w:ascii="黑体" w:hAnsi="黑体" w:eastAsia="黑体"/>
          <w:b/>
          <w:bCs/>
          <w:sz w:val="32"/>
        </w:rPr>
      </w:pPr>
    </w:p>
    <w:p>
      <w:pPr>
        <w:jc w:val="center"/>
        <w:rPr>
          <w:rFonts w:ascii="黑体" w:hAnsi="黑体" w:eastAsia="黑体"/>
          <w:b/>
          <w:bCs/>
          <w:sz w:val="32"/>
        </w:rPr>
      </w:pPr>
    </w:p>
    <w:p>
      <w:pPr>
        <w:pStyle w:val="2"/>
      </w:pPr>
    </w:p>
    <w:p>
      <w:pPr>
        <w:pStyle w:val="2"/>
      </w:pPr>
    </w:p>
    <w:p>
      <w:pPr>
        <w:pStyle w:val="2"/>
      </w:pPr>
    </w:p>
    <w:p>
      <w:pPr>
        <w:pStyle w:val="2"/>
      </w:pPr>
    </w:p>
    <w:p>
      <w:pPr>
        <w:pStyle w:val="2"/>
      </w:pPr>
    </w:p>
    <w:p>
      <w:pPr>
        <w:jc w:val="center"/>
        <w:rPr>
          <w:rFonts w:ascii="黑体" w:hAnsi="黑体" w:eastAsia="黑体"/>
          <w:b/>
          <w:bCs/>
          <w:sz w:val="32"/>
        </w:rPr>
      </w:pPr>
      <w:r>
        <w:rPr>
          <w:rFonts w:hint="eastAsia" w:ascii="黑体" w:hAnsi="黑体" w:eastAsia="黑体"/>
          <w:b/>
          <w:bCs/>
          <w:sz w:val="32"/>
        </w:rPr>
        <w:t>第一章 招标公告</w:t>
      </w:r>
    </w:p>
    <w:p>
      <w:pPr>
        <w:widowControl/>
        <w:spacing w:line="360" w:lineRule="auto"/>
        <w:ind w:firstLine="323"/>
        <w:jc w:val="left"/>
        <w:rPr>
          <w:rFonts w:ascii="宋体" w:hAnsi="宋体" w:cs="宋体"/>
          <w:color w:val="3D3D3D"/>
          <w:kern w:val="0"/>
          <w:szCs w:val="21"/>
        </w:rPr>
      </w:pPr>
    </w:p>
    <w:p>
      <w:pPr>
        <w:widowControl/>
        <w:spacing w:line="360" w:lineRule="auto"/>
        <w:ind w:firstLine="607" w:firstLineChars="25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u w:val="single"/>
        </w:rPr>
        <w:t>泰州职业技术学</w:t>
      </w:r>
      <w:r>
        <w:rPr>
          <w:rFonts w:hint="eastAsia" w:asciiTheme="minorEastAsia" w:hAnsiTheme="minorEastAsia" w:eastAsiaTheme="minorEastAsia" w:cstheme="minorEastAsia"/>
          <w:kern w:val="0"/>
          <w:sz w:val="24"/>
          <w:highlight w:val="none"/>
          <w:u w:val="single"/>
        </w:rPr>
        <w:t>院</w:t>
      </w:r>
      <w:r>
        <w:rPr>
          <w:rFonts w:hint="eastAsia" w:asciiTheme="minorEastAsia" w:hAnsiTheme="minorEastAsia" w:eastAsiaTheme="minorEastAsia" w:cstheme="minorEastAsia"/>
          <w:kern w:val="0"/>
          <w:sz w:val="24"/>
          <w:highlight w:val="none"/>
        </w:rPr>
        <w:t>的</w:t>
      </w:r>
      <w:r>
        <w:rPr>
          <w:rFonts w:hint="eastAsia" w:asciiTheme="minorEastAsia" w:hAnsiTheme="minorEastAsia" w:eastAsiaTheme="minorEastAsia" w:cstheme="minorEastAsia"/>
          <w:kern w:val="0"/>
          <w:sz w:val="24"/>
          <w:highlight w:val="none"/>
          <w:u w:val="single"/>
        </w:rPr>
        <w:t>医学院外墙维修工程</w:t>
      </w:r>
      <w:r>
        <w:rPr>
          <w:rFonts w:hint="eastAsia" w:asciiTheme="minorEastAsia" w:hAnsiTheme="minorEastAsia" w:eastAsiaTheme="minorEastAsia" w:cstheme="minorEastAsia"/>
          <w:kern w:val="0"/>
          <w:sz w:val="24"/>
          <w:highlight w:val="none"/>
        </w:rPr>
        <w:t>已</w:t>
      </w:r>
      <w:r>
        <w:rPr>
          <w:rFonts w:hint="eastAsia" w:asciiTheme="minorEastAsia" w:hAnsiTheme="minorEastAsia" w:eastAsiaTheme="minorEastAsia" w:cstheme="minorEastAsia"/>
          <w:kern w:val="0"/>
          <w:sz w:val="24"/>
        </w:rPr>
        <w:t>具备招标条件，招标人为</w:t>
      </w:r>
      <w:r>
        <w:rPr>
          <w:rFonts w:hint="eastAsia" w:asciiTheme="minorEastAsia" w:hAnsiTheme="minorEastAsia" w:eastAsiaTheme="minorEastAsia" w:cstheme="minorEastAsia"/>
          <w:kern w:val="0"/>
          <w:sz w:val="24"/>
          <w:u w:val="single"/>
        </w:rPr>
        <w:t>泰州职业技术学院</w:t>
      </w:r>
      <w:r>
        <w:rPr>
          <w:rFonts w:hint="eastAsia" w:asciiTheme="minorEastAsia" w:hAnsiTheme="minorEastAsia" w:eastAsiaTheme="minorEastAsia" w:cstheme="minorEastAsia"/>
          <w:kern w:val="0"/>
          <w:sz w:val="24"/>
        </w:rPr>
        <w:t>，为择优选择施工单位进行招标，请符合条件的公司积极参加投标。</w:t>
      </w:r>
    </w:p>
    <w:p>
      <w:pPr>
        <w:widowControl/>
        <w:spacing w:line="360" w:lineRule="auto"/>
        <w:ind w:firstLine="323"/>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一、项目概况：</w:t>
      </w:r>
    </w:p>
    <w:p>
      <w:pPr>
        <w:widowControl/>
        <w:spacing w:line="360" w:lineRule="auto"/>
        <w:ind w:firstLine="323"/>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rPr>
        <w:t>1.项目名称：</w:t>
      </w:r>
      <w:r>
        <w:rPr>
          <w:rFonts w:hint="eastAsia" w:asciiTheme="minorEastAsia" w:hAnsiTheme="minorEastAsia" w:eastAsiaTheme="minorEastAsia" w:cstheme="minorEastAsia"/>
          <w:kern w:val="0"/>
          <w:sz w:val="24"/>
          <w:highlight w:val="none"/>
        </w:rPr>
        <w:t>泰州职业技术学院医学院外墙维修工程。</w:t>
      </w:r>
    </w:p>
    <w:p>
      <w:pPr>
        <w:widowControl/>
        <w:spacing w:line="360" w:lineRule="auto"/>
        <w:ind w:left="239" w:leftChars="114" w:firstLine="127" w:firstLineChars="5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highlight w:val="none"/>
        </w:rPr>
        <w:t>2.项目发包内容：泰州职业技术学院医学院外墙维修工程，</w:t>
      </w:r>
      <w:r>
        <w:rPr>
          <w:rFonts w:hint="eastAsia" w:asciiTheme="minorEastAsia" w:hAnsiTheme="minorEastAsia" w:eastAsiaTheme="minorEastAsia" w:cstheme="minorEastAsia"/>
          <w:kern w:val="0"/>
          <w:sz w:val="24"/>
        </w:rPr>
        <w:t>包括工程量清单范围内的所有内容。</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3.工程造价：</w:t>
      </w:r>
      <w:r>
        <w:rPr>
          <w:rFonts w:hint="eastAsia" w:asciiTheme="minorEastAsia" w:hAnsiTheme="minorEastAsia" w:eastAsiaTheme="minorEastAsia" w:cstheme="minorEastAsia"/>
          <w:kern w:val="0"/>
          <w:sz w:val="24"/>
          <w:highlight w:val="none"/>
        </w:rPr>
        <w:t>约4万元</w:t>
      </w:r>
      <w:r>
        <w:rPr>
          <w:rFonts w:hint="eastAsia" w:asciiTheme="minorEastAsia" w:hAnsiTheme="minorEastAsia" w:eastAsiaTheme="minorEastAsia" w:cstheme="minorEastAsia"/>
          <w:kern w:val="0"/>
          <w:sz w:val="24"/>
        </w:rPr>
        <w:t>。</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4.工期：</w:t>
      </w:r>
      <w:r>
        <w:rPr>
          <w:rFonts w:hint="eastAsia" w:asciiTheme="minorEastAsia" w:hAnsiTheme="minorEastAsia" w:eastAsiaTheme="minorEastAsia" w:cstheme="minorEastAsia"/>
          <w:kern w:val="0"/>
          <w:sz w:val="24"/>
          <w:lang w:val="en-US" w:eastAsia="zh-CN"/>
        </w:rPr>
        <w:t>20</w:t>
      </w:r>
      <w:r>
        <w:rPr>
          <w:rFonts w:hint="eastAsia" w:asciiTheme="minorEastAsia" w:hAnsiTheme="minorEastAsia" w:eastAsiaTheme="minorEastAsia" w:cstheme="minorEastAsia"/>
          <w:kern w:val="0"/>
          <w:sz w:val="24"/>
        </w:rPr>
        <w:t>日历天。</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5.质保期：</w:t>
      </w:r>
      <w:r>
        <w:rPr>
          <w:rFonts w:hint="eastAsia" w:asciiTheme="minorEastAsia" w:hAnsiTheme="minorEastAsia" w:eastAsiaTheme="minorEastAsia" w:cstheme="minorEastAsia"/>
          <w:kern w:val="0"/>
          <w:sz w:val="24"/>
          <w:highlight w:val="none"/>
          <w:u w:val="single"/>
        </w:rPr>
        <w:t>2</w:t>
      </w:r>
      <w:r>
        <w:rPr>
          <w:rFonts w:hint="eastAsia" w:asciiTheme="minorEastAsia" w:hAnsiTheme="minorEastAsia" w:eastAsiaTheme="minorEastAsia" w:cstheme="minorEastAsia"/>
          <w:kern w:val="0"/>
          <w:sz w:val="24"/>
          <w:highlight w:val="none"/>
        </w:rPr>
        <w:t>年</w:t>
      </w:r>
      <w:r>
        <w:rPr>
          <w:rFonts w:hint="eastAsia" w:asciiTheme="minorEastAsia" w:hAnsiTheme="minorEastAsia" w:eastAsiaTheme="minorEastAsia" w:cstheme="minorEastAsia"/>
          <w:kern w:val="0"/>
          <w:sz w:val="24"/>
        </w:rPr>
        <w:t>。</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6.资格审查办法：资格后审。</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7.投标人资质要求：</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（1）投标人须具备有效的营业执照，具备独立法人资格；</w:t>
      </w:r>
    </w:p>
    <w:p>
      <w:pPr>
        <w:widowControl/>
        <w:spacing w:line="360" w:lineRule="auto"/>
        <w:ind w:left="719" w:leftChars="114" w:hanging="480" w:hangingChars="200"/>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（2）具有建设行政主管部门颁发的</w:t>
      </w:r>
      <w:r>
        <w:rPr>
          <w:rFonts w:hint="eastAsia" w:asciiTheme="minorEastAsia" w:hAnsiTheme="minorEastAsia" w:eastAsiaTheme="minorEastAsia" w:cstheme="minorEastAsia"/>
          <w:b/>
          <w:bCs/>
          <w:kern w:val="0"/>
          <w:sz w:val="24"/>
          <w:u w:val="single"/>
        </w:rPr>
        <w:t>建筑装饰装修工程二级(含)以上</w:t>
      </w:r>
      <w:r>
        <w:rPr>
          <w:rFonts w:hint="eastAsia" w:asciiTheme="minorEastAsia" w:hAnsiTheme="minorEastAsia" w:eastAsiaTheme="minorEastAsia" w:cstheme="minorEastAsia"/>
          <w:b/>
          <w:bCs/>
          <w:kern w:val="0"/>
          <w:sz w:val="24"/>
        </w:rPr>
        <w:t>资质且在有效期内；</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（3）具备有效的安全生产许可证；</w:t>
      </w:r>
    </w:p>
    <w:p>
      <w:pPr>
        <w:widowControl/>
        <w:spacing w:line="360" w:lineRule="auto"/>
        <w:ind w:left="239" w:leftChars="114" w:firstLine="127" w:firstLineChars="53"/>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b/>
          <w:bCs/>
          <w:kern w:val="0"/>
          <w:sz w:val="24"/>
        </w:rPr>
        <w:t>投标人拟派项目经理须具有</w:t>
      </w:r>
      <w:r>
        <w:rPr>
          <w:rFonts w:hint="eastAsia" w:asciiTheme="minorEastAsia" w:hAnsiTheme="minorEastAsia" w:eastAsiaTheme="minorEastAsia" w:cstheme="minorEastAsia"/>
          <w:b/>
          <w:bCs/>
          <w:kern w:val="0"/>
          <w:sz w:val="24"/>
          <w:u w:val="single"/>
        </w:rPr>
        <w:t>建筑工程专业二级及以上注册建造师执业资格</w:t>
      </w:r>
      <w:r>
        <w:rPr>
          <w:rFonts w:hint="eastAsia" w:asciiTheme="minorEastAsia" w:hAnsiTheme="minorEastAsia" w:eastAsiaTheme="minorEastAsia" w:cstheme="minorEastAsia"/>
          <w:b/>
          <w:bCs/>
          <w:kern w:val="0"/>
          <w:sz w:val="24"/>
        </w:rPr>
        <w:t>，具备有效的</w:t>
      </w:r>
      <w:r>
        <w:rPr>
          <w:rFonts w:hint="eastAsia" w:asciiTheme="minorEastAsia" w:hAnsiTheme="minorEastAsia" w:eastAsiaTheme="minorEastAsia" w:cstheme="minorEastAsia"/>
          <w:b/>
          <w:bCs/>
          <w:kern w:val="0"/>
          <w:sz w:val="24"/>
          <w:u w:val="single"/>
        </w:rPr>
        <w:t>安全生产考核合格证书</w:t>
      </w:r>
      <w:r>
        <w:rPr>
          <w:rFonts w:hint="eastAsia" w:asciiTheme="minorEastAsia" w:hAnsiTheme="minorEastAsia" w:eastAsiaTheme="minorEastAsia" w:cstheme="minorEastAsia"/>
          <w:b/>
          <w:bCs/>
          <w:kern w:val="0"/>
          <w:sz w:val="24"/>
        </w:rPr>
        <w:t>，且未担任其他在建建设工程项目的项目经理，证书须在有效期内；</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（5）本项目不接受联合体投标。</w:t>
      </w:r>
    </w:p>
    <w:p>
      <w:pPr>
        <w:pStyle w:val="17"/>
        <w:spacing w:before="0" w:beforeAutospacing="0" w:after="0" w:afterAutospacing="0" w:line="360" w:lineRule="auto"/>
        <w:jc w:val="both"/>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rPr>
        <w:t xml:space="preserve">   8.</w:t>
      </w:r>
      <w:r>
        <w:rPr>
          <w:rFonts w:hint="eastAsia" w:asciiTheme="minorEastAsia" w:hAnsiTheme="minorEastAsia" w:eastAsiaTheme="minorEastAsia" w:cstheme="minorEastAsia"/>
          <w:b/>
          <w:bCs/>
        </w:rPr>
        <w:t>付款方式：</w:t>
      </w:r>
      <w:r>
        <w:rPr>
          <w:rFonts w:hint="eastAsia" w:asciiTheme="minorEastAsia" w:hAnsiTheme="minorEastAsia" w:eastAsiaTheme="minorEastAsia" w:cstheme="minorEastAsia"/>
          <w:b/>
          <w:bCs/>
          <w:highlight w:val="none"/>
        </w:rPr>
        <w:t>工程竣工验收合格支付至合同价的90%，余款在质保期满2年后付清（所付款项招标人均不支付利息）。</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二、时间和地点安排：</w:t>
      </w:r>
    </w:p>
    <w:tbl>
      <w:tblPr>
        <w:tblStyle w:val="19"/>
        <w:tblW w:w="910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7"/>
        <w:gridCol w:w="2041"/>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47" w:type="dxa"/>
            <w:tcBorders>
              <w:top w:val="single" w:color="000000" w:sz="8" w:space="0"/>
              <w:left w:val="single" w:color="000000" w:sz="8" w:space="0"/>
              <w:bottom w:val="single" w:color="000000" w:sz="4" w:space="0"/>
              <w:right w:val="single" w:color="000000" w:sz="4" w:space="0"/>
            </w:tcBorders>
            <w:vAlign w:val="center"/>
          </w:tcPr>
          <w:p>
            <w:pPr>
              <w:jc w:val="center"/>
              <w:rPr>
                <w:b/>
              </w:rPr>
            </w:pPr>
            <w:r>
              <w:rPr>
                <w:b/>
              </w:rPr>
              <w:t>项号</w:t>
            </w:r>
          </w:p>
        </w:tc>
        <w:tc>
          <w:tcPr>
            <w:tcW w:w="2041" w:type="dxa"/>
            <w:tcBorders>
              <w:top w:val="single" w:color="000000" w:sz="8" w:space="0"/>
              <w:left w:val="single" w:color="auto" w:sz="4" w:space="0"/>
              <w:bottom w:val="single" w:color="000000" w:sz="4" w:space="0"/>
              <w:right w:val="single" w:color="000000" w:sz="4" w:space="0"/>
            </w:tcBorders>
            <w:vAlign w:val="center"/>
          </w:tcPr>
          <w:p>
            <w:pPr>
              <w:jc w:val="center"/>
              <w:rPr>
                <w:b/>
              </w:rPr>
            </w:pPr>
            <w:r>
              <w:rPr>
                <w:b/>
              </w:rPr>
              <w:t>内　容</w:t>
            </w:r>
          </w:p>
        </w:tc>
        <w:tc>
          <w:tcPr>
            <w:tcW w:w="6120" w:type="dxa"/>
            <w:tcBorders>
              <w:top w:val="single" w:color="000000" w:sz="8" w:space="0"/>
              <w:left w:val="single" w:color="auto" w:sz="4" w:space="0"/>
              <w:bottom w:val="single" w:color="000000" w:sz="4" w:space="0"/>
              <w:right w:val="single" w:color="000000" w:sz="4" w:space="0"/>
            </w:tcBorders>
            <w:vAlign w:val="center"/>
          </w:tcPr>
          <w:p>
            <w:pPr>
              <w:jc w:val="center"/>
              <w:rPr>
                <w:b/>
              </w:rPr>
            </w:pPr>
            <w:r>
              <w:rPr>
                <w:b/>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47" w:type="dxa"/>
            <w:tcBorders>
              <w:top w:val="single" w:color="auto" w:sz="4" w:space="0"/>
              <w:left w:val="single" w:color="000000" w:sz="8" w:space="0"/>
              <w:bottom w:val="single" w:color="000000" w:sz="4" w:space="0"/>
              <w:right w:val="single" w:color="000000" w:sz="4" w:space="0"/>
            </w:tcBorders>
            <w:vAlign w:val="center"/>
          </w:tcPr>
          <w:p>
            <w:pPr>
              <w:jc w:val="center"/>
            </w:pPr>
            <w:r>
              <w:t>1</w:t>
            </w:r>
          </w:p>
        </w:tc>
        <w:tc>
          <w:tcPr>
            <w:tcW w:w="2041" w:type="dxa"/>
            <w:tcBorders>
              <w:top w:val="single" w:color="auto" w:sz="4" w:space="0"/>
              <w:left w:val="single" w:color="auto" w:sz="4" w:space="0"/>
              <w:bottom w:val="single" w:color="000000" w:sz="4" w:space="0"/>
              <w:right w:val="single" w:color="000000" w:sz="4" w:space="0"/>
            </w:tcBorders>
            <w:vAlign w:val="center"/>
          </w:tcPr>
          <w:p>
            <w:pPr>
              <w:jc w:val="center"/>
            </w:pPr>
            <w:r>
              <w:t>发放招标文件</w:t>
            </w:r>
          </w:p>
        </w:tc>
        <w:tc>
          <w:tcPr>
            <w:tcW w:w="6120" w:type="dxa"/>
            <w:tcBorders>
              <w:top w:val="single" w:color="auto" w:sz="4" w:space="0"/>
              <w:left w:val="single" w:color="auto" w:sz="4" w:space="0"/>
              <w:bottom w:val="single" w:color="000000" w:sz="4" w:space="0"/>
              <w:right w:val="single" w:color="000000" w:sz="4" w:space="0"/>
            </w:tcBorders>
            <w:vAlign w:val="center"/>
          </w:tcPr>
          <w:p>
            <w:pPr>
              <w:rPr>
                <w:highlight w:val="none"/>
              </w:rPr>
            </w:pPr>
            <w:r>
              <w:rPr>
                <w:rFonts w:hint="eastAsia"/>
                <w:highlight w:val="none"/>
              </w:rPr>
              <w:t>泰州</w:t>
            </w:r>
            <w:r>
              <w:rPr>
                <w:highlight w:val="none"/>
              </w:rPr>
              <w:t>职业技术学院官网自行下载</w:t>
            </w:r>
          </w:p>
          <w:p>
            <w:pPr>
              <w:rPr>
                <w:highlight w:val="none"/>
              </w:rPr>
            </w:pPr>
            <w:r>
              <w:rPr>
                <w:highlight w:val="none"/>
              </w:rPr>
              <w:t>时间：　</w:t>
            </w:r>
            <w:r>
              <w:rPr>
                <w:rFonts w:hint="eastAsia"/>
                <w:highlight w:val="none"/>
                <w:lang w:val="en-US" w:eastAsia="zh-CN"/>
              </w:rPr>
              <w:t>2022</w:t>
            </w:r>
            <w:r>
              <w:rPr>
                <w:rFonts w:hint="eastAsia"/>
                <w:highlight w:val="none"/>
              </w:rPr>
              <w:t xml:space="preserve">  </w:t>
            </w:r>
            <w:r>
              <w:rPr>
                <w:highlight w:val="none"/>
              </w:rPr>
              <w:t>年</w:t>
            </w:r>
            <w:r>
              <w:rPr>
                <w:rFonts w:hint="eastAsia"/>
                <w:highlight w:val="none"/>
              </w:rPr>
              <w:t xml:space="preserve">   </w:t>
            </w:r>
            <w:r>
              <w:rPr>
                <w:rFonts w:hint="eastAsia"/>
                <w:highlight w:val="none"/>
                <w:lang w:val="en-US" w:eastAsia="zh-CN"/>
              </w:rPr>
              <w:t>7</w:t>
            </w:r>
            <w:r>
              <w:rPr>
                <w:rFonts w:hint="eastAsia"/>
                <w:highlight w:val="none"/>
              </w:rPr>
              <w:t xml:space="preserve">月   </w:t>
            </w:r>
            <w:r>
              <w:rPr>
                <w:rFonts w:hint="eastAsia"/>
                <w:highlight w:val="none"/>
                <w:lang w:val="en-US" w:eastAsia="zh-CN"/>
              </w:rPr>
              <w:t>4</w:t>
            </w:r>
            <w:r>
              <w:rPr>
                <w:rFonts w:hint="eastAsia"/>
                <w:highlight w:val="none"/>
              </w:rPr>
              <w:t xml:space="preserve"> </w:t>
            </w:r>
            <w:r>
              <w:rPr>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47" w:type="dxa"/>
            <w:tcBorders>
              <w:top w:val="single" w:color="auto" w:sz="4" w:space="0"/>
              <w:left w:val="single" w:color="000000" w:sz="8" w:space="0"/>
              <w:bottom w:val="single" w:color="000000" w:sz="4" w:space="0"/>
              <w:right w:val="single" w:color="000000" w:sz="4" w:space="0"/>
            </w:tcBorders>
            <w:vAlign w:val="center"/>
          </w:tcPr>
          <w:p>
            <w:pPr>
              <w:jc w:val="center"/>
            </w:pPr>
            <w:r>
              <w:rPr>
                <w:rFonts w:hint="eastAsia"/>
              </w:rPr>
              <w:t>2</w:t>
            </w:r>
          </w:p>
        </w:tc>
        <w:tc>
          <w:tcPr>
            <w:tcW w:w="2041" w:type="dxa"/>
            <w:tcBorders>
              <w:top w:val="single" w:color="auto" w:sz="4" w:space="0"/>
              <w:left w:val="single" w:color="auto" w:sz="4" w:space="0"/>
              <w:bottom w:val="single" w:color="000000" w:sz="4" w:space="0"/>
              <w:right w:val="single" w:color="000000" w:sz="4" w:space="0"/>
            </w:tcBorders>
            <w:vAlign w:val="center"/>
          </w:tcPr>
          <w:p>
            <w:pPr>
              <w:jc w:val="center"/>
            </w:pPr>
            <w:r>
              <w:t>投标确认函</w:t>
            </w:r>
          </w:p>
        </w:tc>
        <w:tc>
          <w:tcPr>
            <w:tcW w:w="6120" w:type="dxa"/>
            <w:tcBorders>
              <w:top w:val="single" w:color="auto" w:sz="4" w:space="0"/>
              <w:left w:val="single" w:color="auto" w:sz="4" w:space="0"/>
              <w:bottom w:val="single" w:color="000000" w:sz="4" w:space="0"/>
              <w:right w:val="single" w:color="000000" w:sz="4" w:space="0"/>
            </w:tcBorders>
            <w:vAlign w:val="center"/>
          </w:tcPr>
          <w:p>
            <w:pPr>
              <w:rPr>
                <w:highlight w:val="none"/>
              </w:rPr>
            </w:pPr>
            <w:r>
              <w:rPr>
                <w:rFonts w:hint="eastAsia"/>
                <w:highlight w:val="none"/>
              </w:rPr>
              <w:t>发送至电子</w:t>
            </w:r>
            <w:r>
              <w:rPr>
                <w:highlight w:val="none"/>
              </w:rPr>
              <w:t>邮箱：tzyhqzcc@126.com</w:t>
            </w:r>
            <w:r>
              <w:rPr>
                <w:rFonts w:hint="eastAsia"/>
                <w:highlight w:val="none"/>
              </w:rPr>
              <w:t xml:space="preserve">  </w:t>
            </w:r>
          </w:p>
          <w:p>
            <w:pPr>
              <w:rPr>
                <w:highlight w:val="none"/>
              </w:rPr>
            </w:pPr>
            <w:r>
              <w:rPr>
                <w:highlight w:val="none"/>
              </w:rPr>
              <w:t>时间：　</w:t>
            </w:r>
            <w:r>
              <w:rPr>
                <w:rFonts w:hint="eastAsia"/>
                <w:highlight w:val="none"/>
                <w:lang w:val="en-US" w:eastAsia="zh-CN"/>
              </w:rPr>
              <w:t>2022</w:t>
            </w:r>
            <w:r>
              <w:rPr>
                <w:rFonts w:hint="eastAsia"/>
                <w:highlight w:val="none"/>
              </w:rPr>
              <w:t xml:space="preserve">  </w:t>
            </w:r>
            <w:r>
              <w:rPr>
                <w:highlight w:val="none"/>
              </w:rPr>
              <w:t>年</w:t>
            </w:r>
            <w:r>
              <w:rPr>
                <w:rFonts w:hint="eastAsia"/>
                <w:highlight w:val="none"/>
              </w:rPr>
              <w:t xml:space="preserve"> </w:t>
            </w:r>
            <w:r>
              <w:rPr>
                <w:rFonts w:hint="eastAsia"/>
                <w:highlight w:val="none"/>
                <w:lang w:val="en-US" w:eastAsia="zh-CN"/>
              </w:rPr>
              <w:t>7</w:t>
            </w:r>
            <w:r>
              <w:rPr>
                <w:rFonts w:hint="eastAsia"/>
                <w:highlight w:val="none"/>
              </w:rPr>
              <w:t xml:space="preserve"> 月  </w:t>
            </w:r>
            <w:r>
              <w:rPr>
                <w:rFonts w:hint="eastAsia"/>
                <w:highlight w:val="none"/>
                <w:lang w:val="en-US" w:eastAsia="zh-CN"/>
              </w:rPr>
              <w:t>8</w:t>
            </w:r>
            <w:r>
              <w:rPr>
                <w:rFonts w:hint="eastAsia"/>
                <w:highlight w:val="none"/>
              </w:rPr>
              <w:t xml:space="preserve">  </w:t>
            </w:r>
            <w:r>
              <w:rPr>
                <w:highlight w:val="none"/>
              </w:rPr>
              <w:t>日</w:t>
            </w:r>
            <w:r>
              <w:rPr>
                <w:rFonts w:hint="eastAsia"/>
                <w:highlight w:val="none"/>
              </w:rPr>
              <w:t xml:space="preserve"> </w:t>
            </w:r>
            <w:r>
              <w:rPr>
                <w:highlight w:val="none"/>
              </w:rPr>
              <w:t xml:space="preserve"> </w:t>
            </w:r>
            <w:r>
              <w:rPr>
                <w:rFonts w:hint="eastAsia"/>
                <w:highlight w:val="none"/>
                <w:lang w:val="en-US" w:eastAsia="zh-CN"/>
              </w:rPr>
              <w:t>17</w:t>
            </w:r>
            <w:r>
              <w:rPr>
                <w:highlight w:val="none"/>
              </w:rPr>
              <w:t xml:space="preserve"> 时前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47" w:type="dxa"/>
            <w:tcBorders>
              <w:top w:val="single" w:color="auto" w:sz="4" w:space="0"/>
              <w:left w:val="single" w:color="000000" w:sz="8" w:space="0"/>
              <w:bottom w:val="single" w:color="000000" w:sz="4" w:space="0"/>
              <w:right w:val="single" w:color="000000" w:sz="4" w:space="0"/>
            </w:tcBorders>
            <w:vAlign w:val="center"/>
          </w:tcPr>
          <w:p>
            <w:pPr>
              <w:jc w:val="center"/>
            </w:pPr>
            <w:r>
              <w:t>3</w:t>
            </w:r>
          </w:p>
        </w:tc>
        <w:tc>
          <w:tcPr>
            <w:tcW w:w="2041" w:type="dxa"/>
            <w:tcBorders>
              <w:top w:val="single" w:color="auto" w:sz="4" w:space="0"/>
              <w:left w:val="single" w:color="auto" w:sz="4" w:space="0"/>
              <w:bottom w:val="single" w:color="000000" w:sz="4" w:space="0"/>
              <w:right w:val="single" w:color="000000" w:sz="4" w:space="0"/>
            </w:tcBorders>
            <w:vAlign w:val="center"/>
          </w:tcPr>
          <w:p>
            <w:pPr>
              <w:jc w:val="center"/>
            </w:pPr>
            <w:r>
              <w:t>投标人踏</w:t>
            </w:r>
            <w:r>
              <w:rPr>
                <w:rFonts w:hint="eastAsia"/>
              </w:rPr>
              <w:t>勘</w:t>
            </w:r>
          </w:p>
          <w:p>
            <w:pPr>
              <w:jc w:val="center"/>
            </w:pPr>
            <w:r>
              <w:t>现场</w:t>
            </w:r>
          </w:p>
        </w:tc>
        <w:tc>
          <w:tcPr>
            <w:tcW w:w="6120" w:type="dxa"/>
            <w:tcBorders>
              <w:top w:val="single" w:color="auto" w:sz="4" w:space="0"/>
              <w:left w:val="single" w:color="auto" w:sz="4" w:space="0"/>
              <w:bottom w:val="single" w:color="000000" w:sz="4" w:space="0"/>
              <w:right w:val="single" w:color="000000" w:sz="4" w:space="0"/>
            </w:tcBorders>
            <w:vAlign w:val="center"/>
          </w:tcPr>
          <w:p>
            <w:pPr>
              <w:rPr>
                <w:highlight w:val="none"/>
              </w:rPr>
            </w:pPr>
            <w:r>
              <w:rPr>
                <w:highlight w:val="none"/>
              </w:rPr>
              <w:t>地点：</w:t>
            </w:r>
            <w:r>
              <w:rPr>
                <w:rFonts w:hint="eastAsia"/>
                <w:highlight w:val="none"/>
              </w:rPr>
              <w:t xml:space="preserve"> 泰州职业技术学院新校区行政楼124室</w:t>
            </w:r>
          </w:p>
          <w:p>
            <w:pPr>
              <w:rPr>
                <w:highlight w:val="none"/>
              </w:rPr>
            </w:pPr>
            <w:r>
              <w:rPr>
                <w:highlight w:val="none"/>
              </w:rPr>
              <w:t>时间：　</w:t>
            </w:r>
            <w:r>
              <w:rPr>
                <w:rFonts w:hint="eastAsia"/>
                <w:highlight w:val="none"/>
                <w:lang w:val="en-US" w:eastAsia="zh-CN"/>
              </w:rPr>
              <w:t>2022</w:t>
            </w:r>
            <w:r>
              <w:rPr>
                <w:rFonts w:hint="eastAsia"/>
                <w:highlight w:val="none"/>
              </w:rPr>
              <w:t xml:space="preserve">  </w:t>
            </w:r>
            <w:r>
              <w:rPr>
                <w:highlight w:val="none"/>
              </w:rPr>
              <w:t>年</w:t>
            </w:r>
            <w:r>
              <w:rPr>
                <w:rFonts w:hint="eastAsia"/>
                <w:highlight w:val="none"/>
              </w:rPr>
              <w:t xml:space="preserve"> </w:t>
            </w:r>
            <w:r>
              <w:rPr>
                <w:rFonts w:hint="eastAsia"/>
                <w:highlight w:val="none"/>
                <w:lang w:val="en-US" w:eastAsia="zh-CN"/>
              </w:rPr>
              <w:t>7</w:t>
            </w:r>
            <w:r>
              <w:rPr>
                <w:rFonts w:hint="eastAsia"/>
                <w:highlight w:val="none"/>
              </w:rPr>
              <w:t xml:space="preserve">  月  </w:t>
            </w:r>
            <w:r>
              <w:rPr>
                <w:rFonts w:hint="eastAsia"/>
                <w:highlight w:val="none"/>
                <w:lang w:val="en-US" w:eastAsia="zh-CN"/>
              </w:rPr>
              <w:t>8</w:t>
            </w:r>
            <w:r>
              <w:rPr>
                <w:rFonts w:hint="eastAsia"/>
                <w:highlight w:val="none"/>
              </w:rPr>
              <w:t xml:space="preserve">  </w:t>
            </w:r>
            <w:r>
              <w:rPr>
                <w:highlight w:val="none"/>
              </w:rPr>
              <w:t>日</w:t>
            </w:r>
            <w:r>
              <w:rPr>
                <w:rFonts w:hint="eastAsia"/>
                <w:highlight w:val="none"/>
              </w:rPr>
              <w:t xml:space="preserve"> </w:t>
            </w:r>
            <w:r>
              <w:rPr>
                <w:rFonts w:hint="eastAsia"/>
                <w:highlight w:val="none"/>
                <w:lang w:eastAsia="zh-CN"/>
              </w:rPr>
              <w:t>上午</w:t>
            </w:r>
            <w:r>
              <w:rPr>
                <w:rFonts w:hint="eastAsia"/>
                <w:highlight w:val="none"/>
                <w:lang w:val="en-US" w:eastAsia="zh-CN"/>
              </w:rPr>
              <w:t>9:00-11</w:t>
            </w:r>
            <w:r>
              <w:rPr>
                <w:highlight w:val="none"/>
              </w:rPr>
              <w:t xml:space="preserve"> </w:t>
            </w:r>
            <w:r>
              <w:rPr>
                <w:rFonts w:hint="eastAsia"/>
                <w:highlight w:val="none"/>
                <w:lang w:val="en-US" w:eastAsia="zh-CN"/>
              </w:rPr>
              <w:t>:00</w:t>
            </w:r>
            <w:r>
              <w:rPr>
                <w:highlight w:val="none"/>
              </w:rPr>
              <w:t xml:space="preserve">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47" w:type="dxa"/>
            <w:tcBorders>
              <w:top w:val="single" w:color="auto" w:sz="4" w:space="0"/>
              <w:left w:val="single" w:color="000000" w:sz="8" w:space="0"/>
              <w:bottom w:val="single" w:color="000000" w:sz="4" w:space="0"/>
              <w:right w:val="single" w:color="000000" w:sz="4" w:space="0"/>
            </w:tcBorders>
            <w:vAlign w:val="center"/>
          </w:tcPr>
          <w:p>
            <w:pPr>
              <w:jc w:val="center"/>
            </w:pPr>
            <w:r>
              <w:t>4</w:t>
            </w:r>
          </w:p>
        </w:tc>
        <w:tc>
          <w:tcPr>
            <w:tcW w:w="2041" w:type="dxa"/>
            <w:tcBorders>
              <w:top w:val="single" w:color="auto" w:sz="4" w:space="0"/>
              <w:left w:val="single" w:color="auto" w:sz="4" w:space="0"/>
              <w:bottom w:val="single" w:color="000000" w:sz="4" w:space="0"/>
              <w:right w:val="single" w:color="000000" w:sz="4" w:space="0"/>
            </w:tcBorders>
            <w:vAlign w:val="center"/>
          </w:tcPr>
          <w:p>
            <w:pPr>
              <w:jc w:val="center"/>
            </w:pPr>
            <w:r>
              <w:t>投标人报送</w:t>
            </w:r>
          </w:p>
          <w:p>
            <w:pPr>
              <w:jc w:val="center"/>
            </w:pPr>
            <w:r>
              <w:t>书面疑问</w:t>
            </w:r>
          </w:p>
        </w:tc>
        <w:tc>
          <w:tcPr>
            <w:tcW w:w="6120" w:type="dxa"/>
            <w:tcBorders>
              <w:top w:val="single" w:color="auto" w:sz="4" w:space="0"/>
              <w:left w:val="single" w:color="auto" w:sz="4" w:space="0"/>
              <w:bottom w:val="single" w:color="000000" w:sz="4" w:space="0"/>
              <w:right w:val="single" w:color="000000" w:sz="4" w:space="0"/>
            </w:tcBorders>
            <w:vAlign w:val="center"/>
          </w:tcPr>
          <w:p>
            <w:pPr>
              <w:rPr>
                <w:highlight w:val="none"/>
              </w:rPr>
            </w:pPr>
            <w:r>
              <w:rPr>
                <w:rFonts w:hint="eastAsia"/>
                <w:highlight w:val="none"/>
              </w:rPr>
              <w:t>发送至电子</w:t>
            </w:r>
            <w:r>
              <w:rPr>
                <w:highlight w:val="none"/>
              </w:rPr>
              <w:t>邮箱：tzyhqzcc@126.com</w:t>
            </w:r>
            <w:r>
              <w:rPr>
                <w:rFonts w:hint="eastAsia"/>
                <w:highlight w:val="none"/>
              </w:rPr>
              <w:t xml:space="preserve">  </w:t>
            </w:r>
          </w:p>
          <w:p>
            <w:pPr>
              <w:rPr>
                <w:highlight w:val="none"/>
              </w:rPr>
            </w:pPr>
            <w:r>
              <w:rPr>
                <w:highlight w:val="none"/>
              </w:rPr>
              <w:t>时间：　</w:t>
            </w:r>
            <w:r>
              <w:rPr>
                <w:rFonts w:hint="eastAsia"/>
                <w:highlight w:val="none"/>
                <w:lang w:val="en-US" w:eastAsia="zh-CN"/>
              </w:rPr>
              <w:t>2022</w:t>
            </w:r>
            <w:r>
              <w:rPr>
                <w:rFonts w:hint="eastAsia"/>
                <w:highlight w:val="none"/>
              </w:rPr>
              <w:t xml:space="preserve"> </w:t>
            </w:r>
            <w:r>
              <w:rPr>
                <w:highlight w:val="none"/>
              </w:rPr>
              <w:t>年</w:t>
            </w:r>
            <w:r>
              <w:rPr>
                <w:rFonts w:hint="eastAsia"/>
                <w:highlight w:val="none"/>
              </w:rPr>
              <w:t xml:space="preserve">  </w:t>
            </w:r>
            <w:r>
              <w:rPr>
                <w:rFonts w:hint="eastAsia"/>
                <w:highlight w:val="none"/>
                <w:lang w:val="en-US" w:eastAsia="zh-CN"/>
              </w:rPr>
              <w:t>7</w:t>
            </w:r>
            <w:r>
              <w:rPr>
                <w:rFonts w:hint="eastAsia"/>
                <w:highlight w:val="none"/>
              </w:rPr>
              <w:t xml:space="preserve"> 月  </w:t>
            </w:r>
            <w:r>
              <w:rPr>
                <w:rFonts w:hint="eastAsia"/>
                <w:highlight w:val="none"/>
                <w:lang w:val="en-US" w:eastAsia="zh-CN"/>
              </w:rPr>
              <w:t>8</w:t>
            </w:r>
            <w:r>
              <w:rPr>
                <w:rFonts w:hint="eastAsia"/>
                <w:highlight w:val="none"/>
              </w:rPr>
              <w:t xml:space="preserve">  </w:t>
            </w:r>
            <w:r>
              <w:rPr>
                <w:highlight w:val="none"/>
              </w:rPr>
              <w:t>日</w:t>
            </w:r>
            <w:r>
              <w:rPr>
                <w:rFonts w:hint="eastAsia"/>
                <w:highlight w:val="none"/>
              </w:rPr>
              <w:t xml:space="preserve"> </w:t>
            </w:r>
            <w:r>
              <w:rPr>
                <w:highlight w:val="none"/>
              </w:rPr>
              <w:t xml:space="preserve"> </w:t>
            </w:r>
            <w:r>
              <w:rPr>
                <w:rFonts w:hint="eastAsia"/>
                <w:highlight w:val="none"/>
                <w:lang w:val="en-US" w:eastAsia="zh-CN"/>
              </w:rPr>
              <w:t>12</w:t>
            </w:r>
            <w:r>
              <w:rPr>
                <w:highlight w:val="none"/>
              </w:rPr>
              <w:t xml:space="preserve"> 时前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47" w:type="dxa"/>
            <w:tcBorders>
              <w:top w:val="single" w:color="auto" w:sz="4" w:space="0"/>
              <w:left w:val="single" w:color="000000" w:sz="8" w:space="0"/>
              <w:bottom w:val="single" w:color="000000" w:sz="4" w:space="0"/>
              <w:right w:val="single" w:color="000000" w:sz="4" w:space="0"/>
            </w:tcBorders>
            <w:vAlign w:val="center"/>
          </w:tcPr>
          <w:p>
            <w:pPr>
              <w:jc w:val="center"/>
            </w:pPr>
            <w:r>
              <w:t>5</w:t>
            </w:r>
          </w:p>
        </w:tc>
        <w:tc>
          <w:tcPr>
            <w:tcW w:w="2041" w:type="dxa"/>
            <w:tcBorders>
              <w:top w:val="single" w:color="auto" w:sz="4" w:space="0"/>
              <w:left w:val="single" w:color="auto" w:sz="4" w:space="0"/>
              <w:bottom w:val="single" w:color="000000" w:sz="4" w:space="0"/>
              <w:right w:val="single" w:color="000000" w:sz="4" w:space="0"/>
            </w:tcBorders>
            <w:vAlign w:val="center"/>
          </w:tcPr>
          <w:p>
            <w:pPr>
              <w:jc w:val="center"/>
            </w:pPr>
            <w:r>
              <w:t>投标文件递交</w:t>
            </w:r>
          </w:p>
        </w:tc>
        <w:tc>
          <w:tcPr>
            <w:tcW w:w="6120" w:type="dxa"/>
            <w:tcBorders>
              <w:top w:val="single" w:color="auto" w:sz="4" w:space="0"/>
              <w:left w:val="single" w:color="auto" w:sz="4" w:space="0"/>
              <w:bottom w:val="single" w:color="000000" w:sz="4" w:space="0"/>
              <w:right w:val="single" w:color="000000" w:sz="4" w:space="0"/>
            </w:tcBorders>
            <w:vAlign w:val="center"/>
          </w:tcPr>
          <w:p>
            <w:pPr>
              <w:rPr>
                <w:highlight w:val="none"/>
              </w:rPr>
            </w:pPr>
            <w:r>
              <w:rPr>
                <w:highlight w:val="none"/>
              </w:rPr>
              <w:t>地点：泰州职业技术学院行政办公楼118会议室</w:t>
            </w:r>
          </w:p>
          <w:p>
            <w:pPr>
              <w:rPr>
                <w:rFonts w:hint="eastAsia" w:eastAsia="宋体"/>
                <w:highlight w:val="none"/>
                <w:lang w:val="en-US" w:eastAsia="zh-CN"/>
              </w:rPr>
            </w:pPr>
            <w:r>
              <w:rPr>
                <w:highlight w:val="none"/>
              </w:rPr>
              <w:t>时间：　</w:t>
            </w:r>
            <w:r>
              <w:rPr>
                <w:rFonts w:hint="eastAsia"/>
                <w:highlight w:val="none"/>
                <w:lang w:val="en-US" w:eastAsia="zh-CN"/>
              </w:rPr>
              <w:t>2022</w:t>
            </w:r>
            <w:r>
              <w:rPr>
                <w:rFonts w:hint="eastAsia"/>
                <w:highlight w:val="none"/>
              </w:rPr>
              <w:t xml:space="preserve"> </w:t>
            </w:r>
            <w:r>
              <w:rPr>
                <w:highlight w:val="none"/>
              </w:rPr>
              <w:t>年</w:t>
            </w:r>
            <w:r>
              <w:rPr>
                <w:rFonts w:hint="eastAsia"/>
                <w:highlight w:val="none"/>
              </w:rPr>
              <w:t xml:space="preserve"> </w:t>
            </w:r>
            <w:r>
              <w:rPr>
                <w:rFonts w:hint="eastAsia"/>
                <w:highlight w:val="none"/>
                <w:lang w:val="en-US" w:eastAsia="zh-CN"/>
              </w:rPr>
              <w:t>7</w:t>
            </w:r>
            <w:r>
              <w:rPr>
                <w:rFonts w:hint="eastAsia"/>
                <w:highlight w:val="none"/>
              </w:rPr>
              <w:t xml:space="preserve">  月 </w:t>
            </w:r>
            <w:r>
              <w:rPr>
                <w:rFonts w:hint="eastAsia"/>
                <w:highlight w:val="none"/>
                <w:lang w:val="en-US" w:eastAsia="zh-CN"/>
              </w:rPr>
              <w:t>11</w:t>
            </w:r>
            <w:r>
              <w:rPr>
                <w:rFonts w:hint="eastAsia"/>
                <w:highlight w:val="none"/>
              </w:rPr>
              <w:t xml:space="preserve">   </w:t>
            </w:r>
            <w:r>
              <w:rPr>
                <w:highlight w:val="none"/>
              </w:rPr>
              <w:t>日</w:t>
            </w:r>
            <w:r>
              <w:rPr>
                <w:rFonts w:hint="eastAsia"/>
                <w:highlight w:val="none"/>
                <w:lang w:eastAsia="zh-CN"/>
              </w:rPr>
              <w:t>上午</w:t>
            </w:r>
            <w:r>
              <w:rPr>
                <w:rFonts w:hint="eastAsia"/>
                <w:highlight w:val="none"/>
                <w:lang w:val="en-US" w:eastAsia="zh-CN"/>
              </w:rPr>
              <w:t>9:00-9</w:t>
            </w:r>
            <w:r>
              <w:rPr>
                <w:highlight w:val="none"/>
              </w:rPr>
              <w:t xml:space="preserve"> </w:t>
            </w:r>
            <w:r>
              <w:rPr>
                <w:rFonts w:hint="eastAsia"/>
                <w:highlight w:val="none"/>
                <w:lang w:val="en-US" w:eastAsia="zh-CN"/>
              </w:rPr>
              <w:t>:30</w:t>
            </w:r>
            <w:r>
              <w:rPr>
                <w:highlight w:val="none"/>
              </w:rPr>
              <w:t xml:space="preserve">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47" w:type="dxa"/>
            <w:tcBorders>
              <w:top w:val="single" w:color="auto" w:sz="4" w:space="0"/>
              <w:left w:val="single" w:color="000000" w:sz="8" w:space="0"/>
              <w:bottom w:val="single" w:color="000000" w:sz="4" w:space="0"/>
              <w:right w:val="single" w:color="000000" w:sz="4" w:space="0"/>
            </w:tcBorders>
            <w:vAlign w:val="center"/>
          </w:tcPr>
          <w:p>
            <w:pPr>
              <w:jc w:val="center"/>
            </w:pPr>
            <w:r>
              <w:t>6</w:t>
            </w:r>
          </w:p>
        </w:tc>
        <w:tc>
          <w:tcPr>
            <w:tcW w:w="2041" w:type="dxa"/>
            <w:tcBorders>
              <w:top w:val="single" w:color="auto" w:sz="4" w:space="0"/>
              <w:left w:val="single" w:color="auto" w:sz="4" w:space="0"/>
              <w:bottom w:val="single" w:color="000000" w:sz="4" w:space="0"/>
              <w:right w:val="single" w:color="000000" w:sz="4" w:space="0"/>
            </w:tcBorders>
            <w:vAlign w:val="center"/>
          </w:tcPr>
          <w:p>
            <w:pPr>
              <w:jc w:val="center"/>
            </w:pPr>
            <w:r>
              <w:t>开标</w:t>
            </w:r>
          </w:p>
        </w:tc>
        <w:tc>
          <w:tcPr>
            <w:tcW w:w="6120" w:type="dxa"/>
            <w:tcBorders>
              <w:top w:val="single" w:color="auto" w:sz="4" w:space="0"/>
              <w:left w:val="single" w:color="auto" w:sz="4" w:space="0"/>
              <w:bottom w:val="single" w:color="000000" w:sz="4" w:space="0"/>
              <w:right w:val="single" w:color="000000" w:sz="4" w:space="0"/>
            </w:tcBorders>
            <w:vAlign w:val="center"/>
          </w:tcPr>
          <w:p>
            <w:r>
              <w:t>地点：泰州职业技术学院行政办公楼118会议室</w:t>
            </w:r>
          </w:p>
          <w:p>
            <w:r>
              <w:t>时间：　</w:t>
            </w:r>
            <w:r>
              <w:rPr>
                <w:rFonts w:hint="eastAsia"/>
                <w:highlight w:val="none"/>
                <w:lang w:val="en-US" w:eastAsia="zh-CN"/>
              </w:rPr>
              <w:t>2022</w:t>
            </w:r>
            <w:r>
              <w:rPr>
                <w:rFonts w:hint="eastAsia"/>
                <w:highlight w:val="none"/>
              </w:rPr>
              <w:t xml:space="preserve"> </w:t>
            </w:r>
            <w:r>
              <w:rPr>
                <w:highlight w:val="none"/>
              </w:rPr>
              <w:t>年</w:t>
            </w:r>
            <w:r>
              <w:rPr>
                <w:rFonts w:hint="eastAsia"/>
                <w:highlight w:val="none"/>
              </w:rPr>
              <w:t xml:space="preserve"> </w:t>
            </w:r>
            <w:r>
              <w:rPr>
                <w:rFonts w:hint="eastAsia"/>
                <w:highlight w:val="none"/>
                <w:lang w:val="en-US" w:eastAsia="zh-CN"/>
              </w:rPr>
              <w:t>7</w:t>
            </w:r>
            <w:r>
              <w:rPr>
                <w:rFonts w:hint="eastAsia"/>
                <w:highlight w:val="none"/>
              </w:rPr>
              <w:t xml:space="preserve">  月 </w:t>
            </w:r>
            <w:r>
              <w:rPr>
                <w:rFonts w:hint="eastAsia"/>
                <w:highlight w:val="none"/>
                <w:lang w:val="en-US" w:eastAsia="zh-CN"/>
              </w:rPr>
              <w:t>11</w:t>
            </w:r>
            <w:r>
              <w:rPr>
                <w:rFonts w:hint="eastAsia"/>
                <w:highlight w:val="none"/>
              </w:rPr>
              <w:t xml:space="preserve"> </w:t>
            </w:r>
            <w:r>
              <w:rPr>
                <w:highlight w:val="none"/>
              </w:rPr>
              <w:t>日</w:t>
            </w:r>
            <w:r>
              <w:rPr>
                <w:rFonts w:hint="eastAsia"/>
                <w:highlight w:val="none"/>
                <w:lang w:eastAsia="zh-CN"/>
              </w:rPr>
              <w:t>上午</w:t>
            </w:r>
            <w:r>
              <w:rPr>
                <w:rFonts w:hint="eastAsia"/>
                <w:highlight w:val="none"/>
                <w:lang w:val="en-US" w:eastAsia="zh-CN"/>
              </w:rPr>
              <w:t>9</w:t>
            </w:r>
            <w:r>
              <w:rPr>
                <w:highlight w:val="none"/>
              </w:rPr>
              <w:t xml:space="preserve"> </w:t>
            </w:r>
            <w:r>
              <w:rPr>
                <w:rFonts w:hint="eastAsia"/>
                <w:highlight w:val="none"/>
                <w:lang w:val="en-US" w:eastAsia="zh-CN"/>
              </w:rPr>
              <w:t>:30</w:t>
            </w:r>
            <w:r>
              <w:rPr>
                <w:highlight w:val="none"/>
              </w:rPr>
              <w:t xml:space="preserve"> 时</w:t>
            </w:r>
          </w:p>
        </w:tc>
      </w:tr>
    </w:tbl>
    <w:p>
      <w:pPr>
        <w:widowControl/>
        <w:spacing w:line="360" w:lineRule="auto"/>
        <w:ind w:firstLine="323"/>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三、联系方式：</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招标人：泰州职业技术学院</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联系人：凌老师</w:t>
      </w:r>
    </w:p>
    <w:p>
      <w:pPr>
        <w:widowControl/>
        <w:spacing w:line="360" w:lineRule="auto"/>
        <w:ind w:firstLine="323"/>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联系电话：18994658335</w:t>
      </w:r>
    </w:p>
    <w:p>
      <w:pPr>
        <w:pStyle w:val="17"/>
        <w:shd w:val="clear" w:color="auto" w:fill="FFFFFF"/>
        <w:spacing w:beforeAutospacing="0" w:afterAutospacing="0"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四、疫情防控期间投标特别说明：</w:t>
      </w:r>
    </w:p>
    <w:p>
      <w:pPr>
        <w:pStyle w:val="17"/>
        <w:shd w:val="clear" w:color="auto" w:fill="FFFFFF"/>
        <w:spacing w:beforeAutospacing="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1、有下列情形之一的新型冠状病毒传染风险的人员，不得进入开评标场所：</w:t>
      </w:r>
    </w:p>
    <w:p>
      <w:pPr>
        <w:pStyle w:val="17"/>
        <w:shd w:val="clear" w:color="auto" w:fill="FFFFFF"/>
        <w:spacing w:beforeAutospacing="0" w:afterAutospacing="0" w:line="360" w:lineRule="auto"/>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asciiTheme="minorEastAsia" w:hAnsiTheme="minorEastAsia" w:eastAsiaTheme="minorEastAsia" w:cstheme="minorEastAsia"/>
        </w:rPr>
        <w:t>1</w:t>
      </w:r>
      <w:r>
        <w:rPr>
          <w:rFonts w:hint="eastAsia" w:asciiTheme="minorEastAsia" w:hAnsiTheme="minorEastAsia" w:eastAsiaTheme="minorEastAsia" w:cstheme="minorEastAsia"/>
        </w:rPr>
        <w:t>）最近14天接触过新型冠状病毒感染的肺炎疑似或确诊患者的；</w:t>
      </w:r>
    </w:p>
    <w:p>
      <w:pPr>
        <w:pStyle w:val="17"/>
        <w:shd w:val="clear" w:color="auto" w:fill="FFFFFF"/>
        <w:spacing w:beforeAutospacing="0" w:afterAutospacing="0" w:line="360" w:lineRule="auto"/>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asciiTheme="minorEastAsia" w:hAnsiTheme="minorEastAsia" w:eastAsiaTheme="minorEastAsia" w:cstheme="minorEastAsia"/>
        </w:rPr>
        <w:t>2</w:t>
      </w:r>
      <w:r>
        <w:rPr>
          <w:rFonts w:hint="eastAsia" w:asciiTheme="minorEastAsia" w:hAnsiTheme="minorEastAsia" w:eastAsiaTheme="minorEastAsia" w:cstheme="minorEastAsia"/>
        </w:rPr>
        <w:t>）来自或途经重点地区的来泰、返泰人员，在泰隔离观察（留验）未满14天的；</w:t>
      </w:r>
    </w:p>
    <w:p>
      <w:pPr>
        <w:pStyle w:val="17"/>
        <w:shd w:val="clear" w:color="auto" w:fill="FFFFFF"/>
        <w:spacing w:beforeAutospacing="0" w:afterAutospacing="0" w:line="360" w:lineRule="auto"/>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asciiTheme="minorEastAsia" w:hAnsiTheme="minorEastAsia" w:eastAsiaTheme="minorEastAsia" w:cstheme="minorEastAsia"/>
        </w:rPr>
        <w:t>3</w:t>
      </w:r>
      <w:r>
        <w:rPr>
          <w:rFonts w:hint="eastAsia" w:asciiTheme="minorEastAsia" w:hAnsiTheme="minorEastAsia" w:eastAsiaTheme="minorEastAsia" w:cstheme="minorEastAsia"/>
        </w:rPr>
        <w:t>）近期有发热、乏力、干咳、气促等新型冠状病毒感染可疑症状的；</w:t>
      </w:r>
    </w:p>
    <w:p>
      <w:pPr>
        <w:pStyle w:val="17"/>
        <w:shd w:val="clear" w:color="auto" w:fill="FFFFFF"/>
        <w:spacing w:beforeAutospacing="0" w:afterAutospacing="0" w:line="360" w:lineRule="auto"/>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asciiTheme="minorEastAsia" w:hAnsiTheme="minorEastAsia" w:eastAsiaTheme="minorEastAsia" w:cstheme="minorEastAsia"/>
        </w:rPr>
        <w:t>4</w:t>
      </w:r>
      <w:r>
        <w:rPr>
          <w:rFonts w:hint="eastAsia" w:asciiTheme="minorEastAsia" w:hAnsiTheme="minorEastAsia" w:eastAsiaTheme="minorEastAsia" w:cstheme="minorEastAsia"/>
        </w:rPr>
        <w:t>）开标场所，配合场所工作人员依次进行体温检测，不配合工作人员管理的，工作人员有权拒绝其入场。</w:t>
      </w:r>
    </w:p>
    <w:p>
      <w:pPr>
        <w:pStyle w:val="17"/>
        <w:shd w:val="clear" w:color="auto" w:fill="FFFFFF"/>
        <w:spacing w:beforeAutospacing="0" w:afterAutospacing="0" w:line="360" w:lineRule="auto"/>
        <w:ind w:firstLine="420"/>
        <w:rPr>
          <w:rFonts w:asciiTheme="minorEastAsia" w:hAnsiTheme="minorEastAsia" w:eastAsiaTheme="minorEastAsia" w:cstheme="minorEastAsia"/>
        </w:rPr>
      </w:pPr>
      <w:r>
        <w:rPr>
          <w:rFonts w:asciiTheme="minorEastAsia" w:hAnsiTheme="minorEastAsia" w:eastAsiaTheme="minorEastAsia" w:cstheme="minorEastAsia"/>
        </w:rPr>
        <w:t>2、</w:t>
      </w:r>
      <w:r>
        <w:rPr>
          <w:rFonts w:hint="eastAsia" w:asciiTheme="minorEastAsia" w:hAnsiTheme="minorEastAsia" w:eastAsiaTheme="minorEastAsia" w:cstheme="minorEastAsia"/>
        </w:rPr>
        <w:t>针对新冠肺炎疫情防控期间的投标须知：响应单位到场代表须身体健康，持健康码、行程码绿码并佩戴口罩，</w:t>
      </w:r>
      <w:r>
        <w:rPr>
          <w:rFonts w:hint="eastAsia" w:asciiTheme="minorEastAsia" w:hAnsiTheme="minorEastAsia" w:eastAsiaTheme="minorEastAsia" w:cstheme="minorEastAsia"/>
          <w:lang w:eastAsia="zh-CN"/>
        </w:rPr>
        <w:t>持</w:t>
      </w:r>
      <w:r>
        <w:rPr>
          <w:rFonts w:hint="eastAsia" w:asciiTheme="minorEastAsia" w:hAnsiTheme="minorEastAsia" w:eastAsiaTheme="minorEastAsia" w:cstheme="minorEastAsia"/>
          <w:lang w:val="en-US" w:eastAsia="zh-CN"/>
        </w:rPr>
        <w:t>48小时内核酸检测阴性报告。</w:t>
      </w:r>
      <w:r>
        <w:rPr>
          <w:rFonts w:hint="eastAsia" w:asciiTheme="minorEastAsia" w:hAnsiTheme="minorEastAsia" w:eastAsiaTheme="minorEastAsia" w:cstheme="minorEastAsia"/>
        </w:rPr>
        <w:t>一个投标单位只允许一位委托人入场，如因无绿码</w:t>
      </w:r>
      <w:r>
        <w:rPr>
          <w:rFonts w:hint="eastAsia" w:asciiTheme="minorEastAsia" w:hAnsiTheme="minorEastAsia" w:eastAsiaTheme="minorEastAsia" w:cstheme="minorEastAsia"/>
          <w:lang w:eastAsia="zh-CN"/>
        </w:rPr>
        <w:t>、核酸报告</w:t>
      </w:r>
      <w:r>
        <w:rPr>
          <w:rFonts w:hint="eastAsia" w:asciiTheme="minorEastAsia" w:hAnsiTheme="minorEastAsia" w:eastAsiaTheme="minorEastAsia" w:cstheme="minorEastAsia"/>
        </w:rPr>
        <w:t>或生病等原因不能进入开标室造成的相应损失，由响应供应商自行承担。</w:t>
      </w:r>
    </w:p>
    <w:p>
      <w:pPr>
        <w:pStyle w:val="4"/>
        <w:pageBreakBefore/>
      </w:pPr>
      <w:bookmarkStart w:id="0" w:name="_Toc275956099"/>
      <w:bookmarkStart w:id="1" w:name="_Toc241459614"/>
      <w:bookmarkStart w:id="2" w:name="_Toc266951038"/>
      <w:r>
        <w:rPr>
          <w:rFonts w:hint="eastAsia"/>
        </w:rPr>
        <w:t>第二章投标人须知</w:t>
      </w:r>
      <w:bookmarkEnd w:id="0"/>
      <w:bookmarkEnd w:id="1"/>
      <w:bookmarkEnd w:id="2"/>
    </w:p>
    <w:p/>
    <w:p>
      <w:pPr>
        <w:pStyle w:val="5"/>
      </w:pPr>
      <w:bookmarkStart w:id="3" w:name="_投标须知表"/>
      <w:bookmarkEnd w:id="3"/>
      <w:bookmarkStart w:id="4" w:name="_Toc266951039"/>
      <w:bookmarkStart w:id="5" w:name="_Toc275956100"/>
      <w:r>
        <w:rPr>
          <w:rFonts w:hint="eastAsia"/>
        </w:rPr>
        <w:t>投标人须知前附表</w:t>
      </w:r>
      <w:bookmarkEnd w:id="4"/>
      <w:bookmarkEnd w:id="5"/>
    </w:p>
    <w:tbl>
      <w:tblPr>
        <w:tblStyle w:val="19"/>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260"/>
        <w:gridCol w:w="1443"/>
        <w:gridCol w:w="835"/>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8"/>
                <w:szCs w:val="28"/>
              </w:rPr>
            </w:pPr>
            <w:r>
              <w:rPr>
                <w:rFonts w:hint="eastAsia" w:ascii="宋体" w:hAnsi="宋体" w:cs="Arial"/>
                <w:b/>
                <w:sz w:val="28"/>
                <w:szCs w:val="28"/>
              </w:rPr>
              <w:t>条款号</w:t>
            </w:r>
          </w:p>
        </w:tc>
        <w:tc>
          <w:tcPr>
            <w:tcW w:w="2538" w:type="dxa"/>
            <w:gridSpan w:val="3"/>
            <w:vAlign w:val="center"/>
          </w:tcPr>
          <w:p>
            <w:pPr>
              <w:jc w:val="center"/>
              <w:rPr>
                <w:rFonts w:ascii="宋体" w:cs="Arial"/>
                <w:b/>
                <w:sz w:val="28"/>
                <w:szCs w:val="28"/>
              </w:rPr>
            </w:pPr>
            <w:r>
              <w:rPr>
                <w:rFonts w:hint="eastAsia" w:ascii="宋体" w:hAnsi="宋体" w:cs="Arial"/>
                <w:b/>
                <w:sz w:val="28"/>
                <w:szCs w:val="28"/>
              </w:rPr>
              <w:t>条款名称</w:t>
            </w:r>
          </w:p>
        </w:tc>
        <w:tc>
          <w:tcPr>
            <w:tcW w:w="5828" w:type="dxa"/>
            <w:vAlign w:val="center"/>
          </w:tcPr>
          <w:p>
            <w:pPr>
              <w:jc w:val="center"/>
              <w:rPr>
                <w:rFonts w:ascii="宋体" w:cs="Arial"/>
                <w:b/>
                <w:sz w:val="28"/>
                <w:szCs w:val="28"/>
              </w:rPr>
            </w:pPr>
            <w:r>
              <w:rPr>
                <w:rFonts w:hint="eastAsia" w:ascii="宋体" w:hAnsi="宋体" w:cs="Arial"/>
                <w:b/>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1</w:t>
            </w:r>
          </w:p>
        </w:tc>
        <w:tc>
          <w:tcPr>
            <w:tcW w:w="8366" w:type="dxa"/>
            <w:gridSpan w:val="4"/>
            <w:vAlign w:val="center"/>
          </w:tcPr>
          <w:p>
            <w:pPr>
              <w:ind w:firstLine="3220" w:firstLineChars="1150"/>
              <w:rPr>
                <w:rFonts w:ascii="宋体" w:cs="Arial"/>
                <w:szCs w:val="21"/>
              </w:rPr>
            </w:pPr>
            <w:r>
              <w:rPr>
                <w:rFonts w:hint="eastAsia" w:ascii="黑体" w:hAnsi="宋体" w:eastAsia="黑体" w:cs="黑体"/>
                <w:kern w:val="0"/>
                <w:sz w:val="28"/>
                <w:szCs w:val="28"/>
              </w:rPr>
              <w:t>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bookmarkStart w:id="6" w:name="_1.1"/>
            <w:bookmarkEnd w:id="6"/>
            <w:r>
              <w:rPr>
                <w:rFonts w:ascii="宋体" w:hAnsi="宋体" w:cs="Arial"/>
                <w:szCs w:val="21"/>
              </w:rPr>
              <w:t>1.1.2</w:t>
            </w:r>
          </w:p>
        </w:tc>
        <w:tc>
          <w:tcPr>
            <w:tcW w:w="2538" w:type="dxa"/>
            <w:gridSpan w:val="3"/>
            <w:vAlign w:val="center"/>
          </w:tcPr>
          <w:p>
            <w:pPr>
              <w:jc w:val="center"/>
              <w:rPr>
                <w:rFonts w:ascii="宋体" w:cs="Arial"/>
                <w:sz w:val="22"/>
                <w:szCs w:val="22"/>
              </w:rPr>
            </w:pPr>
            <w:r>
              <w:rPr>
                <w:rFonts w:hint="eastAsia" w:ascii="宋体" w:hAnsi="宋体" w:cs="Arial"/>
                <w:sz w:val="22"/>
                <w:szCs w:val="22"/>
              </w:rPr>
              <w:t>招标人</w:t>
            </w:r>
          </w:p>
        </w:tc>
        <w:tc>
          <w:tcPr>
            <w:tcW w:w="5828" w:type="dxa"/>
            <w:vAlign w:val="center"/>
          </w:tcPr>
          <w:p>
            <w:pPr>
              <w:rPr>
                <w:rFonts w:ascii="宋体" w:hAnsi="宋体" w:cs="宋体"/>
                <w:color w:val="3D3D3D"/>
                <w:kern w:val="0"/>
                <w:sz w:val="22"/>
                <w:szCs w:val="22"/>
              </w:rPr>
            </w:pPr>
            <w:r>
              <w:rPr>
                <w:rFonts w:hint="eastAsia" w:ascii="宋体" w:hAnsi="宋体" w:cs="Arial"/>
                <w:sz w:val="22"/>
                <w:szCs w:val="22"/>
              </w:rPr>
              <w:t>名称：</w:t>
            </w:r>
            <w:r>
              <w:rPr>
                <w:rFonts w:hint="eastAsia" w:ascii="宋体" w:hAnsi="宋体" w:cs="宋体"/>
                <w:color w:val="3D3D3D"/>
                <w:kern w:val="0"/>
                <w:sz w:val="22"/>
                <w:szCs w:val="22"/>
              </w:rPr>
              <w:t>泰州职业技术学院</w:t>
            </w:r>
          </w:p>
          <w:p>
            <w:pPr>
              <w:rPr>
                <w:sz w:val="22"/>
                <w:szCs w:val="22"/>
              </w:rPr>
            </w:pPr>
            <w:r>
              <w:rPr>
                <w:rFonts w:hint="eastAsia" w:ascii="宋体" w:hAnsi="宋体" w:cs="Arial"/>
                <w:sz w:val="22"/>
                <w:szCs w:val="22"/>
              </w:rPr>
              <w:t>地址：</w:t>
            </w:r>
            <w:r>
              <w:rPr>
                <w:rFonts w:hint="eastAsia" w:ascii="宋体" w:hAnsi="宋体" w:cs="宋体"/>
                <w:color w:val="3D3D3D"/>
                <w:kern w:val="0"/>
                <w:sz w:val="22"/>
                <w:szCs w:val="22"/>
              </w:rPr>
              <w:t>泰州市</w:t>
            </w:r>
            <w:r>
              <w:rPr>
                <w:rFonts w:hint="eastAsia" w:ascii="宋体" w:hAnsi="宋体" w:cs="宋体"/>
                <w:color w:val="3D3D3D"/>
                <w:kern w:val="0"/>
                <w:sz w:val="22"/>
                <w:szCs w:val="22"/>
                <w:lang w:eastAsia="zh-CN"/>
              </w:rPr>
              <w:t>医药高新区</w:t>
            </w:r>
            <w:r>
              <w:rPr>
                <w:rFonts w:hint="eastAsia" w:ascii="宋体" w:hAnsi="宋体" w:cs="宋体"/>
                <w:color w:val="3D3D3D"/>
                <w:kern w:val="0"/>
                <w:sz w:val="22"/>
                <w:szCs w:val="22"/>
              </w:rPr>
              <w:t xml:space="preserve">天星路8号 </w:t>
            </w:r>
          </w:p>
          <w:p>
            <w:pPr>
              <w:rPr>
                <w:rFonts w:ascii="宋体" w:hAnsi="宋体" w:cs="宋体"/>
                <w:color w:val="3D3D3D"/>
                <w:kern w:val="0"/>
                <w:sz w:val="22"/>
                <w:szCs w:val="22"/>
              </w:rPr>
            </w:pPr>
            <w:r>
              <w:rPr>
                <w:rFonts w:hint="eastAsia" w:ascii="宋体" w:hAnsi="宋体" w:cs="宋体"/>
                <w:color w:val="3D3D3D"/>
                <w:kern w:val="0"/>
                <w:sz w:val="22"/>
                <w:szCs w:val="22"/>
              </w:rPr>
              <w:t>联系人：凌老师</w:t>
            </w:r>
          </w:p>
          <w:p>
            <w:pPr>
              <w:rPr>
                <w:rFonts w:ascii="宋体" w:hAnsi="宋体" w:cs="Arial"/>
                <w:sz w:val="22"/>
                <w:szCs w:val="22"/>
                <w:u w:val="single"/>
              </w:rPr>
            </w:pPr>
            <w:r>
              <w:rPr>
                <w:rFonts w:hint="eastAsia" w:ascii="宋体" w:hAnsi="宋体" w:cs="Arial"/>
                <w:sz w:val="22"/>
                <w:szCs w:val="22"/>
              </w:rPr>
              <w:t>电话：</w:t>
            </w:r>
            <w:r>
              <w:rPr>
                <w:rFonts w:hint="eastAsia" w:ascii="宋体" w:hAnsi="宋体" w:cs="宋体"/>
                <w:color w:val="3D3D3D"/>
                <w:kern w:val="0"/>
                <w:sz w:val="22"/>
                <w:szCs w:val="22"/>
              </w:rPr>
              <w:t>18994658335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hAnsi="宋体" w:cs="Arial"/>
                <w:szCs w:val="21"/>
              </w:rPr>
            </w:pPr>
            <w:r>
              <w:rPr>
                <w:rFonts w:ascii="宋体" w:hAnsi="宋体" w:cs="Arial"/>
                <w:szCs w:val="21"/>
              </w:rPr>
              <w:t>1.1.3</w:t>
            </w:r>
          </w:p>
        </w:tc>
        <w:tc>
          <w:tcPr>
            <w:tcW w:w="2538" w:type="dxa"/>
            <w:gridSpan w:val="3"/>
            <w:vAlign w:val="center"/>
          </w:tcPr>
          <w:p>
            <w:pPr>
              <w:jc w:val="center"/>
              <w:rPr>
                <w:rFonts w:ascii="宋体" w:hAnsi="宋体" w:cs="Arial"/>
                <w:szCs w:val="21"/>
              </w:rPr>
            </w:pPr>
            <w:r>
              <w:rPr>
                <w:rFonts w:hint="eastAsia" w:ascii="宋体" w:hAnsi="宋体" w:cs="Arial"/>
                <w:szCs w:val="21"/>
              </w:rPr>
              <w:t>项目名称</w:t>
            </w:r>
          </w:p>
        </w:tc>
        <w:tc>
          <w:tcPr>
            <w:tcW w:w="5828" w:type="dxa"/>
            <w:vAlign w:val="center"/>
          </w:tcPr>
          <w:p>
            <w:pPr>
              <w:jc w:val="left"/>
              <w:rPr>
                <w:rFonts w:ascii="宋体" w:hAnsi="宋体" w:cs="Arial"/>
                <w:szCs w:val="21"/>
              </w:rPr>
            </w:pPr>
            <w:r>
              <w:rPr>
                <w:rFonts w:hint="eastAsia" w:ascii="宋体" w:hAnsi="宋体" w:cs="Arial"/>
                <w:szCs w:val="21"/>
                <w:highlight w:val="none"/>
              </w:rPr>
              <w:t>泰州职业技术学院医学院外墙维修工程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1.1.4</w:t>
            </w:r>
          </w:p>
        </w:tc>
        <w:tc>
          <w:tcPr>
            <w:tcW w:w="2538" w:type="dxa"/>
            <w:gridSpan w:val="3"/>
            <w:vAlign w:val="center"/>
          </w:tcPr>
          <w:p>
            <w:pPr>
              <w:jc w:val="center"/>
              <w:rPr>
                <w:rFonts w:ascii="宋体" w:cs="Arial"/>
                <w:sz w:val="22"/>
                <w:szCs w:val="22"/>
              </w:rPr>
            </w:pPr>
            <w:r>
              <w:rPr>
                <w:rFonts w:hint="eastAsia" w:ascii="宋体" w:hAnsi="宋体" w:cs="Arial"/>
                <w:sz w:val="22"/>
                <w:szCs w:val="22"/>
              </w:rPr>
              <w:t>建设地点</w:t>
            </w:r>
          </w:p>
        </w:tc>
        <w:tc>
          <w:tcPr>
            <w:tcW w:w="5828" w:type="dxa"/>
            <w:vAlign w:val="center"/>
          </w:tcPr>
          <w:p>
            <w:pPr>
              <w:rPr>
                <w:rFonts w:ascii="宋体" w:cs="Arial"/>
                <w:sz w:val="22"/>
                <w:szCs w:val="22"/>
              </w:rPr>
            </w:pPr>
            <w:r>
              <w:rPr>
                <w:rFonts w:hint="eastAsia" w:ascii="宋体" w:hAnsi="宋体" w:cs="宋体"/>
                <w:color w:val="3D3D3D"/>
                <w:kern w:val="0"/>
                <w:sz w:val="22"/>
                <w:szCs w:val="22"/>
              </w:rPr>
              <w:t>泰州职业技术学院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bookmarkStart w:id="7" w:name="_1.2"/>
            <w:bookmarkEnd w:id="7"/>
            <w:r>
              <w:rPr>
                <w:rFonts w:ascii="宋体" w:hAnsi="宋体" w:cs="Arial"/>
                <w:szCs w:val="21"/>
              </w:rPr>
              <w:t>1.2.1</w:t>
            </w:r>
          </w:p>
        </w:tc>
        <w:tc>
          <w:tcPr>
            <w:tcW w:w="2538" w:type="dxa"/>
            <w:gridSpan w:val="3"/>
            <w:vAlign w:val="center"/>
          </w:tcPr>
          <w:p>
            <w:pPr>
              <w:jc w:val="center"/>
              <w:rPr>
                <w:rFonts w:ascii="宋体" w:cs="Arial"/>
                <w:sz w:val="22"/>
                <w:szCs w:val="22"/>
              </w:rPr>
            </w:pPr>
            <w:r>
              <w:rPr>
                <w:rFonts w:hint="eastAsia" w:ascii="宋体" w:hAnsi="宋体" w:cs="Arial"/>
                <w:sz w:val="22"/>
                <w:szCs w:val="22"/>
              </w:rPr>
              <w:t>资金来源</w:t>
            </w:r>
          </w:p>
        </w:tc>
        <w:tc>
          <w:tcPr>
            <w:tcW w:w="5828" w:type="dxa"/>
            <w:vAlign w:val="center"/>
          </w:tcPr>
          <w:p>
            <w:pPr>
              <w:rPr>
                <w:rFonts w:ascii="宋体" w:cs="Arial"/>
                <w:sz w:val="22"/>
                <w:szCs w:val="22"/>
              </w:rPr>
            </w:pPr>
            <w:r>
              <w:rPr>
                <w:rFonts w:hint="eastAsia" w:ascii="宋体" w:cs="Arial"/>
                <w:sz w:val="22"/>
                <w:szCs w:val="22"/>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1.2.2</w:t>
            </w:r>
          </w:p>
        </w:tc>
        <w:tc>
          <w:tcPr>
            <w:tcW w:w="2538" w:type="dxa"/>
            <w:gridSpan w:val="3"/>
            <w:vAlign w:val="center"/>
          </w:tcPr>
          <w:p>
            <w:pPr>
              <w:jc w:val="center"/>
              <w:rPr>
                <w:rFonts w:ascii="宋体" w:cs="Arial"/>
                <w:sz w:val="22"/>
                <w:szCs w:val="22"/>
              </w:rPr>
            </w:pPr>
            <w:r>
              <w:rPr>
                <w:rFonts w:hint="eastAsia" w:ascii="宋体" w:hAnsi="宋体" w:cs="Arial"/>
                <w:sz w:val="22"/>
                <w:szCs w:val="22"/>
              </w:rPr>
              <w:t>出资比例</w:t>
            </w:r>
          </w:p>
        </w:tc>
        <w:tc>
          <w:tcPr>
            <w:tcW w:w="5828" w:type="dxa"/>
            <w:vAlign w:val="center"/>
          </w:tcPr>
          <w:p>
            <w:pPr>
              <w:rPr>
                <w:rFonts w:ascii="宋体" w:cs="Arial"/>
                <w:sz w:val="22"/>
                <w:szCs w:val="22"/>
              </w:rPr>
            </w:pPr>
            <w:r>
              <w:rPr>
                <w:rFonts w:hint="eastAsia" w:ascii="宋体" w:cs="Arial"/>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1.2.3</w:t>
            </w:r>
          </w:p>
        </w:tc>
        <w:tc>
          <w:tcPr>
            <w:tcW w:w="2538" w:type="dxa"/>
            <w:gridSpan w:val="3"/>
            <w:vAlign w:val="center"/>
          </w:tcPr>
          <w:p>
            <w:pPr>
              <w:jc w:val="center"/>
              <w:rPr>
                <w:rFonts w:ascii="宋体" w:cs="Arial"/>
                <w:sz w:val="22"/>
                <w:szCs w:val="22"/>
              </w:rPr>
            </w:pPr>
            <w:r>
              <w:rPr>
                <w:rFonts w:hint="eastAsia" w:ascii="宋体" w:hAnsi="宋体" w:cs="Arial"/>
                <w:sz w:val="22"/>
                <w:szCs w:val="22"/>
              </w:rPr>
              <w:t>项目的资金落实情况</w:t>
            </w:r>
          </w:p>
        </w:tc>
        <w:tc>
          <w:tcPr>
            <w:tcW w:w="5828" w:type="dxa"/>
            <w:vAlign w:val="center"/>
          </w:tcPr>
          <w:p>
            <w:pPr>
              <w:rPr>
                <w:rFonts w:ascii="宋体" w:cs="Arial"/>
                <w:sz w:val="22"/>
                <w:szCs w:val="22"/>
              </w:rPr>
            </w:pPr>
            <w:r>
              <w:rPr>
                <w:rFonts w:hint="eastAsia" w:ascii="宋体" w:cs="Arial"/>
                <w:sz w:val="22"/>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1.3.1</w:t>
            </w:r>
          </w:p>
        </w:tc>
        <w:tc>
          <w:tcPr>
            <w:tcW w:w="2538" w:type="dxa"/>
            <w:gridSpan w:val="3"/>
            <w:vAlign w:val="center"/>
          </w:tcPr>
          <w:p>
            <w:pPr>
              <w:jc w:val="center"/>
              <w:rPr>
                <w:rFonts w:ascii="宋体" w:cs="Arial"/>
                <w:sz w:val="22"/>
                <w:szCs w:val="22"/>
              </w:rPr>
            </w:pPr>
            <w:r>
              <w:rPr>
                <w:rFonts w:hint="eastAsia" w:ascii="宋体" w:hAnsi="宋体" w:cs="Arial"/>
                <w:sz w:val="22"/>
                <w:szCs w:val="22"/>
              </w:rPr>
              <w:t>招标范围</w:t>
            </w:r>
          </w:p>
        </w:tc>
        <w:tc>
          <w:tcPr>
            <w:tcW w:w="5828" w:type="dxa"/>
            <w:vAlign w:val="center"/>
          </w:tcPr>
          <w:p>
            <w:pPr>
              <w:rPr>
                <w:rFonts w:ascii="宋体" w:cs="Arial"/>
                <w:sz w:val="22"/>
                <w:szCs w:val="22"/>
              </w:rPr>
            </w:pPr>
            <w:r>
              <w:rPr>
                <w:rFonts w:hint="eastAsia" w:ascii="宋体" w:cs="Arial"/>
                <w:sz w:val="22"/>
                <w:szCs w:val="22"/>
              </w:rPr>
              <w:t>详见招标控制价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1.3.2</w:t>
            </w:r>
          </w:p>
        </w:tc>
        <w:tc>
          <w:tcPr>
            <w:tcW w:w="2538" w:type="dxa"/>
            <w:gridSpan w:val="3"/>
            <w:vAlign w:val="center"/>
          </w:tcPr>
          <w:p>
            <w:pPr>
              <w:jc w:val="center"/>
              <w:rPr>
                <w:rFonts w:ascii="宋体" w:cs="Arial"/>
                <w:sz w:val="22"/>
                <w:szCs w:val="22"/>
              </w:rPr>
            </w:pPr>
            <w:r>
              <w:rPr>
                <w:rFonts w:hint="eastAsia" w:ascii="宋体" w:hAnsi="宋体" w:cs="Arial"/>
                <w:sz w:val="22"/>
                <w:szCs w:val="22"/>
              </w:rPr>
              <w:t>计划工期</w:t>
            </w:r>
          </w:p>
        </w:tc>
        <w:tc>
          <w:tcPr>
            <w:tcW w:w="5828" w:type="dxa"/>
            <w:vAlign w:val="center"/>
          </w:tcPr>
          <w:p>
            <w:pPr>
              <w:rPr>
                <w:rFonts w:ascii="宋体" w:hAnsi="宋体" w:cs="Arial"/>
                <w:sz w:val="22"/>
                <w:szCs w:val="22"/>
                <w:u w:val="single"/>
              </w:rPr>
            </w:pPr>
            <w:r>
              <w:rPr>
                <w:rFonts w:hint="eastAsia" w:ascii="宋体" w:hAnsi="宋体" w:cs="Arial"/>
                <w:sz w:val="22"/>
                <w:szCs w:val="22"/>
              </w:rPr>
              <w:t>计划工期：</w:t>
            </w:r>
            <w:r>
              <w:rPr>
                <w:rFonts w:hint="eastAsia" w:ascii="宋体" w:hAnsi="宋体" w:cs="Arial"/>
                <w:sz w:val="22"/>
                <w:szCs w:val="22"/>
                <w:highlight w:val="none"/>
              </w:rPr>
              <w:t>20</w:t>
            </w:r>
            <w:r>
              <w:rPr>
                <w:rFonts w:hint="eastAsia" w:ascii="宋体" w:hAnsi="宋体" w:cs="Arial"/>
                <w:sz w:val="22"/>
                <w:szCs w:val="22"/>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1.3.3</w:t>
            </w:r>
          </w:p>
        </w:tc>
        <w:tc>
          <w:tcPr>
            <w:tcW w:w="2538" w:type="dxa"/>
            <w:gridSpan w:val="3"/>
            <w:vAlign w:val="center"/>
          </w:tcPr>
          <w:p>
            <w:pPr>
              <w:jc w:val="center"/>
              <w:rPr>
                <w:rFonts w:ascii="宋体" w:cs="Arial"/>
                <w:sz w:val="22"/>
                <w:szCs w:val="22"/>
              </w:rPr>
            </w:pPr>
            <w:r>
              <w:rPr>
                <w:rFonts w:hint="eastAsia" w:ascii="宋体" w:hAnsi="宋体" w:cs="Arial"/>
                <w:sz w:val="22"/>
                <w:szCs w:val="22"/>
              </w:rPr>
              <w:t>质量要求</w:t>
            </w:r>
          </w:p>
        </w:tc>
        <w:tc>
          <w:tcPr>
            <w:tcW w:w="5828" w:type="dxa"/>
            <w:vAlign w:val="center"/>
          </w:tcPr>
          <w:p>
            <w:pPr>
              <w:rPr>
                <w:sz w:val="22"/>
                <w:szCs w:val="22"/>
              </w:rPr>
            </w:pPr>
            <w:r>
              <w:rPr>
                <w:rFonts w:hint="eastAsia"/>
                <w:sz w:val="22"/>
                <w:szCs w:val="22"/>
              </w:rPr>
              <w:t xml:space="preserve">质量标准：☑合格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1.4.1</w:t>
            </w:r>
          </w:p>
        </w:tc>
        <w:tc>
          <w:tcPr>
            <w:tcW w:w="2538" w:type="dxa"/>
            <w:gridSpan w:val="3"/>
            <w:vAlign w:val="center"/>
          </w:tcPr>
          <w:p>
            <w:pPr>
              <w:jc w:val="center"/>
              <w:rPr>
                <w:rFonts w:ascii="宋体" w:cs="Arial"/>
                <w:szCs w:val="21"/>
              </w:rPr>
            </w:pPr>
            <w:r>
              <w:rPr>
                <w:rFonts w:hint="eastAsia" w:ascii="宋体" w:hAnsi="宋体" w:cs="Arial"/>
                <w:szCs w:val="21"/>
              </w:rPr>
              <w:t>投标人资质条件、能力和评价</w:t>
            </w:r>
          </w:p>
        </w:tc>
        <w:tc>
          <w:tcPr>
            <w:tcW w:w="5828" w:type="dxa"/>
            <w:vAlign w:val="center"/>
          </w:tcPr>
          <w:p>
            <w:pPr>
              <w:rPr>
                <w:rFonts w:ascii="宋体" w:hAnsi="宋体" w:cs="宋体"/>
                <w:b/>
                <w:bCs/>
                <w:kern w:val="0"/>
                <w:szCs w:val="21"/>
              </w:rPr>
            </w:pPr>
            <w:r>
              <w:rPr>
                <w:rFonts w:hint="eastAsia" w:ascii="宋体" w:hAnsi="宋体" w:cs="宋体"/>
                <w:b/>
                <w:bCs/>
                <w:kern w:val="0"/>
                <w:szCs w:val="21"/>
              </w:rPr>
              <w:t>资质条件：</w:t>
            </w:r>
          </w:p>
          <w:p>
            <w:pPr>
              <w:spacing w:line="360" w:lineRule="exac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)建设行政主管部门颁发的</w:t>
            </w:r>
            <w:r>
              <w:rPr>
                <w:rFonts w:ascii="宋体" w:hAnsi="宋体" w:cs="宋体"/>
                <w:b/>
                <w:bCs/>
                <w:color w:val="3D3D3D"/>
                <w:kern w:val="0"/>
                <w:szCs w:val="21"/>
                <w:u w:val="single"/>
              </w:rPr>
              <w:t>[建筑</w:t>
            </w:r>
            <w:r>
              <w:rPr>
                <w:rFonts w:hint="eastAsia" w:ascii="宋体" w:hAnsi="宋体" w:cs="宋体"/>
                <w:b/>
                <w:bCs/>
                <w:color w:val="3D3D3D"/>
                <w:kern w:val="0"/>
                <w:szCs w:val="21"/>
                <w:u w:val="single"/>
              </w:rPr>
              <w:t>装饰装修</w:t>
            </w:r>
            <w:r>
              <w:rPr>
                <w:rFonts w:ascii="宋体" w:hAnsi="宋体" w:cs="宋体"/>
                <w:b/>
                <w:bCs/>
                <w:color w:val="3D3D3D"/>
                <w:kern w:val="0"/>
                <w:szCs w:val="21"/>
                <w:u w:val="single"/>
              </w:rPr>
              <w:t>工程</w:t>
            </w:r>
            <w:r>
              <w:rPr>
                <w:rFonts w:hint="eastAsia" w:ascii="宋体" w:hAnsi="宋体" w:cs="宋体"/>
                <w:b/>
                <w:bCs/>
                <w:color w:val="3D3D3D"/>
                <w:kern w:val="0"/>
                <w:szCs w:val="21"/>
                <w:u w:val="single"/>
              </w:rPr>
              <w:t>二</w:t>
            </w:r>
            <w:r>
              <w:rPr>
                <w:rFonts w:ascii="宋体" w:hAnsi="宋体" w:cs="宋体"/>
                <w:b/>
                <w:bCs/>
                <w:color w:val="3D3D3D"/>
                <w:kern w:val="0"/>
                <w:szCs w:val="21"/>
                <w:u w:val="single"/>
              </w:rPr>
              <w:t>级](含)以上</w:t>
            </w:r>
            <w:r>
              <w:rPr>
                <w:rFonts w:hint="eastAsia" w:ascii="宋体" w:hAnsi="宋体" w:cs="宋体"/>
                <w:b/>
                <w:bCs/>
                <w:color w:val="3D3D3D"/>
                <w:kern w:val="0"/>
                <w:szCs w:val="21"/>
              </w:rPr>
              <w:t>资质且在有效期内</w:t>
            </w:r>
            <w:r>
              <w:rPr>
                <w:rFonts w:hint="eastAsia" w:ascii="宋体" w:hAnsi="宋体" w:cs="宋体"/>
                <w:b/>
                <w:bCs/>
                <w:kern w:val="0"/>
                <w:szCs w:val="21"/>
              </w:rPr>
              <w:t>；</w:t>
            </w:r>
          </w:p>
          <w:p>
            <w:pPr>
              <w:spacing w:line="360" w:lineRule="exac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)具备有效的营业执照；</w:t>
            </w:r>
          </w:p>
          <w:p>
            <w:pPr>
              <w:spacing w:line="360" w:lineRule="exact"/>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)具备有效的安全生产许可证；</w:t>
            </w:r>
          </w:p>
          <w:p>
            <w:pPr>
              <w:spacing w:line="360" w:lineRule="exact"/>
              <w:rPr>
                <w:rFonts w:ascii="宋体" w:hAnsi="宋体" w:cs="宋体"/>
                <w:kern w:val="0"/>
                <w:szCs w:val="21"/>
              </w:rPr>
            </w:pPr>
            <w:r>
              <w:rPr>
                <w:rFonts w:hint="eastAsia" w:ascii="宋体" w:hAnsi="宋体" w:cs="宋体"/>
                <w:kern w:val="0"/>
                <w:szCs w:val="21"/>
              </w:rPr>
              <w:t>财务要求：财务状态良好，未处于被接管、冻结、破产状态。</w:t>
            </w:r>
          </w:p>
          <w:p>
            <w:pPr>
              <w:spacing w:line="360" w:lineRule="exact"/>
              <w:rPr>
                <w:rFonts w:ascii="宋体" w:hAnsi="宋体" w:cs="宋体"/>
                <w:kern w:val="0"/>
                <w:szCs w:val="21"/>
              </w:rPr>
            </w:pPr>
            <w:r>
              <w:rPr>
                <w:rFonts w:hint="eastAsia" w:ascii="宋体" w:hAnsi="宋体" w:cs="宋体"/>
                <w:b/>
                <w:bCs/>
                <w:kern w:val="0"/>
                <w:szCs w:val="21"/>
              </w:rPr>
              <w:t>项目经理(建造师，下同)资格</w:t>
            </w:r>
            <w:r>
              <w:rPr>
                <w:rFonts w:hint="eastAsia" w:ascii="宋体" w:hAnsi="宋体" w:cs="宋体"/>
                <w:kern w:val="0"/>
                <w:szCs w:val="21"/>
              </w:rPr>
              <w:t>：</w:t>
            </w:r>
          </w:p>
          <w:p>
            <w:pPr>
              <w:spacing w:line="360" w:lineRule="exact"/>
              <w:rPr>
                <w:rFonts w:ascii="宋体" w:hAnsi="宋体" w:cs="宋体"/>
                <w:kern w:val="0"/>
                <w:szCs w:val="21"/>
              </w:rPr>
            </w:pPr>
            <w:r>
              <w:rPr>
                <w:rFonts w:hint="eastAsia" w:ascii="宋体" w:hAnsi="宋体" w:cs="宋体"/>
                <w:kern w:val="0"/>
                <w:szCs w:val="21"/>
              </w:rPr>
              <w:t>项目经理系已在投标人单位注册并具备</w:t>
            </w:r>
            <w:r>
              <w:rPr>
                <w:rFonts w:ascii="宋体" w:hAnsi="宋体" w:cs="宋体"/>
                <w:b/>
                <w:bCs/>
                <w:kern w:val="0"/>
                <w:szCs w:val="21"/>
                <w:u w:val="single"/>
              </w:rPr>
              <w:t>[</w:t>
            </w:r>
            <w:r>
              <w:rPr>
                <w:rFonts w:hint="eastAsia" w:ascii="宋体" w:hAnsi="宋体" w:cs="宋体"/>
                <w:b/>
                <w:bCs/>
                <w:kern w:val="0"/>
                <w:szCs w:val="21"/>
                <w:u w:val="single"/>
              </w:rPr>
              <w:t>建筑工程专业二级</w:t>
            </w:r>
            <w:r>
              <w:rPr>
                <w:rFonts w:ascii="宋体" w:hAnsi="宋体" w:cs="宋体"/>
                <w:b/>
                <w:bCs/>
                <w:kern w:val="0"/>
                <w:szCs w:val="21"/>
                <w:u w:val="single"/>
              </w:rPr>
              <w:t>]</w:t>
            </w:r>
            <w:r>
              <w:rPr>
                <w:rFonts w:hint="eastAsia" w:ascii="宋体" w:hAnsi="宋体" w:cs="宋体"/>
                <w:b/>
                <w:bCs/>
                <w:kern w:val="0"/>
                <w:szCs w:val="21"/>
                <w:u w:val="single"/>
              </w:rPr>
              <w:t>(含以上级)注册建造师执业资格</w:t>
            </w:r>
            <w:r>
              <w:rPr>
                <w:rFonts w:hint="eastAsia" w:ascii="宋体" w:hAnsi="宋体" w:cs="宋体"/>
                <w:kern w:val="0"/>
                <w:szCs w:val="21"/>
              </w:rPr>
              <w:t>，具备</w:t>
            </w:r>
            <w:r>
              <w:rPr>
                <w:rFonts w:hint="eastAsia" w:ascii="宋体" w:hAnsi="宋体" w:cs="宋体"/>
                <w:b/>
                <w:bCs/>
                <w:kern w:val="0"/>
                <w:szCs w:val="21"/>
                <w:u w:val="single"/>
              </w:rPr>
              <w:t>建设行政主管部门颁发的有效的安全生产考核合格证书</w:t>
            </w:r>
            <w:r>
              <w:rPr>
                <w:rFonts w:hint="eastAsia" w:ascii="宋体" w:hAnsi="宋体" w:cs="宋体"/>
                <w:b/>
                <w:bCs/>
                <w:kern w:val="0"/>
                <w:szCs w:val="21"/>
              </w:rPr>
              <w:t>，</w:t>
            </w:r>
            <w:r>
              <w:rPr>
                <w:rFonts w:hint="eastAsia" w:ascii="宋体" w:hAnsi="宋体" w:cs="宋体"/>
                <w:kern w:val="0"/>
                <w:szCs w:val="21"/>
              </w:rPr>
              <w:t>且未担任其他在建建设工程项目的项目经理，证书须在有效期内。</w:t>
            </w:r>
          </w:p>
          <w:p>
            <w:pPr>
              <w:spacing w:line="360" w:lineRule="exact"/>
              <w:rPr>
                <w:rFonts w:ascii="宋体" w:hAnsi="宋体" w:cs="宋体"/>
                <w:kern w:val="0"/>
                <w:szCs w:val="21"/>
              </w:rPr>
            </w:pPr>
            <w:r>
              <w:rPr>
                <w:rFonts w:hint="eastAsia" w:ascii="宋体" w:hAnsi="宋体" w:cs="宋体"/>
                <w:kern w:val="0"/>
                <w:szCs w:val="21"/>
              </w:rPr>
              <w:t>信誉要求：</w:t>
            </w:r>
            <w:bookmarkStart w:id="8" w:name="EB49b7865b75214540bec9c9da117c43de"/>
            <w:r>
              <w:rPr>
                <w:rFonts w:hint="eastAsia" w:ascii="宋体" w:hAnsi="宋体" w:cs="宋体"/>
                <w:kern w:val="0"/>
                <w:szCs w:val="21"/>
              </w:rPr>
              <w:t>投标人及项目经理不得存在下列情形之一：</w:t>
            </w:r>
          </w:p>
          <w:bookmarkEnd w:id="8"/>
          <w:p>
            <w:pPr>
              <w:spacing w:line="360" w:lineRule="exact"/>
              <w:ind w:firstLine="420" w:firstLineChars="200"/>
              <w:rPr>
                <w:rFonts w:ascii="宋体" w:hAnsi="宋体" w:cs="宋体"/>
                <w:kern w:val="0"/>
                <w:szCs w:val="21"/>
              </w:rPr>
            </w:pPr>
            <w:r>
              <w:rPr>
                <w:rFonts w:hint="eastAsia" w:ascii="宋体" w:hAnsi="宋体" w:cs="宋体"/>
                <w:kern w:val="0"/>
                <w:szCs w:val="21"/>
              </w:rPr>
              <w:t>1.企业因发生重大工程质量、安全生产事故，被有关部门暂停投标资格并在暂停期内的；</w:t>
            </w:r>
          </w:p>
          <w:p>
            <w:pPr>
              <w:spacing w:line="360" w:lineRule="exact"/>
              <w:ind w:firstLine="420" w:firstLineChars="200"/>
              <w:rPr>
                <w:rFonts w:ascii="宋体" w:hAnsi="宋体" w:cs="宋体"/>
                <w:kern w:val="0"/>
                <w:szCs w:val="21"/>
              </w:rPr>
            </w:pPr>
            <w:r>
              <w:rPr>
                <w:rFonts w:hint="eastAsia" w:ascii="宋体" w:hAnsi="宋体" w:cs="宋体"/>
                <w:kern w:val="0"/>
                <w:szCs w:val="21"/>
              </w:rPr>
              <w:t>2.有建设市场不良行为在江苏建设工程招标网、泰州市公共资源交易平台或其靖江站、泰兴站、兴化站、姜堰站上被曝光且正在曝光期间的；</w:t>
            </w:r>
          </w:p>
          <w:p>
            <w:pPr>
              <w:autoSpaceDE w:val="0"/>
              <w:autoSpaceDN w:val="0"/>
              <w:adjustRightInd w:val="0"/>
              <w:ind w:firstLine="420" w:firstLineChars="200"/>
              <w:jc w:val="left"/>
              <w:rPr>
                <w:rFonts w:ascii="宋体" w:cs="宋体"/>
                <w:kern w:val="0"/>
                <w:szCs w:val="21"/>
              </w:rPr>
            </w:pPr>
            <w:r>
              <w:rPr>
                <w:rFonts w:ascii="宋体" w:cs="宋体"/>
                <w:kern w:val="0"/>
                <w:szCs w:val="21"/>
              </w:rPr>
              <w:t>3.</w:t>
            </w:r>
            <w:r>
              <w:rPr>
                <w:rFonts w:hint="eastAsia" w:ascii="宋体" w:cs="宋体"/>
                <w:kern w:val="0"/>
                <w:szCs w:val="21"/>
              </w:rPr>
              <w:t>被有关部门通报批评、责令整改且正在泰州市住房和城乡建设局官网“曝光台”被曝光的</w:t>
            </w:r>
            <w:r>
              <w:rPr>
                <w:rFonts w:ascii="宋体" w:cs="宋体"/>
                <w:kern w:val="0"/>
                <w:szCs w:val="21"/>
              </w:rPr>
              <w:t>;</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以上被曝光的不良行为，有相关部门正式公文证明行政处罚已被取消或处罚期已满的除外。</w:t>
            </w:r>
          </w:p>
          <w:p>
            <w:pPr>
              <w:autoSpaceDE w:val="0"/>
              <w:autoSpaceDN w:val="0"/>
              <w:adjustRightInd w:val="0"/>
              <w:ind w:firstLine="420" w:firstLineChars="200"/>
              <w:jc w:val="left"/>
              <w:rPr>
                <w:rFonts w:ascii="宋体" w:cs="宋体"/>
                <w:kern w:val="0"/>
                <w:szCs w:val="21"/>
              </w:rPr>
            </w:pPr>
            <w:r>
              <w:rPr>
                <w:rFonts w:ascii="宋体" w:cs="宋体"/>
                <w:kern w:val="0"/>
                <w:szCs w:val="21"/>
              </w:rPr>
              <w:t>4.</w:t>
            </w:r>
            <w:r>
              <w:rPr>
                <w:rFonts w:hint="eastAsia" w:ascii="宋体" w:cs="宋体"/>
                <w:kern w:val="0"/>
                <w:szCs w:val="21"/>
              </w:rPr>
              <w:t>被“信用中国”网站（</w:t>
            </w:r>
            <w:r>
              <w:rPr>
                <w:rFonts w:ascii="宋体" w:cs="宋体"/>
                <w:kern w:val="0"/>
                <w:szCs w:val="21"/>
              </w:rPr>
              <w:t>www.creditchina.gov.cn</w:t>
            </w:r>
            <w:r>
              <w:rPr>
                <w:rFonts w:hint="eastAsia" w:ascii="宋体" w:cs="宋体"/>
                <w:kern w:val="0"/>
                <w:szCs w:val="21"/>
              </w:rPr>
              <w:t>，“信用中国”网站→信用服务→失信被执行人查询）列入失信被执行人名单的。</w:t>
            </w:r>
          </w:p>
          <w:p>
            <w:pPr>
              <w:autoSpaceDE w:val="0"/>
              <w:autoSpaceDN w:val="0"/>
              <w:adjustRightInd w:val="0"/>
              <w:jc w:val="left"/>
              <w:rPr>
                <w:rFonts w:ascii="宋体" w:cs="宋体"/>
                <w:kern w:val="0"/>
                <w:szCs w:val="21"/>
              </w:rPr>
            </w:pPr>
            <w:r>
              <w:rPr>
                <w:rFonts w:hint="eastAsia" w:ascii="宋体" w:cs="宋体"/>
                <w:kern w:val="0"/>
                <w:szCs w:val="21"/>
              </w:rPr>
              <w:t>其他要求：</w:t>
            </w:r>
          </w:p>
          <w:p>
            <w:pPr>
              <w:autoSpaceDE w:val="0"/>
              <w:autoSpaceDN w:val="0"/>
              <w:adjustRightInd w:val="0"/>
              <w:ind w:firstLine="210" w:firstLineChars="100"/>
              <w:jc w:val="left"/>
              <w:rPr>
                <w:rFonts w:ascii="宋体" w:cs="宋体"/>
                <w:kern w:val="0"/>
                <w:szCs w:val="21"/>
              </w:rPr>
            </w:pPr>
            <w:r>
              <w:rPr>
                <w:rFonts w:ascii="宋体" w:cs="宋体"/>
                <w:kern w:val="0"/>
                <w:szCs w:val="21"/>
              </w:rPr>
              <w:t>1.</w:t>
            </w:r>
            <w:r>
              <w:rPr>
                <w:rFonts w:hint="eastAsia" w:ascii="宋体" w:cs="宋体"/>
                <w:kern w:val="0"/>
                <w:szCs w:val="21"/>
              </w:rPr>
              <w:t>项目负责人无在建工程要求：</w:t>
            </w:r>
          </w:p>
          <w:p>
            <w:pPr>
              <w:autoSpaceDE w:val="0"/>
              <w:autoSpaceDN w:val="0"/>
              <w:adjustRightInd w:val="0"/>
              <w:jc w:val="left"/>
              <w:rPr>
                <w:rFonts w:ascii="宋体" w:cs="宋体"/>
                <w:color w:val="000000"/>
                <w:kern w:val="0"/>
                <w:szCs w:val="21"/>
              </w:rPr>
            </w:pPr>
            <w:r>
              <w:rPr>
                <w:rFonts w:hint="eastAsia" w:ascii="宋体" w:cs="宋体"/>
                <w:color w:val="000000"/>
                <w:kern w:val="0"/>
                <w:szCs w:val="21"/>
              </w:rPr>
              <w:t>（</w:t>
            </w:r>
            <w:r>
              <w:rPr>
                <w:rFonts w:ascii="宋体" w:cs="宋体"/>
                <w:color w:val="000000"/>
                <w:kern w:val="0"/>
                <w:szCs w:val="21"/>
              </w:rPr>
              <w:t>1</w:t>
            </w:r>
            <w:r>
              <w:rPr>
                <w:rFonts w:hint="eastAsia" w:ascii="宋体" w:cs="宋体"/>
                <w:color w:val="000000"/>
                <w:kern w:val="0"/>
                <w:szCs w:val="21"/>
              </w:rPr>
              <w:t>）项目负责人是非变更后无在建工程。</w:t>
            </w:r>
          </w:p>
          <w:p>
            <w:pPr>
              <w:autoSpaceDE w:val="0"/>
              <w:autoSpaceDN w:val="0"/>
              <w:adjustRightInd w:val="0"/>
              <w:jc w:val="left"/>
              <w:rPr>
                <w:rFonts w:ascii="宋体" w:cs="宋体"/>
                <w:color w:val="000000"/>
                <w:kern w:val="0"/>
                <w:szCs w:val="21"/>
              </w:rPr>
            </w:pPr>
            <w:r>
              <w:rPr>
                <w:rFonts w:hint="eastAsia" w:ascii="宋体" w:cs="宋体"/>
                <w:color w:val="000000"/>
                <w:kern w:val="0"/>
                <w:szCs w:val="21"/>
              </w:rPr>
              <w:t>（</w:t>
            </w:r>
            <w:r>
              <w:rPr>
                <w:rFonts w:ascii="宋体" w:cs="宋体"/>
                <w:color w:val="000000"/>
                <w:kern w:val="0"/>
                <w:szCs w:val="21"/>
              </w:rPr>
              <w:t>2</w:t>
            </w:r>
            <w:r>
              <w:rPr>
                <w:rFonts w:hint="eastAsia" w:ascii="宋体" w:cs="宋体"/>
                <w:color w:val="000000"/>
                <w:kern w:val="0"/>
                <w:szCs w:val="21"/>
              </w:rPr>
              <w:t>）项目负责人是变更后无在建工程的</w:t>
            </w:r>
            <w:r>
              <w:rPr>
                <w:rFonts w:ascii="宋体" w:cs="宋体"/>
                <w:color w:val="000000"/>
                <w:kern w:val="0"/>
                <w:szCs w:val="21"/>
              </w:rPr>
              <w:t>,</w:t>
            </w:r>
            <w:r>
              <w:rPr>
                <w:rFonts w:hint="eastAsia" w:ascii="宋体" w:cs="宋体"/>
                <w:color w:val="000000"/>
                <w:kern w:val="0"/>
                <w:szCs w:val="21"/>
              </w:rPr>
              <w:t>必须是原合同工期已满且自变更备案之日起已满</w:t>
            </w:r>
            <w:r>
              <w:rPr>
                <w:rFonts w:ascii="宋体" w:cs="宋体"/>
                <w:color w:val="000000"/>
                <w:kern w:val="0"/>
                <w:szCs w:val="21"/>
              </w:rPr>
              <w:t xml:space="preserve">6 </w:t>
            </w:r>
            <w:r>
              <w:rPr>
                <w:rFonts w:hint="eastAsia" w:ascii="宋体" w:cs="宋体"/>
                <w:color w:val="000000"/>
                <w:kern w:val="0"/>
                <w:szCs w:val="21"/>
              </w:rPr>
              <w:t>个月，或因非承包方原因致使工程项目停工或因故不能按期开工、且已办理了项目负责人解锁手续。</w:t>
            </w:r>
          </w:p>
          <w:p>
            <w:pPr>
              <w:autoSpaceDE w:val="0"/>
              <w:autoSpaceDN w:val="0"/>
              <w:adjustRightInd w:val="0"/>
              <w:jc w:val="left"/>
              <w:rPr>
                <w:rFonts w:ascii="宋体" w:cs="宋体"/>
                <w:color w:val="000000"/>
                <w:kern w:val="0"/>
                <w:szCs w:val="21"/>
              </w:rPr>
            </w:pPr>
            <w:r>
              <w:rPr>
                <w:rFonts w:hint="eastAsia" w:ascii="宋体" w:cs="宋体"/>
                <w:color w:val="000000"/>
                <w:kern w:val="0"/>
                <w:szCs w:val="21"/>
              </w:rPr>
              <w:t>（</w:t>
            </w:r>
            <w:r>
              <w:rPr>
                <w:rFonts w:ascii="宋体" w:cs="宋体"/>
                <w:color w:val="000000"/>
                <w:kern w:val="0"/>
                <w:szCs w:val="21"/>
              </w:rPr>
              <w:t>3</w:t>
            </w:r>
            <w:r>
              <w:rPr>
                <w:rFonts w:hint="eastAsia" w:ascii="宋体" w:cs="宋体"/>
                <w:color w:val="000000"/>
                <w:kern w:val="0"/>
                <w:szCs w:val="21"/>
              </w:rPr>
              <w:t>）项目负责人有在建工程，但该在建工程与本次招标的工程属于同一工程项目、同一项目批文、同一施工地点分段包或分期施工的情况，且该在建工程与本次招标项目的规模总和在项目负责人资格执业范围内。</w:t>
            </w:r>
          </w:p>
          <w:p>
            <w:pPr>
              <w:autoSpaceDE w:val="0"/>
              <w:autoSpaceDN w:val="0"/>
              <w:adjustRightInd w:val="0"/>
              <w:jc w:val="left"/>
              <w:rPr>
                <w:rFonts w:ascii="宋体" w:cs="宋体"/>
                <w:b/>
                <w:bCs/>
                <w:kern w:val="0"/>
                <w:szCs w:val="21"/>
              </w:rPr>
            </w:pPr>
            <w:r>
              <w:rPr>
                <w:rFonts w:hint="eastAsia" w:ascii="宋体" w:cs="宋体"/>
                <w:b/>
                <w:bCs/>
                <w:kern w:val="0"/>
                <w:szCs w:val="21"/>
              </w:rPr>
              <w:t>注：以上在建工程是指在其他项目担任项目负责人职责。以投标人在投标文件中的《投标承诺书》为准。</w:t>
            </w:r>
          </w:p>
          <w:p>
            <w:pPr>
              <w:autoSpaceDE w:val="0"/>
              <w:autoSpaceDN w:val="0"/>
              <w:adjustRightInd w:val="0"/>
              <w:ind w:firstLine="210" w:firstLineChars="100"/>
              <w:jc w:val="left"/>
              <w:rPr>
                <w:rFonts w:ascii="宋体" w:cs="宋体"/>
                <w:color w:val="000000"/>
                <w:kern w:val="0"/>
                <w:szCs w:val="21"/>
              </w:rPr>
            </w:pPr>
            <w:r>
              <w:rPr>
                <w:rFonts w:hint="eastAsia" w:ascii="宋体" w:cs="宋体"/>
                <w:color w:val="000000"/>
                <w:kern w:val="0"/>
                <w:szCs w:val="21"/>
              </w:rPr>
              <w:t>2</w:t>
            </w:r>
            <w:r>
              <w:rPr>
                <w:rFonts w:ascii="宋体" w:cs="宋体"/>
                <w:color w:val="000000"/>
                <w:kern w:val="0"/>
                <w:szCs w:val="21"/>
              </w:rPr>
              <w:t>.</w:t>
            </w:r>
            <w:r>
              <w:rPr>
                <w:rFonts w:hint="eastAsia" w:ascii="宋体" w:cs="宋体"/>
                <w:color w:val="000000"/>
                <w:kern w:val="0"/>
                <w:szCs w:val="21"/>
              </w:rPr>
              <w:t>项目负责人不得同时在两个或者两个以上单位受聘或者执业，仅限于以下情形：</w:t>
            </w:r>
          </w:p>
          <w:p>
            <w:pPr>
              <w:autoSpaceDE w:val="0"/>
              <w:autoSpaceDN w:val="0"/>
              <w:adjustRightInd w:val="0"/>
              <w:jc w:val="left"/>
              <w:rPr>
                <w:rFonts w:ascii="宋体" w:cs="宋体"/>
                <w:color w:val="000000"/>
                <w:kern w:val="0"/>
                <w:szCs w:val="21"/>
              </w:rPr>
            </w:pPr>
            <w:r>
              <w:rPr>
                <w:rFonts w:hint="eastAsia" w:ascii="宋体" w:cs="宋体"/>
                <w:color w:val="000000"/>
                <w:kern w:val="0"/>
                <w:szCs w:val="21"/>
              </w:rPr>
              <w:t>（</w:t>
            </w:r>
            <w:r>
              <w:rPr>
                <w:rFonts w:ascii="宋体" w:cs="宋体"/>
                <w:color w:val="000000"/>
                <w:kern w:val="0"/>
                <w:szCs w:val="21"/>
              </w:rPr>
              <w:t>1</w:t>
            </w:r>
            <w:r>
              <w:rPr>
                <w:rFonts w:hint="eastAsia" w:ascii="宋体" w:cs="宋体"/>
                <w:color w:val="000000"/>
                <w:kern w:val="0"/>
                <w:szCs w:val="21"/>
              </w:rPr>
              <w:t>）同时在两个及以上单位签订劳动合同或交纳社会保险；</w:t>
            </w:r>
          </w:p>
          <w:p>
            <w:pPr>
              <w:autoSpaceDE w:val="0"/>
              <w:autoSpaceDN w:val="0"/>
              <w:adjustRightInd w:val="0"/>
              <w:jc w:val="left"/>
              <w:rPr>
                <w:rFonts w:ascii="宋体" w:cs="宋体"/>
                <w:color w:val="000000"/>
                <w:kern w:val="0"/>
                <w:szCs w:val="21"/>
              </w:rPr>
            </w:pPr>
            <w:r>
              <w:rPr>
                <w:rFonts w:hint="eastAsia" w:ascii="宋体" w:cs="宋体"/>
                <w:color w:val="000000"/>
                <w:kern w:val="0"/>
                <w:szCs w:val="21"/>
              </w:rPr>
              <w:t>（</w:t>
            </w:r>
            <w:r>
              <w:rPr>
                <w:rFonts w:ascii="宋体" w:cs="宋体"/>
                <w:color w:val="000000"/>
                <w:kern w:val="0"/>
                <w:szCs w:val="21"/>
              </w:rPr>
              <w:t>2</w:t>
            </w:r>
            <w:r>
              <w:rPr>
                <w:rFonts w:hint="eastAsia" w:ascii="宋体" w:cs="宋体"/>
                <w:color w:val="000000"/>
                <w:kern w:val="0"/>
                <w:szCs w:val="21"/>
              </w:rPr>
              <w:t>）将本人执（职）业资格证书同时注册在两个及以上单位；</w:t>
            </w:r>
          </w:p>
          <w:p>
            <w:pPr>
              <w:spacing w:line="360" w:lineRule="exact"/>
              <w:rPr>
                <w:rFonts w:ascii="宋体" w:hAnsi="宋体" w:cs="宋体"/>
                <w:kern w:val="0"/>
                <w:szCs w:val="21"/>
              </w:rPr>
            </w:pPr>
            <w:r>
              <w:rPr>
                <w:rFonts w:hint="eastAsia" w:ascii="宋体" w:cs="宋体"/>
                <w:color w:val="000000"/>
                <w:kern w:val="0"/>
                <w:szCs w:val="21"/>
              </w:rPr>
              <w:t>（</w:t>
            </w:r>
            <w:r>
              <w:rPr>
                <w:rFonts w:ascii="Calibri" w:hAnsi="Calibri" w:cs="Calibri"/>
                <w:color w:val="000000"/>
                <w:kern w:val="0"/>
                <w:szCs w:val="21"/>
              </w:rPr>
              <w:t>3</w:t>
            </w:r>
            <w:r>
              <w:rPr>
                <w:rFonts w:hint="eastAsia" w:ascii="宋体" w:cs="宋体"/>
                <w:color w:val="000000"/>
                <w:kern w:val="0"/>
                <w:szCs w:val="21"/>
              </w:rPr>
              <w:t>）在其他企业担任法定代表人。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1.4.2</w:t>
            </w:r>
          </w:p>
        </w:tc>
        <w:tc>
          <w:tcPr>
            <w:tcW w:w="2538" w:type="dxa"/>
            <w:gridSpan w:val="3"/>
            <w:vAlign w:val="center"/>
          </w:tcPr>
          <w:p>
            <w:pPr>
              <w:jc w:val="center"/>
              <w:rPr>
                <w:rFonts w:ascii="宋体" w:cs="Arial"/>
                <w:szCs w:val="21"/>
              </w:rPr>
            </w:pPr>
            <w:r>
              <w:rPr>
                <w:rFonts w:hint="eastAsia" w:ascii="宋体" w:hAnsi="宋体" w:cs="Arial"/>
                <w:szCs w:val="21"/>
              </w:rPr>
              <w:t>是否接受联合体投标</w:t>
            </w:r>
          </w:p>
        </w:tc>
        <w:tc>
          <w:tcPr>
            <w:tcW w:w="5828" w:type="dxa"/>
            <w:vAlign w:val="center"/>
          </w:tcPr>
          <w:p>
            <w:pPr>
              <w:topLinePunct/>
              <w:rPr>
                <w:rFonts w:ascii="宋体" w:cs="Arial"/>
                <w:szCs w:val="21"/>
              </w:rPr>
            </w:pPr>
            <w:r>
              <w:rPr>
                <w:rFonts w:hint="eastAsia" w:hAnsi="宋体" w:cs="Arial"/>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2.</w:t>
            </w:r>
          </w:p>
        </w:tc>
        <w:tc>
          <w:tcPr>
            <w:tcW w:w="8366" w:type="dxa"/>
            <w:gridSpan w:val="4"/>
            <w:vAlign w:val="center"/>
          </w:tcPr>
          <w:p>
            <w:pPr>
              <w:topLinePunct/>
              <w:jc w:val="center"/>
              <w:rPr>
                <w:rFonts w:ascii="宋体" w:cs="Arial"/>
                <w:szCs w:val="21"/>
              </w:rPr>
            </w:pPr>
            <w:r>
              <w:rPr>
                <w:rFonts w:hint="eastAsia" w:ascii="宋体" w:hAnsi="宋体" w:cs="Arial"/>
                <w:b/>
                <w:sz w:val="24"/>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2.1</w:t>
            </w:r>
          </w:p>
        </w:tc>
        <w:tc>
          <w:tcPr>
            <w:tcW w:w="2538" w:type="dxa"/>
            <w:gridSpan w:val="3"/>
            <w:vAlign w:val="center"/>
          </w:tcPr>
          <w:p>
            <w:pPr>
              <w:jc w:val="center"/>
              <w:rPr>
                <w:rFonts w:ascii="宋体" w:cs="Arial"/>
                <w:szCs w:val="21"/>
              </w:rPr>
            </w:pPr>
            <w:r>
              <w:rPr>
                <w:rFonts w:hint="eastAsia" w:ascii="宋体" w:hAnsi="宋体" w:cs="Arial"/>
                <w:szCs w:val="21"/>
              </w:rPr>
              <w:t>构成招标文件的其他材料</w:t>
            </w:r>
          </w:p>
        </w:tc>
        <w:tc>
          <w:tcPr>
            <w:tcW w:w="5828" w:type="dxa"/>
            <w:vAlign w:val="center"/>
          </w:tcPr>
          <w:p>
            <w:pPr>
              <w:rPr>
                <w:rFonts w:hAnsi="宋体" w:cs="Arial"/>
                <w:szCs w:val="32"/>
                <w:u w:val="single"/>
              </w:rPr>
            </w:pPr>
            <w:r>
              <w:rPr>
                <w:rFonts w:hint="eastAsia" w:hAnsi="宋体"/>
              </w:rPr>
              <w:t>招标文件的澄清、修改、补充通知等内容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bookmarkStart w:id="9" w:name="_2.2_1"/>
            <w:bookmarkEnd w:id="9"/>
            <w:r>
              <w:rPr>
                <w:rFonts w:ascii="宋体" w:hAnsi="宋体" w:cs="Arial"/>
                <w:b/>
                <w:sz w:val="24"/>
              </w:rPr>
              <w:t>3</w:t>
            </w:r>
          </w:p>
        </w:tc>
        <w:tc>
          <w:tcPr>
            <w:tcW w:w="8366" w:type="dxa"/>
            <w:gridSpan w:val="4"/>
            <w:vAlign w:val="center"/>
          </w:tcPr>
          <w:p>
            <w:pPr>
              <w:jc w:val="center"/>
              <w:rPr>
                <w:rFonts w:ascii="宋体" w:cs="Arial"/>
                <w:szCs w:val="21"/>
              </w:rPr>
            </w:pPr>
            <w:r>
              <w:rPr>
                <w:rFonts w:hint="eastAsia" w:ascii="宋体" w:hAnsi="宋体" w:cs="Arial"/>
                <w:b/>
                <w:sz w:val="24"/>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3.1.1</w:t>
            </w:r>
          </w:p>
        </w:tc>
        <w:tc>
          <w:tcPr>
            <w:tcW w:w="2538" w:type="dxa"/>
            <w:gridSpan w:val="3"/>
            <w:vAlign w:val="center"/>
          </w:tcPr>
          <w:p>
            <w:pPr>
              <w:jc w:val="center"/>
              <w:rPr>
                <w:rFonts w:ascii="宋体" w:cs="Arial"/>
                <w:szCs w:val="21"/>
              </w:rPr>
            </w:pPr>
            <w:r>
              <w:rPr>
                <w:rFonts w:hint="eastAsia" w:ascii="宋体" w:hAnsi="宋体" w:cs="Arial"/>
                <w:szCs w:val="21"/>
              </w:rPr>
              <w:t>投标文件的组成</w:t>
            </w:r>
          </w:p>
        </w:tc>
        <w:tc>
          <w:tcPr>
            <w:tcW w:w="5828" w:type="dxa"/>
            <w:vAlign w:val="center"/>
          </w:tcPr>
          <w:p>
            <w:pPr>
              <w:spacing w:line="400" w:lineRule="exact"/>
              <w:rPr>
                <w:szCs w:val="21"/>
              </w:rPr>
            </w:pPr>
            <w:r>
              <w:rPr>
                <w:rFonts w:hint="eastAsia" w:ascii="MS Gothic" w:hAnsi="MS Gothic" w:eastAsia="MS Gothic" w:cs="MS Gothic"/>
                <w:szCs w:val="21"/>
              </w:rPr>
              <w:t>☑</w:t>
            </w:r>
            <w:r>
              <w:rPr>
                <w:rFonts w:hint="eastAsia"/>
                <w:szCs w:val="21"/>
              </w:rPr>
              <w:t>投标函及投标函附录；</w:t>
            </w:r>
          </w:p>
          <w:p>
            <w:pPr>
              <w:spacing w:line="400" w:lineRule="exact"/>
              <w:rPr>
                <w:szCs w:val="21"/>
              </w:rPr>
            </w:pPr>
            <w:r>
              <w:rPr>
                <w:rFonts w:hint="eastAsia" w:ascii="MS Gothic" w:hAnsi="MS Gothic" w:eastAsia="MS Gothic" w:cs="MS Gothic"/>
                <w:szCs w:val="21"/>
              </w:rPr>
              <w:t>☑</w:t>
            </w:r>
            <w:r>
              <w:rPr>
                <w:rFonts w:hint="eastAsia"/>
                <w:szCs w:val="21"/>
              </w:rPr>
              <w:t>法定代表人身份证明或附有法定代表人身份证明的授权委托书；</w:t>
            </w:r>
          </w:p>
          <w:p>
            <w:pPr>
              <w:spacing w:line="400" w:lineRule="exact"/>
              <w:rPr>
                <w:szCs w:val="21"/>
              </w:rPr>
            </w:pPr>
            <w:r>
              <w:rPr>
                <w:rFonts w:hint="eastAsia" w:ascii="MS Gothic" w:hAnsi="MS Gothic" w:eastAsia="MS Gothic" w:cs="MS Gothic"/>
                <w:szCs w:val="21"/>
              </w:rPr>
              <w:t>☑</w:t>
            </w:r>
            <w:r>
              <w:rPr>
                <w:rFonts w:hint="eastAsia"/>
                <w:szCs w:val="21"/>
              </w:rPr>
              <w:t>投标保证金；</w:t>
            </w:r>
          </w:p>
          <w:p>
            <w:pPr>
              <w:spacing w:line="400" w:lineRule="exact"/>
              <w:rPr>
                <w:szCs w:val="21"/>
              </w:rPr>
            </w:pPr>
            <w:r>
              <w:rPr>
                <w:rFonts w:hint="eastAsia" w:ascii="MS Gothic" w:hAnsi="MS Gothic" w:eastAsia="MS Gothic" w:cs="MS Gothic"/>
                <w:szCs w:val="21"/>
              </w:rPr>
              <w:t>☑</w:t>
            </w:r>
            <w:r>
              <w:rPr>
                <w:rFonts w:hint="eastAsia"/>
                <w:szCs w:val="21"/>
              </w:rPr>
              <w:t>已标价的工程量清单；</w:t>
            </w:r>
          </w:p>
          <w:p>
            <w:pPr>
              <w:spacing w:line="400" w:lineRule="exact"/>
              <w:rPr>
                <w:szCs w:val="21"/>
              </w:rPr>
            </w:pPr>
            <w:r>
              <w:rPr>
                <w:rFonts w:hint="eastAsia" w:ascii="MS Gothic" w:hAnsi="MS Gothic" w:eastAsia="MS Gothic" w:cs="MS Gothic"/>
                <w:szCs w:val="21"/>
              </w:rPr>
              <w:t>☑</w:t>
            </w:r>
            <w:r>
              <w:rPr>
                <w:rFonts w:hint="eastAsia"/>
                <w:szCs w:val="21"/>
              </w:rPr>
              <w:t>资格审查资料：</w:t>
            </w:r>
          </w:p>
          <w:p>
            <w:pPr>
              <w:spacing w:line="400" w:lineRule="exact"/>
              <w:rPr>
                <w:u w:val="single"/>
              </w:rPr>
            </w:pPr>
            <w:r>
              <w:rPr>
                <w:rFonts w:hint="eastAsia"/>
                <w:szCs w:val="21"/>
                <w:u w:val="single"/>
              </w:rPr>
              <w:t>1、投标人基本情况表（附</w:t>
            </w:r>
            <w:r>
              <w:rPr>
                <w:rFonts w:hint="eastAsia"/>
                <w:u w:val="single"/>
              </w:rPr>
              <w:t>企业法人营业执照、资质证书、企业安全生产许可证、企业基本存款账户开户许可证等）；</w:t>
            </w:r>
          </w:p>
          <w:p>
            <w:pPr>
              <w:spacing w:line="400" w:lineRule="exact"/>
              <w:rPr>
                <w:b/>
                <w:bCs/>
                <w:szCs w:val="21"/>
                <w:u w:val="single"/>
              </w:rPr>
            </w:pPr>
            <w:r>
              <w:rPr>
                <w:rFonts w:hint="eastAsia"/>
                <w:u w:val="single"/>
              </w:rPr>
              <w:t>2、项目经理简历表（附项目经理二级（含）以上国家注册建造师、安全生产合格B证等）。</w:t>
            </w:r>
          </w:p>
          <w:p>
            <w:pPr>
              <w:spacing w:line="400" w:lineRule="exact"/>
              <w:rPr>
                <w:szCs w:val="21"/>
              </w:rPr>
            </w:pPr>
            <w:r>
              <w:rPr>
                <w:rFonts w:hint="eastAsia" w:ascii="MS Gothic" w:hAnsi="MS Gothic" w:eastAsia="MS Gothic" w:cs="MS Gothic"/>
                <w:szCs w:val="21"/>
              </w:rPr>
              <w:t>☑</w:t>
            </w:r>
            <w:r>
              <w:rPr>
                <w:rFonts w:hint="eastAsia"/>
                <w:szCs w:val="21"/>
              </w:rPr>
              <w:t>投标承诺书；</w:t>
            </w:r>
          </w:p>
          <w:p>
            <w:pPr>
              <w:rPr>
                <w:b/>
                <w:szCs w:val="21"/>
              </w:rPr>
            </w:pPr>
            <w:r>
              <w:rPr>
                <w:rFonts w:hint="eastAsia" w:ascii="MS Gothic" w:hAnsi="MS Gothic" w:eastAsia="MS Gothic" w:cs="MS Gothic"/>
                <w:szCs w:val="21"/>
              </w:rPr>
              <w:t>☑</w:t>
            </w:r>
            <w:r>
              <w:rPr>
                <w:rFonts w:hint="eastAsia" w:cs="MS Gothic" w:asciiTheme="minorEastAsia" w:hAnsiTheme="minorEastAsia" w:eastAsiaTheme="minorEastAsia"/>
                <w:szCs w:val="21"/>
              </w:rPr>
              <w:t>其他材料</w:t>
            </w:r>
            <w:r>
              <w:rPr>
                <w:rFonts w:hint="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3.3.1</w:t>
            </w:r>
          </w:p>
        </w:tc>
        <w:tc>
          <w:tcPr>
            <w:tcW w:w="2538" w:type="dxa"/>
            <w:gridSpan w:val="3"/>
            <w:vAlign w:val="center"/>
          </w:tcPr>
          <w:p>
            <w:pPr>
              <w:jc w:val="center"/>
              <w:rPr>
                <w:rFonts w:ascii="宋体" w:cs="Arial"/>
                <w:szCs w:val="21"/>
              </w:rPr>
            </w:pPr>
            <w:r>
              <w:rPr>
                <w:rFonts w:hint="eastAsia" w:ascii="宋体" w:hAnsi="宋体" w:cs="Arial"/>
                <w:szCs w:val="21"/>
              </w:rPr>
              <w:t>投标有效期</w:t>
            </w:r>
          </w:p>
        </w:tc>
        <w:tc>
          <w:tcPr>
            <w:tcW w:w="5828" w:type="dxa"/>
            <w:vAlign w:val="center"/>
          </w:tcPr>
          <w:p>
            <w:pPr>
              <w:rPr>
                <w:rFonts w:ascii="宋体" w:cs="Arial"/>
                <w:szCs w:val="21"/>
                <w:u w:val="single"/>
              </w:rPr>
            </w:pPr>
            <w:r>
              <w:t xml:space="preserve">90 </w:t>
            </w:r>
            <w:r>
              <w:rPr>
                <w:rFonts w:hint="eastAsia" w:hAnsi="宋体"/>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3.4.1</w:t>
            </w:r>
          </w:p>
        </w:tc>
        <w:tc>
          <w:tcPr>
            <w:tcW w:w="2538" w:type="dxa"/>
            <w:gridSpan w:val="3"/>
            <w:vAlign w:val="center"/>
          </w:tcPr>
          <w:p>
            <w:pPr>
              <w:jc w:val="center"/>
              <w:rPr>
                <w:rFonts w:ascii="宋体" w:cs="Arial"/>
                <w:szCs w:val="21"/>
              </w:rPr>
            </w:pPr>
            <w:r>
              <w:rPr>
                <w:rFonts w:hint="eastAsia" w:ascii="宋体" w:hAnsi="宋体" w:cs="Arial"/>
                <w:szCs w:val="21"/>
              </w:rPr>
              <w:t>投标保证金</w:t>
            </w:r>
          </w:p>
        </w:tc>
        <w:tc>
          <w:tcPr>
            <w:tcW w:w="5828" w:type="dxa"/>
            <w:vAlign w:val="center"/>
          </w:tcPr>
          <w:p>
            <w:pPr>
              <w:snapToGrid w:val="0"/>
              <w:rPr>
                <w:rFonts w:ascii="宋体" w:cs="Arial"/>
                <w:szCs w:val="21"/>
              </w:rPr>
            </w:pPr>
            <w:r>
              <w:rPr>
                <w:rFonts w:hint="eastAsia" w:ascii="宋体" w:hAnsi="宋体" w:cs="Arial"/>
                <w:szCs w:val="21"/>
              </w:rPr>
              <w:t>本工程</w:t>
            </w:r>
            <w:r>
              <w:rPr>
                <w:rFonts w:hint="eastAsia" w:ascii="宋体" w:hAnsi="宋体" w:cs="Arial"/>
                <w:szCs w:val="21"/>
                <w:lang w:eastAsia="zh-CN"/>
              </w:rPr>
              <w:t>无</w:t>
            </w:r>
            <w:r>
              <w:rPr>
                <w:rFonts w:hint="eastAsia" w:ascii="宋体" w:hAnsi="宋体" w:cs="Arial"/>
                <w:szCs w:val="21"/>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3.6</w:t>
            </w:r>
          </w:p>
        </w:tc>
        <w:tc>
          <w:tcPr>
            <w:tcW w:w="2538" w:type="dxa"/>
            <w:gridSpan w:val="3"/>
            <w:vAlign w:val="center"/>
          </w:tcPr>
          <w:p>
            <w:pPr>
              <w:jc w:val="left"/>
              <w:rPr>
                <w:rFonts w:ascii="宋体" w:cs="Arial"/>
                <w:sz w:val="18"/>
                <w:szCs w:val="18"/>
              </w:rPr>
            </w:pPr>
            <w:r>
              <w:rPr>
                <w:rFonts w:hint="eastAsia" w:ascii="宋体" w:hAnsi="宋体" w:cs="Arial"/>
                <w:sz w:val="18"/>
                <w:szCs w:val="18"/>
              </w:rPr>
              <w:t>是否允许递交备选投标方案</w:t>
            </w:r>
          </w:p>
        </w:tc>
        <w:tc>
          <w:tcPr>
            <w:tcW w:w="5828" w:type="dxa"/>
            <w:vAlign w:val="center"/>
          </w:tcPr>
          <w:p>
            <w:pPr>
              <w:ind w:left="210" w:hanging="210" w:hangingChars="100"/>
              <w:rPr>
                <w:rFonts w:ascii="宋体" w:hAnsi="宋体" w:cs="Arial"/>
                <w:szCs w:val="21"/>
              </w:rPr>
            </w:pPr>
            <w:r>
              <w:rPr>
                <w:rFonts w:hint="eastAsia" w:ascii="宋体" w:hAnsi="宋体" w:cs="Arial"/>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3.7.3</w:t>
            </w:r>
          </w:p>
        </w:tc>
        <w:tc>
          <w:tcPr>
            <w:tcW w:w="2538" w:type="dxa"/>
            <w:gridSpan w:val="3"/>
            <w:vAlign w:val="center"/>
          </w:tcPr>
          <w:p>
            <w:pPr>
              <w:jc w:val="center"/>
              <w:rPr>
                <w:rFonts w:ascii="宋体" w:cs="Arial"/>
                <w:szCs w:val="21"/>
              </w:rPr>
            </w:pPr>
            <w:r>
              <w:rPr>
                <w:rFonts w:hint="eastAsia" w:ascii="宋体" w:hAnsi="宋体" w:cs="Arial"/>
                <w:szCs w:val="21"/>
              </w:rPr>
              <w:t>签章要求</w:t>
            </w:r>
          </w:p>
        </w:tc>
        <w:tc>
          <w:tcPr>
            <w:tcW w:w="5828" w:type="dxa"/>
            <w:vAlign w:val="center"/>
          </w:tcPr>
          <w:p>
            <w:pPr>
              <w:rPr>
                <w:rFonts w:ascii="宋体" w:cs="Arial"/>
                <w:szCs w:val="21"/>
              </w:rPr>
            </w:pPr>
            <w:r>
              <w:rPr>
                <w:rFonts w:hint="eastAsia" w:ascii="宋体" w:hAnsi="宋体" w:cs="Arial"/>
                <w:szCs w:val="21"/>
              </w:rPr>
              <w:t>第五章投标文件格式中标明盖章、签字的地方均需按要求盖章、签字。同时投标文件需要加盖骑缝章。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4</w:t>
            </w:r>
          </w:p>
        </w:tc>
        <w:tc>
          <w:tcPr>
            <w:tcW w:w="8366" w:type="dxa"/>
            <w:gridSpan w:val="4"/>
            <w:vAlign w:val="center"/>
          </w:tcPr>
          <w:p>
            <w:pPr>
              <w:jc w:val="center"/>
              <w:rPr>
                <w:rFonts w:hAnsi="宋体" w:cs="Arial"/>
                <w:b/>
                <w:sz w:val="24"/>
              </w:rPr>
            </w:pPr>
            <w:r>
              <w:rPr>
                <w:rFonts w:hint="eastAsia" w:ascii="宋体" w:hAnsi="宋体" w:cs="Arial"/>
                <w:b/>
                <w:sz w:val="24"/>
              </w:rPr>
              <w:t>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bookmarkStart w:id="10" w:name="_4.1"/>
            <w:bookmarkEnd w:id="10"/>
            <w:bookmarkStart w:id="11" w:name="_4.2"/>
            <w:bookmarkEnd w:id="11"/>
            <w:r>
              <w:rPr>
                <w:rFonts w:ascii="宋体" w:hAnsi="宋体" w:cs="Arial"/>
                <w:szCs w:val="21"/>
              </w:rPr>
              <w:t>4.2.2</w:t>
            </w:r>
          </w:p>
        </w:tc>
        <w:tc>
          <w:tcPr>
            <w:tcW w:w="2538" w:type="dxa"/>
            <w:gridSpan w:val="3"/>
            <w:vAlign w:val="center"/>
          </w:tcPr>
          <w:p>
            <w:pPr>
              <w:jc w:val="center"/>
              <w:rPr>
                <w:rFonts w:ascii="宋体" w:cs="Arial"/>
                <w:szCs w:val="21"/>
              </w:rPr>
            </w:pPr>
            <w:r>
              <w:rPr>
                <w:rFonts w:hint="eastAsia" w:ascii="宋体" w:hAnsi="宋体" w:cs="Arial"/>
                <w:szCs w:val="21"/>
              </w:rPr>
              <w:t>递交投标文件形式及地点</w:t>
            </w:r>
          </w:p>
        </w:tc>
        <w:tc>
          <w:tcPr>
            <w:tcW w:w="5828" w:type="dxa"/>
            <w:vAlign w:val="center"/>
          </w:tcPr>
          <w:p>
            <w:pPr>
              <w:rPr>
                <w:rFonts w:ascii="宋体" w:hAnsi="宋体" w:cs="Arial"/>
                <w:szCs w:val="21"/>
                <w:highlight w:val="yellow"/>
              </w:rPr>
            </w:pPr>
            <w:r>
              <w:rPr>
                <w:rFonts w:hint="eastAsia" w:ascii="宋体" w:hAnsi="宋体" w:cs="Arial"/>
                <w:szCs w:val="21"/>
              </w:rPr>
              <w:t>投标文件形式：纸质，递交地点：同开标地点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5</w:t>
            </w:r>
          </w:p>
        </w:tc>
        <w:tc>
          <w:tcPr>
            <w:tcW w:w="8366" w:type="dxa"/>
            <w:gridSpan w:val="4"/>
            <w:vAlign w:val="center"/>
          </w:tcPr>
          <w:p>
            <w:pPr>
              <w:topLinePunct/>
              <w:jc w:val="center"/>
              <w:rPr>
                <w:rFonts w:ascii="宋体" w:cs="Arial"/>
                <w:b/>
                <w:sz w:val="24"/>
              </w:rPr>
            </w:pPr>
            <w:r>
              <w:rPr>
                <w:rFonts w:hint="eastAsia" w:ascii="宋体" w:hAnsi="宋体" w:cs="Arial"/>
                <w:b/>
                <w:sz w:val="24"/>
              </w:rPr>
              <w:t>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5.1</w:t>
            </w:r>
          </w:p>
        </w:tc>
        <w:tc>
          <w:tcPr>
            <w:tcW w:w="2538" w:type="dxa"/>
            <w:gridSpan w:val="3"/>
            <w:vAlign w:val="center"/>
          </w:tcPr>
          <w:p>
            <w:pPr>
              <w:jc w:val="center"/>
              <w:rPr>
                <w:rFonts w:ascii="宋体" w:cs="Arial"/>
                <w:szCs w:val="21"/>
              </w:rPr>
            </w:pPr>
            <w:r>
              <w:rPr>
                <w:rFonts w:hint="eastAsia" w:ascii="宋体" w:hAnsi="宋体" w:cs="Arial"/>
                <w:szCs w:val="21"/>
              </w:rPr>
              <w:t>开标时间、地点</w:t>
            </w:r>
          </w:p>
        </w:tc>
        <w:tc>
          <w:tcPr>
            <w:tcW w:w="5828" w:type="dxa"/>
            <w:vAlign w:val="center"/>
          </w:tcPr>
          <w:p>
            <w:pPr>
              <w:rPr>
                <w:rFonts w:ascii="宋体" w:hAnsi="宋体" w:cs="Arial"/>
                <w:szCs w:val="21"/>
              </w:rPr>
            </w:pPr>
            <w:r>
              <w:rPr>
                <w:rFonts w:hint="eastAsia" w:ascii="宋体" w:hAnsi="宋体" w:cs="Arial"/>
                <w:bCs/>
                <w:szCs w:val="21"/>
              </w:rPr>
              <w:t>见招标公告日程安排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bookmarkStart w:id="12" w:name="_5.2"/>
            <w:bookmarkEnd w:id="12"/>
            <w:r>
              <w:rPr>
                <w:rFonts w:ascii="宋体" w:hAnsi="宋体" w:cs="Arial"/>
                <w:b/>
                <w:sz w:val="24"/>
              </w:rPr>
              <w:t>6</w:t>
            </w:r>
          </w:p>
        </w:tc>
        <w:tc>
          <w:tcPr>
            <w:tcW w:w="8366" w:type="dxa"/>
            <w:gridSpan w:val="4"/>
            <w:vAlign w:val="center"/>
          </w:tcPr>
          <w:p>
            <w:pPr>
              <w:jc w:val="center"/>
              <w:rPr>
                <w:rFonts w:ascii="宋体" w:cs="Arial"/>
                <w:b/>
                <w:sz w:val="24"/>
              </w:rPr>
            </w:pPr>
            <w:r>
              <w:rPr>
                <w:rFonts w:hint="eastAsia" w:ascii="宋体" w:hAnsi="宋体" w:cs="Arial"/>
                <w:b/>
                <w:sz w:val="24"/>
              </w:rPr>
              <w:t>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bookmarkStart w:id="13" w:name="_6.1"/>
            <w:bookmarkEnd w:id="13"/>
            <w:r>
              <w:rPr>
                <w:rFonts w:ascii="宋体" w:hAnsi="宋体" w:cs="Arial"/>
                <w:szCs w:val="21"/>
              </w:rPr>
              <w:t>6.1.1</w:t>
            </w:r>
          </w:p>
        </w:tc>
        <w:tc>
          <w:tcPr>
            <w:tcW w:w="2538" w:type="dxa"/>
            <w:gridSpan w:val="3"/>
            <w:vAlign w:val="center"/>
          </w:tcPr>
          <w:p>
            <w:pPr>
              <w:jc w:val="center"/>
              <w:rPr>
                <w:rFonts w:ascii="宋体" w:cs="Arial"/>
                <w:szCs w:val="21"/>
              </w:rPr>
            </w:pPr>
            <w:r>
              <w:rPr>
                <w:rFonts w:hint="eastAsia" w:ascii="宋体" w:hAnsi="宋体" w:cs="Arial"/>
                <w:szCs w:val="21"/>
              </w:rPr>
              <w:t>评标委员会的组建</w:t>
            </w:r>
          </w:p>
        </w:tc>
        <w:tc>
          <w:tcPr>
            <w:tcW w:w="5828" w:type="dxa"/>
            <w:vAlign w:val="center"/>
          </w:tcPr>
          <w:p>
            <w:pPr>
              <w:rPr>
                <w:rFonts w:ascii="宋体" w:hAnsi="宋体" w:cs="Arial"/>
                <w:szCs w:val="21"/>
              </w:rPr>
            </w:pPr>
            <w:r>
              <w:rPr>
                <w:rFonts w:hint="eastAsia" w:ascii="宋体" w:hAnsi="宋体" w:cs="Arial"/>
                <w:szCs w:val="21"/>
              </w:rPr>
              <w:t>评标委员会构成: 3人及以上单数</w:t>
            </w:r>
          </w:p>
          <w:p>
            <w:pPr>
              <w:rPr>
                <w:rFonts w:hAnsi="宋体" w:cs="Arial"/>
                <w:szCs w:val="32"/>
                <w:u w:val="single"/>
              </w:rPr>
            </w:pPr>
            <w:r>
              <w:rPr>
                <w:rFonts w:hint="eastAsia" w:ascii="宋体" w:hAnsi="宋体" w:cs="Arial"/>
                <w:szCs w:val="21"/>
              </w:rPr>
              <w:t>评标专家确定方式：由招标人组建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6.3.2</w:t>
            </w:r>
          </w:p>
        </w:tc>
        <w:tc>
          <w:tcPr>
            <w:tcW w:w="2538" w:type="dxa"/>
            <w:gridSpan w:val="3"/>
            <w:vAlign w:val="center"/>
          </w:tcPr>
          <w:p>
            <w:pPr>
              <w:widowControl/>
              <w:jc w:val="center"/>
              <w:rPr>
                <w:rFonts w:ascii="宋体" w:cs="Arial"/>
                <w:szCs w:val="21"/>
              </w:rPr>
            </w:pPr>
            <w:r>
              <w:rPr>
                <w:rFonts w:hint="eastAsia" w:ascii="宋体" w:hAnsi="宋体" w:cs="Arial"/>
                <w:szCs w:val="21"/>
              </w:rPr>
              <w:t>本次评标采用的评标方法</w:t>
            </w:r>
          </w:p>
        </w:tc>
        <w:tc>
          <w:tcPr>
            <w:tcW w:w="5828" w:type="dxa"/>
            <w:vAlign w:val="center"/>
          </w:tcPr>
          <w:p>
            <w:pPr>
              <w:widowControl/>
              <w:jc w:val="left"/>
              <w:rPr>
                <w:rStyle w:val="22"/>
                <w:rFonts w:hAnsi="宋体" w:cs="Arial"/>
                <w:color w:val="auto"/>
                <w:szCs w:val="32"/>
                <w:u w:val="none"/>
              </w:rPr>
            </w:pPr>
            <w:r>
              <w:fldChar w:fldCharType="begin"/>
            </w:r>
            <w:r>
              <w:instrText xml:space="preserve"> HYPERLINK "file:///H:\\泰州招标文件范本\\泰州市房屋建筑和市政工程施工2016.4.docx" \l "_第三章_评标办法（经评审的最低投标价法）" </w:instrText>
            </w:r>
            <w:r>
              <w:fldChar w:fldCharType="separate"/>
            </w:r>
            <w:r>
              <w:rPr>
                <w:rStyle w:val="22"/>
                <w:rFonts w:hint="eastAsia" w:cs="Arial"/>
                <w:b/>
                <w:bCs/>
                <w:color w:val="auto"/>
                <w:szCs w:val="32"/>
                <w:u w:val="none"/>
              </w:rPr>
              <w:t>经评审的最低投标价法</w:t>
            </w:r>
            <w:r>
              <w:rPr>
                <w:rStyle w:val="22"/>
                <w:rFonts w:hint="eastAsia" w:cs="Arial"/>
                <w:b/>
                <w:bCs/>
                <w:color w:val="auto"/>
                <w:szCs w:val="32"/>
                <w:u w:val="none"/>
              </w:rPr>
              <w:fldChar w:fldCharType="end"/>
            </w:r>
            <w:r>
              <w:rPr>
                <w:rStyle w:val="22"/>
                <w:rFonts w:hint="eastAsia" w:cs="Arial"/>
                <w:color w:val="auto"/>
                <w:szCs w:val="32"/>
                <w:u w:val="none"/>
              </w:rPr>
              <w:t>。</w:t>
            </w:r>
            <w:r>
              <w:rPr>
                <w:rStyle w:val="22"/>
                <w:rFonts w:hint="eastAsia" w:hAnsi="宋体" w:cs="Arial"/>
                <w:color w:val="auto"/>
                <w:szCs w:val="32"/>
                <w:u w:val="none"/>
              </w:rPr>
              <w:t>评标委员会在评标报告上签字后，除确认存在评委评审错误和计算错误外，投标报价平均值不因招投标当事人质疑、投诉、复议以及其它任何情形而改变；</w:t>
            </w:r>
          </w:p>
          <w:p>
            <w:pPr>
              <w:widowControl/>
              <w:jc w:val="left"/>
              <w:rPr>
                <w:rStyle w:val="22"/>
                <w:rFonts w:cs="宋体"/>
                <w:color w:val="auto"/>
                <w:u w:val="none"/>
              </w:rPr>
            </w:pPr>
            <w:r>
              <w:rPr>
                <w:rStyle w:val="22"/>
                <w:rFonts w:hint="eastAsia" w:hAnsi="宋体" w:cs="Arial"/>
                <w:color w:val="auto"/>
                <w:szCs w:val="32"/>
                <w:u w:val="none"/>
              </w:rPr>
              <w:t>前款所称评审错误仅限于评标委员会基于招标文件中约定的查询方式、查询地址以及投标文件进行评审时发生的错误。投标人提供虚假材料、或者隐瞒事实、或者作出虚假承诺等情形，造成招标人、投标人对评标结果产生争议的，不属于评委评审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pPr>
              <w:jc w:val="left"/>
              <w:rPr>
                <w:rFonts w:hAnsi="宋体" w:cs="Arial"/>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7</w:t>
            </w:r>
          </w:p>
        </w:tc>
        <w:tc>
          <w:tcPr>
            <w:tcW w:w="8366" w:type="dxa"/>
            <w:gridSpan w:val="4"/>
            <w:vAlign w:val="center"/>
          </w:tcPr>
          <w:p>
            <w:pPr>
              <w:jc w:val="center"/>
              <w:rPr>
                <w:rFonts w:hAnsi="宋体" w:cs="Arial"/>
                <w:b/>
                <w:sz w:val="24"/>
              </w:rPr>
            </w:pPr>
            <w:r>
              <w:rPr>
                <w:rFonts w:hint="eastAsia" w:ascii="宋体" w:hAnsi="宋体" w:cs="Arial"/>
                <w:b/>
                <w:sz w:val="24"/>
              </w:rPr>
              <w:t>合同授予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7.1</w:t>
            </w:r>
          </w:p>
        </w:tc>
        <w:tc>
          <w:tcPr>
            <w:tcW w:w="2538" w:type="dxa"/>
            <w:gridSpan w:val="3"/>
            <w:vAlign w:val="center"/>
          </w:tcPr>
          <w:p>
            <w:pPr>
              <w:jc w:val="center"/>
              <w:rPr>
                <w:rFonts w:ascii="宋体" w:cs="Arial"/>
                <w:szCs w:val="21"/>
              </w:rPr>
            </w:pPr>
            <w:r>
              <w:rPr>
                <w:rFonts w:hint="eastAsia" w:ascii="宋体" w:hAnsi="宋体" w:cs="Arial"/>
                <w:szCs w:val="21"/>
              </w:rPr>
              <w:t>是否授权评标委员会</w:t>
            </w:r>
          </w:p>
          <w:p>
            <w:pPr>
              <w:jc w:val="center"/>
              <w:rPr>
                <w:rFonts w:ascii="宋体" w:cs="Arial"/>
                <w:szCs w:val="21"/>
              </w:rPr>
            </w:pPr>
            <w:r>
              <w:rPr>
                <w:rFonts w:hint="eastAsia" w:ascii="宋体" w:hAnsi="宋体" w:cs="Arial"/>
                <w:szCs w:val="21"/>
              </w:rPr>
              <w:t>确定中标人</w:t>
            </w:r>
          </w:p>
        </w:tc>
        <w:tc>
          <w:tcPr>
            <w:tcW w:w="5828" w:type="dxa"/>
            <w:vAlign w:val="center"/>
          </w:tcPr>
          <w:p>
            <w:pPr>
              <w:rPr>
                <w:rFonts w:ascii="宋体" w:cs="Arial"/>
                <w:szCs w:val="21"/>
              </w:rPr>
            </w:pPr>
            <w:r>
              <w:rPr>
                <w:rFonts w:hint="eastAsia" w:ascii="宋体" w:hAnsi="宋体" w:cs="Arial"/>
                <w:szCs w:val="21"/>
              </w:rPr>
              <w:t>推荐中标候选人数：</w:t>
            </w:r>
            <w:r>
              <w:rPr>
                <w:rFonts w:hint="eastAsia" w:ascii="宋体" w:hAnsi="宋体" w:cs="Arial"/>
                <w:szCs w:val="21"/>
                <w:u w:val="single"/>
              </w:rPr>
              <w:t xml:space="preserve">  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7.</w:t>
            </w:r>
            <w:r>
              <w:rPr>
                <w:rFonts w:hint="eastAsia" w:ascii="宋体" w:hAnsi="宋体" w:cs="Arial"/>
                <w:szCs w:val="21"/>
              </w:rPr>
              <w:t>5</w:t>
            </w:r>
            <w:r>
              <w:rPr>
                <w:rFonts w:ascii="宋体" w:hAnsi="宋体" w:cs="Arial"/>
                <w:szCs w:val="21"/>
              </w:rPr>
              <w:t>.1</w:t>
            </w:r>
          </w:p>
        </w:tc>
        <w:tc>
          <w:tcPr>
            <w:tcW w:w="2538" w:type="dxa"/>
            <w:gridSpan w:val="3"/>
            <w:vAlign w:val="center"/>
          </w:tcPr>
          <w:p>
            <w:pPr>
              <w:jc w:val="center"/>
              <w:rPr>
                <w:rFonts w:ascii="宋体" w:cs="Arial"/>
                <w:szCs w:val="21"/>
              </w:rPr>
            </w:pPr>
            <w:r>
              <w:rPr>
                <w:rFonts w:hint="eastAsia" w:ascii="宋体" w:hAnsi="宋体" w:cs="Arial"/>
                <w:szCs w:val="21"/>
              </w:rPr>
              <w:t>履约担保</w:t>
            </w:r>
          </w:p>
        </w:tc>
        <w:tc>
          <w:tcPr>
            <w:tcW w:w="5828" w:type="dxa"/>
            <w:vAlign w:val="center"/>
          </w:tcPr>
          <w:p>
            <w:pPr>
              <w:rPr>
                <w:rFonts w:hint="default" w:eastAsia="宋体"/>
                <w:lang w:val="en-US" w:eastAsia="zh-CN"/>
              </w:rPr>
            </w:pPr>
            <w:r>
              <w:rPr>
                <w:rFonts w:hint="eastAsia"/>
                <w:lang w:eastAsia="zh-CN"/>
              </w:rPr>
              <w:t>金额：中标价的</w:t>
            </w:r>
            <w:r>
              <w:rPr>
                <w:rFonts w:hint="eastAsia"/>
                <w:lang w:val="en-US" w:eastAsia="zh-CN"/>
              </w:rPr>
              <w:t>10%</w:t>
            </w:r>
          </w:p>
          <w:p>
            <w:r>
              <w:rPr>
                <w:rFonts w:hint="eastAsia"/>
              </w:rPr>
              <w:t>履约担保的形式： 银行电汇或者网上银行支付</w:t>
            </w:r>
          </w:p>
          <w:p>
            <w:r>
              <w:rPr>
                <w:rFonts w:hint="eastAsia"/>
              </w:rPr>
              <w:t xml:space="preserve">履约担保的提交时间：中标通知书签发后签订合同前汇入招标人指定账户。 （中标人的履约担保由招标人在工程竣工验收合格后退还。）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szCs w:val="21"/>
              </w:rPr>
            </w:pPr>
            <w:r>
              <w:rPr>
                <w:rFonts w:ascii="宋体" w:hAnsi="宋体" w:cs="Arial"/>
                <w:szCs w:val="21"/>
              </w:rPr>
              <w:t>7.5.3</w:t>
            </w:r>
          </w:p>
        </w:tc>
        <w:tc>
          <w:tcPr>
            <w:tcW w:w="2538" w:type="dxa"/>
            <w:gridSpan w:val="3"/>
            <w:vAlign w:val="center"/>
          </w:tcPr>
          <w:p>
            <w:pPr>
              <w:ind w:firstLine="105" w:firstLineChars="50"/>
              <w:rPr>
                <w:rFonts w:ascii="宋体" w:cs="宋体"/>
                <w:kern w:val="0"/>
                <w:szCs w:val="21"/>
              </w:rPr>
            </w:pPr>
            <w:r>
              <w:rPr>
                <w:rFonts w:hint="eastAsia" w:ascii="宋体" w:hAnsi="宋体" w:cs="宋体"/>
                <w:kern w:val="0"/>
                <w:szCs w:val="21"/>
              </w:rPr>
              <w:t>合同价格形式</w:t>
            </w:r>
          </w:p>
        </w:tc>
        <w:tc>
          <w:tcPr>
            <w:tcW w:w="5828" w:type="dxa"/>
            <w:vAlign w:val="center"/>
          </w:tcPr>
          <w:p>
            <w:pPr>
              <w:ind w:firstLine="105" w:firstLineChars="50"/>
              <w:rPr>
                <w:rFonts w:ascii="宋体" w:cs="Arial"/>
                <w:szCs w:val="21"/>
              </w:rPr>
            </w:pPr>
            <w:r>
              <w:rPr>
                <w:rFonts w:hint="eastAsia" w:ascii="宋体" w:hAnsi="宋体" w:cs="宋体"/>
                <w:kern w:val="0"/>
                <w:szCs w:val="21"/>
                <w:highlight w:val="none"/>
              </w:rPr>
              <w:t>固定总价合同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8</w:t>
            </w:r>
          </w:p>
        </w:tc>
        <w:tc>
          <w:tcPr>
            <w:tcW w:w="8366" w:type="dxa"/>
            <w:gridSpan w:val="4"/>
            <w:vAlign w:val="center"/>
          </w:tcPr>
          <w:p>
            <w:pPr>
              <w:jc w:val="center"/>
              <w:rPr>
                <w:rFonts w:ascii="宋体" w:cs="Arial"/>
                <w:bCs/>
                <w:szCs w:val="21"/>
              </w:rPr>
            </w:pPr>
            <w:r>
              <w:rPr>
                <w:rFonts w:hint="eastAsia" w:ascii="宋体" w:hAnsi="宋体" w:cs="Arial"/>
                <w:b/>
                <w:sz w:val="24"/>
              </w:rPr>
              <w:t>重新招标和不再招标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9</w:t>
            </w:r>
          </w:p>
        </w:tc>
        <w:tc>
          <w:tcPr>
            <w:tcW w:w="8366" w:type="dxa"/>
            <w:gridSpan w:val="4"/>
            <w:vAlign w:val="center"/>
          </w:tcPr>
          <w:p>
            <w:pPr>
              <w:jc w:val="center"/>
              <w:rPr>
                <w:rFonts w:ascii="宋体" w:cs="Arial"/>
                <w:b/>
                <w:sz w:val="24"/>
              </w:rPr>
            </w:pPr>
            <w:r>
              <w:rPr>
                <w:rFonts w:hint="eastAsia" w:ascii="宋体" w:hAnsi="宋体" w:cs="Arial"/>
                <w:b/>
                <w:sz w:val="24"/>
              </w:rPr>
              <w:t>纪律和监督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jc w:val="center"/>
              <w:rPr>
                <w:rFonts w:ascii="宋体" w:cs="Arial"/>
                <w:b/>
                <w:sz w:val="24"/>
              </w:rPr>
            </w:pPr>
            <w:r>
              <w:rPr>
                <w:rFonts w:ascii="宋体" w:hAnsi="宋体" w:cs="Arial"/>
                <w:b/>
                <w:sz w:val="24"/>
              </w:rPr>
              <w:t>10</w:t>
            </w:r>
          </w:p>
        </w:tc>
        <w:tc>
          <w:tcPr>
            <w:tcW w:w="8366" w:type="dxa"/>
            <w:gridSpan w:val="4"/>
            <w:vAlign w:val="center"/>
          </w:tcPr>
          <w:p>
            <w:pPr>
              <w:jc w:val="center"/>
              <w:rPr>
                <w:rFonts w:ascii="宋体" w:cs="Arial"/>
                <w:b/>
                <w:sz w:val="24"/>
              </w:rPr>
            </w:pPr>
            <w:r>
              <w:rPr>
                <w:rFonts w:hint="eastAsia" w:ascii="宋体" w:hAnsi="宋体" w:cs="Arial"/>
                <w:b/>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pPr>
              <w:pStyle w:val="7"/>
              <w:jc w:val="both"/>
            </w:pPr>
            <w:r>
              <w:t>10.1</w:t>
            </w:r>
            <w:r>
              <w:rPr>
                <w:rFonts w:hint="eastAsia"/>
                <w:sz w:val="24"/>
                <w:szCs w:val="24"/>
              </w:rPr>
              <w:t>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pStyle w:val="7"/>
              <w:jc w:val="both"/>
              <w:rPr>
                <w:b w:val="0"/>
              </w:rPr>
            </w:pPr>
            <w:r>
              <w:rPr>
                <w:b w:val="0"/>
              </w:rPr>
              <w:t>10.1.1</w:t>
            </w:r>
          </w:p>
        </w:tc>
        <w:tc>
          <w:tcPr>
            <w:tcW w:w="1703" w:type="dxa"/>
            <w:gridSpan w:val="2"/>
            <w:vAlign w:val="center"/>
          </w:tcPr>
          <w:p>
            <w:r>
              <w:rPr>
                <w:rFonts w:hint="eastAsia" w:ascii="宋体" w:hAnsi="宋体"/>
                <w:szCs w:val="21"/>
              </w:rPr>
              <w:t>细微偏差</w:t>
            </w:r>
          </w:p>
        </w:tc>
        <w:tc>
          <w:tcPr>
            <w:tcW w:w="6663" w:type="dxa"/>
            <w:gridSpan w:val="2"/>
            <w:vAlign w:val="center"/>
          </w:tcPr>
          <w:p>
            <w:pPr>
              <w:spacing w:line="320" w:lineRule="exact"/>
            </w:pPr>
            <w:r>
              <w:rPr>
                <w:rFonts w:hint="eastAsia" w:ascii="宋体" w:hAnsi="宋体"/>
                <w:szCs w:val="21"/>
              </w:rPr>
              <w:t>指投标文件在实质上响应招标文件的要求，但在个别地方存在细微错误、漏项或者提供了不完整的信息等情况，并且修正这些细微错误、遗漏或不完整不会对其他投标人造成不公平的结果。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pStyle w:val="7"/>
              <w:jc w:val="both"/>
              <w:rPr>
                <w:b w:val="0"/>
              </w:rPr>
            </w:pPr>
            <w:r>
              <w:rPr>
                <w:b w:val="0"/>
              </w:rPr>
              <w:t>10.1.2</w:t>
            </w:r>
          </w:p>
        </w:tc>
        <w:tc>
          <w:tcPr>
            <w:tcW w:w="1703" w:type="dxa"/>
            <w:gridSpan w:val="2"/>
            <w:vAlign w:val="center"/>
          </w:tcPr>
          <w:p>
            <w:pPr>
              <w:rPr>
                <w:rFonts w:ascii="宋体"/>
                <w:szCs w:val="21"/>
              </w:rPr>
            </w:pPr>
            <w:r>
              <w:fldChar w:fldCharType="begin"/>
            </w:r>
            <w:r>
              <w:instrText xml:space="preserve"> HYPERLINK "file:///H:\\泰州招标文件范本\\泰州市房屋建筑和市政工程施工2016.4.docx" \l "_10.8_知识产权" </w:instrText>
            </w:r>
            <w:r>
              <w:fldChar w:fldCharType="separate"/>
            </w:r>
            <w:r>
              <w:rPr>
                <w:rStyle w:val="22"/>
                <w:rFonts w:hint="eastAsia"/>
                <w:color w:val="auto"/>
              </w:rPr>
              <w:t>串通投标、</w:t>
            </w:r>
            <w:r>
              <w:rPr>
                <w:rStyle w:val="22"/>
                <w:rFonts w:hint="eastAsia" w:ascii="宋体" w:hAnsi="宋体"/>
                <w:color w:val="auto"/>
              </w:rPr>
              <w:t>弄虚作假</w:t>
            </w:r>
            <w:r>
              <w:rPr>
                <w:rStyle w:val="22"/>
                <w:rFonts w:hint="eastAsia"/>
                <w:color w:val="auto"/>
              </w:rPr>
              <w:t>行为</w:t>
            </w:r>
            <w:r>
              <w:rPr>
                <w:rStyle w:val="22"/>
                <w:rFonts w:hint="eastAsia"/>
                <w:color w:val="auto"/>
              </w:rPr>
              <w:fldChar w:fldCharType="end"/>
            </w:r>
            <w:r>
              <w:rPr>
                <w:rFonts w:hint="eastAsia"/>
              </w:rPr>
              <w:t>认定</w:t>
            </w:r>
          </w:p>
        </w:tc>
        <w:tc>
          <w:tcPr>
            <w:tcW w:w="6663" w:type="dxa"/>
            <w:gridSpan w:val="2"/>
            <w:vAlign w:val="center"/>
          </w:tcPr>
          <w:p>
            <w:pPr>
              <w:spacing w:line="320" w:lineRule="exact"/>
              <w:ind w:firstLine="420" w:firstLineChars="200"/>
              <w:rPr>
                <w:rFonts w:ascii="宋体"/>
              </w:rPr>
            </w:pPr>
            <w:r>
              <w:rPr>
                <w:rFonts w:hint="eastAsia" w:ascii="宋体" w:hAnsi="宋体"/>
              </w:rPr>
              <w:t>执行《江苏省房屋建筑和市政基础设施工程招标投标中串通投标和弄虚作假行为认定处理办法（试行）》（苏建规字〔</w:t>
            </w:r>
            <w:r>
              <w:rPr>
                <w:rFonts w:ascii="宋体" w:hAnsi="宋体"/>
              </w:rPr>
              <w:t>2014</w:t>
            </w:r>
            <w:r>
              <w:rPr>
                <w:rFonts w:hint="eastAsia" w:ascii="宋体" w:hAnsi="宋体"/>
              </w:rPr>
              <w:t>〕</w:t>
            </w:r>
            <w:r>
              <w:rPr>
                <w:rFonts w:ascii="宋体" w:hAnsi="宋体"/>
              </w:rPr>
              <w:t>2</w:t>
            </w:r>
            <w:r>
              <w:rPr>
                <w:rFonts w:hint="eastAsia" w:ascii="宋体" w:hAnsi="宋体"/>
              </w:rPr>
              <w:t>号）</w:t>
            </w:r>
          </w:p>
          <w:p>
            <w:pPr>
              <w:spacing w:line="320" w:lineRule="exact"/>
              <w:ind w:firstLine="420" w:firstLineChars="200"/>
              <w:rPr>
                <w:rFonts w:ascii="宋体" w:hAnsi="宋体"/>
                <w:szCs w:val="21"/>
              </w:rPr>
            </w:pPr>
            <w:r>
              <w:rPr>
                <w:rFonts w:hint="eastAsia" w:ascii="宋体" w:hAnsi="宋体"/>
                <w:szCs w:val="21"/>
              </w:rPr>
              <w:t>不同投标人的投标保证金提交自同一账户的视为串通投标。</w:t>
            </w:r>
          </w:p>
          <w:p>
            <w:pPr>
              <w:spacing w:line="320" w:lineRule="exact"/>
              <w:ind w:firstLine="420" w:firstLineChars="200"/>
              <w:rPr>
                <w:rFonts w:ascii="宋体" w:hAnsi="宋体"/>
                <w:szCs w:val="21"/>
              </w:rPr>
            </w:pPr>
            <w:r>
              <w:rPr>
                <w:rFonts w:hint="eastAsia" w:ascii="宋体" w:hAnsi="宋体"/>
                <w:szCs w:val="21"/>
              </w:rPr>
              <w:t>不同投标人的投标保证金缴纳至同一子账户的视为串通投标。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pStyle w:val="7"/>
              <w:jc w:val="both"/>
              <w:rPr>
                <w:b w:val="0"/>
              </w:rPr>
            </w:pPr>
            <w:r>
              <w:rPr>
                <w:b w:val="0"/>
              </w:rPr>
              <w:t>10.1.3</w:t>
            </w:r>
          </w:p>
        </w:tc>
        <w:tc>
          <w:tcPr>
            <w:tcW w:w="1703" w:type="dxa"/>
            <w:gridSpan w:val="2"/>
            <w:vAlign w:val="center"/>
          </w:tcPr>
          <w:p>
            <w:r>
              <w:rPr>
                <w:rFonts w:hint="eastAsia" w:ascii="宋体" w:hAnsi="宋体" w:cs="Arial"/>
                <w:bCs/>
                <w:szCs w:val="21"/>
              </w:rPr>
              <w:t>不可竞争费</w:t>
            </w:r>
          </w:p>
        </w:tc>
        <w:tc>
          <w:tcPr>
            <w:tcW w:w="6663" w:type="dxa"/>
            <w:gridSpan w:val="2"/>
            <w:vAlign w:val="center"/>
          </w:tcPr>
          <w:p>
            <w:pPr>
              <w:spacing w:line="320" w:lineRule="exact"/>
            </w:pPr>
            <w:r>
              <w:rPr>
                <w:rFonts w:hint="eastAsia" w:cs="Arial"/>
                <w:bCs/>
              </w:rPr>
              <w:t>不可竞争费指：社会保险费、住房公积金、税金、安全文明施工措施费。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pPr>
              <w:pStyle w:val="7"/>
              <w:jc w:val="both"/>
              <w:rPr>
                <w:sz w:val="24"/>
                <w:szCs w:val="24"/>
              </w:rPr>
            </w:pPr>
            <w:r>
              <w:rPr>
                <w:rFonts w:cs="Arial"/>
                <w:bCs w:val="0"/>
                <w:sz w:val="24"/>
                <w:szCs w:val="24"/>
              </w:rPr>
              <w:t>10.2</w:t>
            </w:r>
            <w:r>
              <w:rPr>
                <w:rFonts w:hint="eastAsia" w:cs="Arial"/>
                <w:sz w:val="24"/>
                <w:szCs w:val="24"/>
              </w:rPr>
              <w:t>招标限价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pPr>
              <w:rPr>
                <w:rFonts w:ascii="宋体" w:cs="Arial"/>
                <w:bCs/>
                <w:szCs w:val="21"/>
              </w:rPr>
            </w:pPr>
            <w:bookmarkStart w:id="14" w:name="_10.2"/>
            <w:bookmarkEnd w:id="14"/>
            <w:r>
              <w:rPr>
                <w:rFonts w:ascii="宋体" w:hAnsi="宋体" w:cs="Arial"/>
                <w:bCs/>
                <w:szCs w:val="21"/>
              </w:rPr>
              <w:t>10.2.1</w:t>
            </w:r>
          </w:p>
        </w:tc>
        <w:tc>
          <w:tcPr>
            <w:tcW w:w="8366" w:type="dxa"/>
            <w:gridSpan w:val="4"/>
            <w:vAlign w:val="center"/>
          </w:tcPr>
          <w:p>
            <w:pPr>
              <w:spacing w:line="320" w:lineRule="exact"/>
              <w:rPr>
                <w:rFonts w:ascii="宋体" w:hAnsi="宋体" w:cs="宋体"/>
                <w:sz w:val="22"/>
                <w:szCs w:val="22"/>
                <w:highlight w:val="none"/>
              </w:rPr>
            </w:pPr>
            <w:r>
              <w:rPr>
                <w:rFonts w:hint="eastAsia" w:ascii="宋体" w:hAnsi="宋体" w:cs="宋体"/>
                <w:sz w:val="22"/>
                <w:szCs w:val="22"/>
              </w:rPr>
              <w:t>1.本次招标限价：</w:t>
            </w:r>
            <w:r>
              <w:rPr>
                <w:rFonts w:hint="eastAsia"/>
                <w:sz w:val="24"/>
                <w:highlight w:val="none"/>
              </w:rPr>
              <w:t>4</w:t>
            </w:r>
            <w:r>
              <w:rPr>
                <w:rFonts w:ascii="宋体" w:hAnsi="宋体" w:cs="宋体"/>
                <w:sz w:val="22"/>
                <w:szCs w:val="22"/>
                <w:highlight w:val="none"/>
              </w:rPr>
              <w:t>万元</w:t>
            </w:r>
          </w:p>
          <w:p>
            <w:pPr>
              <w:spacing w:line="320" w:lineRule="exact"/>
              <w:rPr>
                <w:rFonts w:ascii="宋体" w:hAnsi="宋体" w:cs="宋体"/>
                <w:sz w:val="22"/>
                <w:szCs w:val="22"/>
              </w:rPr>
            </w:pPr>
            <w:r>
              <w:rPr>
                <w:rFonts w:hint="eastAsia" w:ascii="宋体" w:hAnsi="宋体" w:cs="宋体"/>
                <w:sz w:val="22"/>
                <w:szCs w:val="22"/>
              </w:rPr>
              <w:t>2.本次招标：</w:t>
            </w:r>
            <w:r>
              <w:rPr>
                <w:rFonts w:hint="eastAsia" w:ascii="宋体" w:hAnsi="宋体" w:cs="宋体"/>
                <w:b/>
                <w:sz w:val="22"/>
                <w:szCs w:val="22"/>
              </w:rPr>
              <w:t>设有招标人期望值（投标报价高于招标人期望值的作废标处理）</w:t>
            </w:r>
          </w:p>
          <w:p>
            <w:pPr>
              <w:spacing w:line="320" w:lineRule="exact"/>
              <w:rPr>
                <w:rFonts w:ascii="宋体" w:hAnsi="宋体" w:cs="宋体"/>
                <w:bCs/>
                <w:sz w:val="22"/>
                <w:szCs w:val="22"/>
              </w:rPr>
            </w:pPr>
            <w:r>
              <w:rPr>
                <w:rFonts w:hint="eastAsia" w:ascii="宋体" w:hAnsi="宋体" w:cs="宋体"/>
                <w:sz w:val="22"/>
                <w:szCs w:val="22"/>
              </w:rPr>
              <w:t>3.招标人期望值=招标限价×(100－L)%, 本招标项目</w:t>
            </w:r>
            <w:r>
              <w:rPr>
                <w:rFonts w:hint="eastAsia" w:ascii="宋体" w:hAnsi="宋体" w:cs="宋体"/>
                <w:b/>
                <w:bCs/>
                <w:sz w:val="22"/>
                <w:szCs w:val="22"/>
                <w:highlight w:val="none"/>
              </w:rPr>
              <w:t xml:space="preserve"> L=</w:t>
            </w:r>
            <w:r>
              <w:rPr>
                <w:rFonts w:hint="eastAsia" w:ascii="宋体" w:hAnsi="宋体" w:cs="宋体"/>
                <w:b/>
                <w:bCs/>
                <w:sz w:val="22"/>
                <w:szCs w:val="22"/>
                <w:highlight w:val="none"/>
                <w:u w:val="single"/>
              </w:rPr>
              <w:t xml:space="preserve">  </w:t>
            </w:r>
            <w:r>
              <w:rPr>
                <w:rFonts w:ascii="宋体" w:hAnsi="宋体" w:cs="宋体"/>
                <w:b/>
                <w:bCs/>
                <w:sz w:val="22"/>
                <w:szCs w:val="22"/>
                <w:highlight w:val="none"/>
                <w:u w:val="single"/>
              </w:rPr>
              <w:t>5</w:t>
            </w:r>
            <w:r>
              <w:rPr>
                <w:rFonts w:hint="eastAsia" w:ascii="宋体" w:hAnsi="宋体" w:cs="宋体"/>
                <w:b/>
                <w:bCs/>
                <w:sz w:val="22"/>
                <w:szCs w:val="22"/>
                <w:highlight w:val="none"/>
                <w:u w:val="single"/>
              </w:rPr>
              <w:t xml:space="preserve">  </w:t>
            </w:r>
            <w:r>
              <w:rPr>
                <w:rFonts w:hint="eastAsia" w:ascii="宋体" w:hAnsi="宋体" w:cs="宋体"/>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pPr>
              <w:rPr>
                <w:rFonts w:ascii="宋体"/>
                <w:b/>
                <w:sz w:val="24"/>
              </w:rPr>
            </w:pPr>
            <w:bookmarkStart w:id="15" w:name="_10.3"/>
            <w:bookmarkEnd w:id="15"/>
            <w:r>
              <w:rPr>
                <w:rFonts w:ascii="宋体" w:hAnsi="宋体"/>
                <w:b/>
                <w:sz w:val="24"/>
              </w:rPr>
              <w:t>10.3</w:t>
            </w:r>
            <w:bookmarkStart w:id="16" w:name="_“暗标”评审方式"/>
            <w:bookmarkEnd w:id="16"/>
            <w:r>
              <w:rPr>
                <w:rFonts w:hint="eastAsia" w:ascii="宋体" w:hAnsi="宋体"/>
                <w:b/>
                <w:sz w:val="24"/>
              </w:rPr>
              <w:t>“暗标”评审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tc>
        <w:tc>
          <w:tcPr>
            <w:tcW w:w="1703" w:type="dxa"/>
            <w:gridSpan w:val="2"/>
            <w:vAlign w:val="center"/>
          </w:tcPr>
          <w:p>
            <w:r>
              <w:rPr>
                <w:rFonts w:hint="eastAsia"/>
              </w:rPr>
              <w:t>施工组织设计</w:t>
            </w:r>
          </w:p>
          <w:p>
            <w:r>
              <w:rPr>
                <w:rFonts w:hint="eastAsia"/>
              </w:rPr>
              <w:t>是否采用</w:t>
            </w:r>
          </w:p>
          <w:p>
            <w:r>
              <w:rPr>
                <w:rFonts w:hint="eastAsia"/>
              </w:rPr>
              <w:t>暗标评审方式</w:t>
            </w:r>
          </w:p>
        </w:tc>
        <w:tc>
          <w:tcPr>
            <w:tcW w:w="6663" w:type="dxa"/>
            <w:gridSpan w:val="2"/>
            <w:vAlign w:val="center"/>
          </w:tcPr>
          <w:p>
            <w:r>
              <w:rPr>
                <w:rFonts w:hint="eastAsia"/>
              </w:rPr>
              <w:t>不采用(本项目无需编制施工组织设计)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pPr>
              <w:rPr>
                <w:rFonts w:ascii="宋体"/>
                <w:b/>
                <w:sz w:val="24"/>
              </w:rPr>
            </w:pPr>
            <w:r>
              <w:rPr>
                <w:rFonts w:ascii="宋体" w:hAnsi="宋体"/>
                <w:b/>
                <w:sz w:val="24"/>
              </w:rPr>
              <w:t>10.4</w:t>
            </w:r>
            <w:r>
              <w:rPr>
                <w:rFonts w:hint="eastAsia" w:ascii="宋体" w:hAnsi="宋体"/>
                <w:b/>
                <w:sz w:val="24"/>
              </w:rPr>
              <w:t>招标方式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pPr>
              <w:rPr>
                <w:rFonts w:ascii="宋体"/>
                <w:b/>
                <w:sz w:val="24"/>
              </w:rPr>
            </w:pPr>
          </w:p>
        </w:tc>
        <w:tc>
          <w:tcPr>
            <w:tcW w:w="8106" w:type="dxa"/>
            <w:gridSpan w:val="3"/>
            <w:vAlign w:val="center"/>
          </w:tcPr>
          <w:p>
            <w:pPr>
              <w:spacing w:line="360" w:lineRule="auto"/>
              <w:rPr>
                <w:rFonts w:ascii="宋体" w:hAnsi="宋体" w:cs="Arial"/>
                <w:szCs w:val="21"/>
              </w:rPr>
            </w:pPr>
            <w:r>
              <w:rPr>
                <w:rFonts w:hint="eastAsia" w:ascii="宋体" w:hAnsi="宋体" w:cs="Arial"/>
                <w:szCs w:val="21"/>
              </w:rPr>
              <w:t xml:space="preserve">  </w:t>
            </w:r>
            <w:r>
              <w:rPr>
                <w:rFonts w:hint="eastAsia" w:ascii="宋体" w:hAnsi="宋体" w:cs="Arial"/>
                <w:b/>
                <w:bCs/>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pPr>
              <w:rPr>
                <w:rFonts w:ascii="宋体"/>
                <w:b/>
                <w:sz w:val="24"/>
              </w:rPr>
            </w:pPr>
            <w:bookmarkStart w:id="17" w:name="_10.4"/>
            <w:bookmarkEnd w:id="17"/>
            <w:bookmarkStart w:id="18" w:name="_10.5"/>
            <w:bookmarkEnd w:id="18"/>
            <w:r>
              <w:rPr>
                <w:rFonts w:ascii="宋体" w:hAnsi="宋体"/>
                <w:b/>
                <w:sz w:val="24"/>
              </w:rPr>
              <w:t>10.5</w:t>
            </w:r>
            <w:r>
              <w:rPr>
                <w:rFonts w:hint="eastAsia" w:ascii="宋体" w:hAnsi="宋体"/>
                <w:b/>
                <w:sz w:val="24"/>
              </w:rPr>
              <w:t>开标会要求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tc>
        <w:tc>
          <w:tcPr>
            <w:tcW w:w="8366" w:type="dxa"/>
            <w:gridSpan w:val="4"/>
            <w:vAlign w:val="center"/>
          </w:tcPr>
          <w:p>
            <w:pPr>
              <w:spacing w:line="360" w:lineRule="exact"/>
              <w:rPr>
                <w:b/>
              </w:rPr>
            </w:pPr>
            <w:r>
              <w:rPr>
                <w:rFonts w:hint="eastAsia" w:ascii="宋体" w:hAnsi="宋体" w:cs="Arial"/>
                <w:b/>
                <w:color w:val="000000"/>
                <w:szCs w:val="21"/>
              </w:rPr>
              <w:t>一、</w:t>
            </w:r>
            <w:r>
              <w:rPr>
                <w:rFonts w:hint="eastAsia"/>
                <w:b/>
                <w:color w:val="000000"/>
              </w:rPr>
              <w:t>投标</w:t>
            </w:r>
            <w:r>
              <w:rPr>
                <w:rFonts w:hint="eastAsia"/>
                <w:b/>
              </w:rPr>
              <w:t>人拟派的委托代理人或法人按时参加开标会，并持个人二代身份证原件、</w:t>
            </w:r>
            <w:r>
              <w:rPr>
                <w:b/>
              </w:rPr>
              <w:t>低价差额担保原件（</w:t>
            </w:r>
            <w:r>
              <w:rPr>
                <w:rFonts w:hint="eastAsia"/>
                <w:b/>
              </w:rPr>
              <w:t>如有</w:t>
            </w:r>
            <w:r>
              <w:rPr>
                <w:b/>
              </w:rPr>
              <w:t>）</w:t>
            </w:r>
            <w:r>
              <w:rPr>
                <w:rFonts w:hint="eastAsia"/>
                <w:b/>
              </w:rPr>
              <w:t>在投标截止时间前签到。</w:t>
            </w:r>
          </w:p>
          <w:p>
            <w:pPr>
              <w:spacing w:line="360" w:lineRule="exact"/>
              <w:ind w:firstLine="422" w:firstLineChars="200"/>
              <w:rPr>
                <w:b/>
              </w:rPr>
            </w:pPr>
            <w:r>
              <w:rPr>
                <w:rFonts w:hint="eastAsia"/>
                <w:b/>
              </w:rPr>
              <w:t>投标人出席开标会迟到，或未持个人二代身份证原件、</w:t>
            </w:r>
            <w:r>
              <w:rPr>
                <w:b/>
              </w:rPr>
              <w:t>低价差额担保原件（</w:t>
            </w:r>
            <w:r>
              <w:rPr>
                <w:rFonts w:hint="eastAsia"/>
                <w:b/>
              </w:rPr>
              <w:t>如有</w:t>
            </w:r>
            <w:r>
              <w:rPr>
                <w:b/>
              </w:rPr>
              <w:t>）</w:t>
            </w:r>
            <w:r>
              <w:rPr>
                <w:rFonts w:hint="eastAsia"/>
                <w:b/>
              </w:rPr>
              <w:t>签到的，或者签到的委托代理人与投标文件中载明的委托代理人不是同一人的，由招标人核实确认并如实记录，其投标文件作无效投标文件处理。</w:t>
            </w:r>
          </w:p>
          <w:p>
            <w:pPr>
              <w:spacing w:line="360" w:lineRule="exact"/>
              <w:rPr>
                <w:b/>
                <w:color w:val="000000"/>
              </w:rPr>
            </w:pPr>
            <w:r>
              <w:rPr>
                <w:rFonts w:hint="eastAsia" w:ascii="宋体" w:hAnsi="宋体" w:cs="Arial"/>
                <w:b/>
                <w:color w:val="000000"/>
                <w:szCs w:val="21"/>
              </w:rPr>
              <w:t>二、投标人</w:t>
            </w:r>
            <w:r>
              <w:rPr>
                <w:rFonts w:hint="eastAsia"/>
                <w:b/>
                <w:color w:val="000000"/>
              </w:rPr>
              <w:t>不参加开标会或在开标现场拒绝签字确认的，</w:t>
            </w:r>
            <w:r>
              <w:rPr>
                <w:rFonts w:hint="eastAsia" w:ascii="宋体" w:hAnsi="宋体"/>
                <w:b/>
                <w:color w:val="000000"/>
                <w:szCs w:val="21"/>
              </w:rPr>
              <w:t>视为投标人放弃投标</w:t>
            </w:r>
            <w:r>
              <w:rPr>
                <w:rFonts w:hint="eastAsia"/>
                <w:b/>
                <w:color w:val="000000"/>
              </w:rPr>
              <w:t>。</w:t>
            </w:r>
          </w:p>
          <w:p>
            <w:pPr>
              <w:spacing w:line="360" w:lineRule="exact"/>
            </w:pPr>
            <w:r>
              <w:rPr>
                <w:rFonts w:hint="eastAsia"/>
                <w:b/>
                <w:color w:val="000000"/>
              </w:rPr>
              <w:t>三、招标人有违法违规行为的，</w:t>
            </w:r>
            <w:r>
              <w:rPr>
                <w:rFonts w:hint="eastAsia" w:ascii="宋体" w:hAnsi="宋体"/>
                <w:b/>
                <w:color w:val="000000"/>
                <w:szCs w:val="21"/>
              </w:rPr>
              <w:t>视为无效标</w:t>
            </w:r>
            <w:r>
              <w:rPr>
                <w:rFonts w:hint="eastAsia"/>
                <w:b/>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pPr>
              <w:rPr>
                <w:rFonts w:ascii="宋体"/>
                <w:b/>
                <w:sz w:val="24"/>
              </w:rPr>
            </w:pPr>
            <w:r>
              <w:rPr>
                <w:rFonts w:ascii="宋体" w:hAnsi="宋体"/>
                <w:b/>
                <w:sz w:val="24"/>
              </w:rPr>
              <w:t>10.6</w:t>
            </w:r>
            <w:r>
              <w:fldChar w:fldCharType="begin"/>
            </w:r>
            <w:r>
              <w:instrText xml:space="preserve"> HYPERLINK "file:///H:\\泰州招标文件范本\\泰州市房屋建筑和市政工程施工2016.4.docx" \l "_10.6_同义词语" </w:instrText>
            </w:r>
            <w:r>
              <w:fldChar w:fldCharType="separate"/>
            </w:r>
            <w:r>
              <w:rPr>
                <w:rStyle w:val="22"/>
                <w:rFonts w:hint="eastAsia" w:ascii="宋体" w:hAnsi="宋体"/>
                <w:b/>
                <w:color w:val="auto"/>
                <w:sz w:val="24"/>
              </w:rPr>
              <w:t>同义词语</w:t>
            </w:r>
            <w:r>
              <w:rPr>
                <w:rStyle w:val="22"/>
                <w:rFonts w:hint="eastAsia" w:ascii="宋体" w:hAnsi="宋体"/>
                <w:b/>
                <w:color w:val="auto"/>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tc>
        <w:tc>
          <w:tcPr>
            <w:tcW w:w="8366" w:type="dxa"/>
            <w:gridSpan w:val="4"/>
            <w:vAlign w:val="center"/>
          </w:tcPr>
          <w:p>
            <w:pPr>
              <w:spacing w:line="360" w:lineRule="exact"/>
              <w:ind w:firstLine="210" w:firstLineChars="100"/>
            </w:pPr>
            <w:r>
              <w:rPr>
                <w:rFonts w:hint="eastAsia"/>
              </w:rPr>
              <w:t>构成招标文件组成部分的“合同条款”、“技术标准和要求”和“工程量清单”等章节中出现的措辞“发包人”和“承包人”，在招标投标阶段应当分别按“招标人”和“投标人”进行理解。招标文件中的“项目负责人”和“项目经理”为同一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r>
              <w:rPr>
                <w:rFonts w:ascii="宋体" w:hAnsi="宋体"/>
                <w:b/>
                <w:sz w:val="24"/>
              </w:rPr>
              <w:t>10.8</w:t>
            </w:r>
            <w:r>
              <w:rPr>
                <w:rFonts w:hint="eastAsia" w:ascii="宋体" w:hAnsi="宋体"/>
                <w:b/>
                <w:sz w:val="24"/>
              </w:rPr>
              <w:t>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tc>
        <w:tc>
          <w:tcPr>
            <w:tcW w:w="8366" w:type="dxa"/>
            <w:gridSpan w:val="4"/>
            <w:vAlign w:val="center"/>
          </w:tcPr>
          <w:p>
            <w:pPr>
              <w:spacing w:line="360" w:lineRule="exact"/>
              <w:ind w:firstLine="315" w:firstLineChars="150"/>
            </w:pPr>
            <w:r>
              <w:rPr>
                <w:rFonts w:hint="eastAsia" w:ascii="Arial" w:hAnsi="Arial" w:cs="Arial"/>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9" w:type="dxa"/>
            <w:gridSpan w:val="5"/>
            <w:vAlign w:val="center"/>
          </w:tcPr>
          <w:p>
            <w:r>
              <w:rPr>
                <w:rFonts w:ascii="宋体" w:hAnsi="宋体"/>
                <w:b/>
                <w:sz w:val="24"/>
              </w:rPr>
              <w:t>10.9</w:t>
            </w:r>
            <w:r>
              <w:rPr>
                <w:rFonts w:hint="eastAsia" w:ascii="宋体" w:hAnsi="宋体"/>
                <w:b/>
                <w:sz w:val="24"/>
              </w:rPr>
              <w:t>招标人补充的其他内容</w:t>
            </w:r>
            <w:r>
              <w:rPr>
                <w:rFonts w:hint="eastAsia"/>
              </w:rPr>
              <w:t>（招标文件中的其它内容与本条款不一致的，以本条款内容为准）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r>
              <w:t>10.9.1</w:t>
            </w:r>
          </w:p>
        </w:tc>
        <w:tc>
          <w:tcPr>
            <w:tcW w:w="8106" w:type="dxa"/>
            <w:gridSpan w:val="3"/>
            <w:vAlign w:val="center"/>
          </w:tcPr>
          <w:p>
            <w:pPr>
              <w:rPr>
                <w:rFonts w:ascii="黑体" w:hAnsi="黑体" w:eastAsia="黑体" w:cs="Arial"/>
                <w:sz w:val="24"/>
              </w:rPr>
            </w:pPr>
            <w:r>
              <w:rPr>
                <w:rFonts w:hint="eastAsia" w:ascii="宋体" w:hAnsi="宋体"/>
                <w:b/>
                <w:sz w:val="24"/>
              </w:rPr>
              <w:t>投标人的投标文件列入评标范围的确定方式：</w:t>
            </w:r>
            <w:r>
              <w:rPr>
                <w:rFonts w:hint="eastAsia"/>
                <w:b/>
                <w:sz w:val="24"/>
              </w:rPr>
              <w:t>所有投标人的标书均列入评审范围。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r>
              <w:t>10.9.</w:t>
            </w:r>
            <w:r>
              <w:rPr>
                <w:rFonts w:hint="eastAsia"/>
              </w:rPr>
              <w:t>2</w:t>
            </w:r>
          </w:p>
        </w:tc>
        <w:tc>
          <w:tcPr>
            <w:tcW w:w="8106" w:type="dxa"/>
            <w:gridSpan w:val="3"/>
            <w:vAlign w:val="center"/>
          </w:tcPr>
          <w:p>
            <w:pPr>
              <w:spacing w:line="360" w:lineRule="exact"/>
            </w:pPr>
            <w:r>
              <w:rPr>
                <w:rFonts w:hint="eastAsia"/>
              </w:rPr>
              <w:t>除法律法规规定的情形及其他特殊情况外，中标人应当自中标通知书发出之日起三十日内，按照招标文件和中标人的投标文件与招标人订立书面合同，否则，招标人可取消中标人的中标资格。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pPr>
              <w:rPr>
                <w:rFonts w:ascii="宋体" w:hAnsi="宋体" w:cs="宋体"/>
                <w:sz w:val="22"/>
                <w:szCs w:val="22"/>
              </w:rPr>
            </w:pPr>
            <w:r>
              <w:rPr>
                <w:rFonts w:hint="eastAsia" w:ascii="宋体" w:hAnsi="宋体" w:cs="宋体"/>
                <w:sz w:val="22"/>
                <w:szCs w:val="22"/>
              </w:rPr>
              <w:t>10.9.3</w:t>
            </w:r>
          </w:p>
        </w:tc>
        <w:tc>
          <w:tcPr>
            <w:tcW w:w="8106" w:type="dxa"/>
            <w:gridSpan w:val="3"/>
            <w:vAlign w:val="center"/>
          </w:tcPr>
          <w:p>
            <w:pPr>
              <w:pStyle w:val="17"/>
              <w:spacing w:before="0" w:after="0" w:line="360" w:lineRule="atLeast"/>
              <w:jc w:val="both"/>
              <w:rPr>
                <w:sz w:val="22"/>
                <w:szCs w:val="22"/>
              </w:rPr>
            </w:pPr>
            <w:r>
              <w:rPr>
                <w:rFonts w:hint="eastAsia"/>
                <w:sz w:val="21"/>
                <w:szCs w:val="21"/>
              </w:rPr>
              <w:t>1、评标当日，投标人投标所用资质核查结果为不达标的，视为投标人资质条件不符合国家有关规定，或不满足招标文件规定的资格条件。 </w:t>
            </w:r>
            <w:r>
              <w:rPr>
                <w:rFonts w:hint="eastAsia"/>
                <w:sz w:val="21"/>
                <w:szCs w:val="21"/>
              </w:rPr>
              <w:br w:type="textWrapping"/>
            </w:r>
            <w:r>
              <w:rPr>
                <w:rFonts w:hint="eastAsia"/>
                <w:sz w:val="21"/>
                <w:szCs w:val="21"/>
              </w:rPr>
              <w:t>2、</w:t>
            </w:r>
            <w:r>
              <w:rPr>
                <w:rFonts w:hint="eastAsia"/>
                <w:color w:val="auto"/>
                <w:sz w:val="21"/>
                <w:szCs w:val="21"/>
              </w:rPr>
              <w:t>中标公示期间，中标候选人投标所用资质核查结果为不达标的，视为其资质条件不符合国家有关规定。</w:t>
            </w:r>
            <w:r>
              <w:rPr>
                <w:rFonts w:hint="eastAsia"/>
                <w:color w:val="auto"/>
                <w:sz w:val="21"/>
                <w:szCs w:val="21"/>
              </w:rPr>
              <w:br w:type="textWrapping"/>
            </w:r>
            <w:r>
              <w:rPr>
                <w:rFonts w:hint="eastAsia"/>
                <w:sz w:val="21"/>
                <w:szCs w:val="21"/>
              </w:rPr>
              <w:t>动态监管不合格资质查询网址：</w:t>
            </w:r>
            <w:r>
              <w:rPr>
                <w:rFonts w:hint="eastAsia"/>
                <w:sz w:val="21"/>
                <w:szCs w:val="21"/>
              </w:rPr>
              <w:br w:type="textWrapping"/>
            </w:r>
            <w:r>
              <w:rPr>
                <w:rFonts w:hint="eastAsia"/>
                <w:sz w:val="21"/>
                <w:szCs w:val="21"/>
              </w:rPr>
              <w:drawing>
                <wp:inline distT="0" distB="0" distL="114300" distR="114300">
                  <wp:extent cx="190500" cy="142875"/>
                  <wp:effectExtent l="0" t="0" r="0" b="952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4"/>
                          <a:stretch>
                            <a:fillRect/>
                          </a:stretch>
                        </pic:blipFill>
                        <pic:spPr>
                          <a:xfrm>
                            <a:off x="0" y="0"/>
                            <a:ext cx="190500" cy="142875"/>
                          </a:xfrm>
                          <a:prstGeom prst="rect">
                            <a:avLst/>
                          </a:prstGeom>
                          <a:noFill/>
                          <a:ln w="9525">
                            <a:noFill/>
                          </a:ln>
                        </pic:spPr>
                      </pic:pic>
                    </a:graphicData>
                  </a:graphic>
                </wp:inline>
              </w:drawing>
            </w:r>
            <w:r>
              <w:rPr>
                <w:rFonts w:hint="eastAsia"/>
                <w:sz w:val="21"/>
                <w:szCs w:val="21"/>
              </w:rPr>
              <w:t>http://221.226.118.170:8080/app/jscesis/qualCheck/queryQualCheckPublic.ftl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pPr>
              <w:jc w:val="left"/>
            </w:pPr>
            <w:r>
              <w:rPr>
                <w:rFonts w:hint="eastAsia"/>
              </w:rPr>
              <w:t>10.9.5</w:t>
            </w:r>
          </w:p>
        </w:tc>
        <w:tc>
          <w:tcPr>
            <w:tcW w:w="8106" w:type="dxa"/>
            <w:gridSpan w:val="3"/>
            <w:vAlign w:val="center"/>
          </w:tcPr>
          <w:p>
            <w:pPr>
              <w:rPr>
                <w:sz w:val="22"/>
                <w:szCs w:val="22"/>
              </w:rPr>
            </w:pPr>
            <w:r>
              <w:rPr>
                <w:rFonts w:hint="eastAsia" w:ascii="宋体" w:hAnsi="宋体" w:cs="仿宋_GB2312"/>
                <w:kern w:val="0"/>
                <w:sz w:val="22"/>
                <w:szCs w:val="22"/>
              </w:rPr>
              <w:t>投标文件包含，</w:t>
            </w:r>
            <w:r>
              <w:rPr>
                <w:rFonts w:hint="eastAsia" w:ascii="宋体" w:hAnsi="宋体" w:cs="仿宋_GB2312"/>
                <w:b/>
                <w:bCs/>
                <w:kern w:val="0"/>
                <w:sz w:val="22"/>
                <w:szCs w:val="22"/>
              </w:rPr>
              <w:t>正本一份、副本二份</w:t>
            </w:r>
            <w:r>
              <w:rPr>
                <w:rFonts w:hint="eastAsia" w:ascii="宋体" w:hAnsi="宋体" w:cs="仿宋_GB2312"/>
                <w:kern w:val="0"/>
                <w:sz w:val="22"/>
                <w:szCs w:val="22"/>
              </w:rPr>
              <w:t>。正本和副本的封面上应清楚的标记“正本”和“副本”的字样。正本和副本如有不一致之处，以正本为准。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pPr>
              <w:spacing w:line="440" w:lineRule="exact"/>
              <w:jc w:val="left"/>
              <w:rPr>
                <w:rFonts w:ascii="宋体" w:hAnsi="宋体" w:cs="宋体"/>
                <w:sz w:val="24"/>
              </w:rPr>
            </w:pPr>
            <w:bookmarkStart w:id="19" w:name="_Toc266951041"/>
            <w:bookmarkStart w:id="20" w:name="_Toc275956102"/>
            <w:r>
              <w:rPr>
                <w:rFonts w:hint="eastAsia" w:ascii="宋体" w:hAnsi="宋体" w:cs="宋体"/>
                <w:sz w:val="24"/>
              </w:rPr>
              <w:t>10.9.6</w:t>
            </w:r>
          </w:p>
        </w:tc>
        <w:tc>
          <w:tcPr>
            <w:tcW w:w="8106" w:type="dxa"/>
            <w:gridSpan w:val="3"/>
            <w:vAlign w:val="center"/>
          </w:tcPr>
          <w:p>
            <w:pPr>
              <w:spacing w:line="400" w:lineRule="exact"/>
              <w:rPr>
                <w:rFonts w:ascii="宋体" w:hAnsi="宋体" w:cs="宋体"/>
                <w:bCs/>
                <w:sz w:val="22"/>
                <w:szCs w:val="22"/>
                <w:u w:val="single"/>
              </w:rPr>
            </w:pPr>
            <w:r>
              <w:rPr>
                <w:rFonts w:hint="eastAsia" w:ascii="宋体" w:hAnsi="宋体" w:cs="宋体"/>
                <w:bCs/>
                <w:sz w:val="22"/>
                <w:szCs w:val="22"/>
              </w:rPr>
              <w:t>结算审核核减比例（核减金额/送审金额）≤10%以内，审计费用由发包人承担；若核减比例＞10%，则承包人应承担10%以外的审计费用。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pPr>
              <w:spacing w:line="440" w:lineRule="exact"/>
              <w:jc w:val="left"/>
              <w:rPr>
                <w:rFonts w:ascii="宋体" w:hAnsi="宋体" w:cs="宋体"/>
                <w:sz w:val="24"/>
              </w:rPr>
            </w:pPr>
            <w:r>
              <w:rPr>
                <w:rFonts w:hint="eastAsia" w:ascii="宋体" w:hAnsi="宋体" w:cs="宋体"/>
                <w:sz w:val="24"/>
              </w:rPr>
              <w:t>10.9.7</w:t>
            </w:r>
          </w:p>
        </w:tc>
        <w:tc>
          <w:tcPr>
            <w:tcW w:w="8106" w:type="dxa"/>
            <w:gridSpan w:val="3"/>
            <w:vAlign w:val="center"/>
          </w:tcPr>
          <w:p>
            <w:pPr>
              <w:spacing w:line="320" w:lineRule="exact"/>
              <w:jc w:val="left"/>
              <w:rPr>
                <w:rFonts w:ascii="宋体" w:hAnsi="宋体" w:cs="宋体"/>
                <w:bCs/>
                <w:sz w:val="22"/>
                <w:szCs w:val="22"/>
              </w:rPr>
            </w:pPr>
            <w:r>
              <w:rPr>
                <w:rFonts w:hint="eastAsia" w:ascii="宋体" w:hAnsi="宋体" w:cs="宋体"/>
                <w:bCs/>
                <w:sz w:val="22"/>
                <w:szCs w:val="22"/>
              </w:rPr>
              <w:t>每次申请付款时开具符合甲方要求的建筑工程增值税专用发票。如未按上述规定开具票据，则招标人有权延期付款。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gridSpan w:val="2"/>
            <w:vAlign w:val="center"/>
          </w:tcPr>
          <w:p>
            <w:pPr>
              <w:spacing w:line="440" w:lineRule="exact"/>
              <w:jc w:val="left"/>
              <w:rPr>
                <w:rFonts w:ascii="宋体" w:hAnsi="宋体" w:cs="宋体"/>
                <w:sz w:val="24"/>
              </w:rPr>
            </w:pPr>
            <w:r>
              <w:rPr>
                <w:rFonts w:hint="eastAsia" w:ascii="宋体" w:hAnsi="宋体" w:cs="宋体"/>
                <w:sz w:val="24"/>
              </w:rPr>
              <w:t>10.9.8</w:t>
            </w:r>
          </w:p>
        </w:tc>
        <w:tc>
          <w:tcPr>
            <w:tcW w:w="8106" w:type="dxa"/>
            <w:gridSpan w:val="3"/>
            <w:vAlign w:val="center"/>
          </w:tcPr>
          <w:p>
            <w:pPr>
              <w:spacing w:line="320" w:lineRule="exact"/>
              <w:jc w:val="left"/>
              <w:rPr>
                <w:rFonts w:ascii="宋体" w:hAnsi="宋体" w:cs="宋体"/>
                <w:bCs/>
                <w:sz w:val="22"/>
                <w:szCs w:val="22"/>
              </w:rPr>
            </w:pPr>
            <w:r>
              <w:rPr>
                <w:rFonts w:hint="eastAsia" w:ascii="宋体" w:hAnsi="宋体" w:cs="宋体"/>
                <w:bCs/>
                <w:sz w:val="22"/>
                <w:szCs w:val="22"/>
              </w:rPr>
              <w:t>投标人要认真勘察现场，实地了解工程项目，投标报价应包括招标文件所确定的招标范围内工程项目清单的全部内容，以及为完成上述内容所必须的临时工程、材料、劳务及安全防护措施等所需的全部费用。投标人要认真阅读招标文件及各类政策，慎重报价。如有遗漏招标人将视同优惠。</w:t>
            </w:r>
          </w:p>
        </w:tc>
      </w:tr>
    </w:tbl>
    <w:p>
      <w:pPr>
        <w:pStyle w:val="5"/>
        <w:pageBreakBefore/>
      </w:pPr>
      <w:r>
        <w:t>1.</w:t>
      </w:r>
      <w:r>
        <w:rPr>
          <w:rFonts w:hint="eastAsia"/>
        </w:rPr>
        <w:t>总则</w:t>
      </w:r>
      <w:bookmarkEnd w:id="19"/>
      <w:bookmarkEnd w:id="20"/>
    </w:p>
    <w:p>
      <w:pPr>
        <w:pStyle w:val="6"/>
      </w:pPr>
      <w:bookmarkStart w:id="21" w:name="_1.1_项目概况"/>
      <w:bookmarkEnd w:id="21"/>
      <w:bookmarkStart w:id="22" w:name="_Toc266951042"/>
      <w:r>
        <w:t xml:space="preserve">1.1 </w:t>
      </w:r>
      <w:r>
        <w:rPr>
          <w:rFonts w:hint="eastAsia"/>
        </w:rPr>
        <w:t>项目概况</w:t>
      </w:r>
      <w:bookmarkEnd w:id="22"/>
      <w:r>
        <w:rPr>
          <w:rFonts w:hint="eastAsia"/>
        </w:rPr>
        <w:t>及要求</w:t>
      </w:r>
    </w:p>
    <w:p>
      <w:pPr>
        <w:autoSpaceDE w:val="0"/>
        <w:autoSpaceDN w:val="0"/>
        <w:adjustRightInd w:val="0"/>
        <w:ind w:firstLine="420" w:firstLineChars="200"/>
        <w:jc w:val="left"/>
        <w:rPr>
          <w:rFonts w:ascii="宋体" w:cs="仿宋_GB2312"/>
          <w:kern w:val="0"/>
          <w:szCs w:val="21"/>
        </w:rPr>
      </w:pPr>
      <w:r>
        <w:rPr>
          <w:rFonts w:ascii="宋体" w:hAnsi="宋体" w:cs="TimesNewRomanPSMT"/>
          <w:kern w:val="0"/>
          <w:szCs w:val="21"/>
        </w:rPr>
        <w:t xml:space="preserve">1.1.1 </w:t>
      </w:r>
      <w:r>
        <w:rPr>
          <w:rFonts w:hint="eastAsia" w:ascii="宋体" w:hAnsi="宋体" w:cs="仿宋_GB2312"/>
          <w:kern w:val="0"/>
          <w:szCs w:val="21"/>
        </w:rPr>
        <w:t>根据《中华人民共和国招标投标法》等有关法律、法规和规章的规定要求，本招标项目已具备招标条件，现对本标段施工进行招标。</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1.1.2</w:t>
      </w:r>
      <w:r>
        <w:rPr>
          <w:rFonts w:hint="eastAsia" w:ascii="宋体" w:hAnsi="宋体" w:cs="仿宋_GB2312"/>
          <w:kern w:val="0"/>
          <w:szCs w:val="21"/>
        </w:rPr>
        <w:t>本招标项目招标人：见</w:t>
      </w:r>
      <w:r>
        <w:fldChar w:fldCharType="begin"/>
      </w:r>
      <w:r>
        <w:instrText xml:space="preserve"> HYPERLINK "file:///H:\\泰州招标文件范本\\泰州市房屋建筑和市政工程施工2016.4.docx" \l "_1.1"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1.1.3</w:t>
      </w:r>
      <w:r>
        <w:rPr>
          <w:rFonts w:hint="eastAsia" w:ascii="宋体" w:hAnsi="宋体" w:cs="仿宋_GB2312"/>
          <w:kern w:val="0"/>
          <w:szCs w:val="21"/>
        </w:rPr>
        <w:t>本标段：见</w:t>
      </w:r>
      <w:r>
        <w:fldChar w:fldCharType="begin"/>
      </w:r>
      <w:r>
        <w:instrText xml:space="preserve"> HYPERLINK "file:///H:\\泰州招标文件范本\\泰州市房屋建筑和市政工程施工2016.4.docx" \l "_1.1"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1.1.4</w:t>
      </w:r>
      <w:r>
        <w:rPr>
          <w:rFonts w:hint="eastAsia" w:ascii="宋体" w:hAnsi="宋体" w:cs="仿宋_GB2312"/>
          <w:kern w:val="0"/>
          <w:szCs w:val="21"/>
        </w:rPr>
        <w:t>本招标项目名称：见</w:t>
      </w:r>
      <w:r>
        <w:fldChar w:fldCharType="begin"/>
      </w:r>
      <w:r>
        <w:instrText xml:space="preserve"> HYPERLINK "file:///H:\\泰州招标文件范本\\泰州市房屋建筑和市政工程施工2016.4.docx" \l "_1.1"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1.1.5</w:t>
      </w:r>
      <w:r>
        <w:rPr>
          <w:rFonts w:hint="eastAsia" w:ascii="宋体" w:hAnsi="宋体" w:cs="仿宋_GB2312"/>
          <w:kern w:val="0"/>
          <w:szCs w:val="21"/>
        </w:rPr>
        <w:t>本标段建设地点：见</w:t>
      </w:r>
      <w:r>
        <w:fldChar w:fldCharType="begin"/>
      </w:r>
      <w:r>
        <w:instrText xml:space="preserve"> HYPERLINK "file:///H:\\泰州招标文件范本\\泰州市房屋建筑和市政工程施工2016.4.docx" \l "_1.1"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w:t>
      </w:r>
    </w:p>
    <w:p>
      <w:pPr>
        <w:pStyle w:val="6"/>
      </w:pPr>
      <w:bookmarkStart w:id="23" w:name="_1.2_资金来源和落实情况"/>
      <w:bookmarkEnd w:id="23"/>
      <w:bookmarkStart w:id="24" w:name="_1.2_资金来源和落实情况_详见投标须知表"/>
      <w:bookmarkEnd w:id="24"/>
      <w:bookmarkStart w:id="25" w:name="_Toc266951043"/>
      <w:r>
        <w:t xml:space="preserve">1.2 </w:t>
      </w:r>
      <w:r>
        <w:rPr>
          <w:rFonts w:hint="eastAsia"/>
        </w:rPr>
        <w:t>资金来源和落实情况</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1.2.1</w:t>
      </w:r>
      <w:r>
        <w:rPr>
          <w:rFonts w:hint="eastAsia" w:ascii="宋体" w:hAnsi="宋体" w:cs="仿宋_GB2312"/>
          <w:kern w:val="0"/>
          <w:szCs w:val="21"/>
        </w:rPr>
        <w:t>本招标项目的资金来源</w:t>
      </w:r>
      <w:bookmarkEnd w:id="25"/>
      <w:r>
        <w:rPr>
          <w:rFonts w:hint="eastAsia" w:ascii="宋体" w:hAnsi="宋体" w:cs="仿宋_GB2312"/>
          <w:kern w:val="0"/>
          <w:szCs w:val="21"/>
        </w:rPr>
        <w:t>：见</w:t>
      </w:r>
      <w:r>
        <w:fldChar w:fldCharType="begin"/>
      </w:r>
      <w:r>
        <w:instrText xml:space="preserve"> HYPERLINK "file:///H:\\泰州招标文件范本\\泰州市房屋建筑和市政工程施工2016.4.docx" \l "_1.2"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1.2.2</w:t>
      </w:r>
      <w:r>
        <w:rPr>
          <w:rFonts w:hint="eastAsia" w:ascii="宋体" w:hAnsi="宋体" w:cs="仿宋_GB2312"/>
          <w:kern w:val="0"/>
          <w:szCs w:val="21"/>
        </w:rPr>
        <w:t>本招标项目的出资比例：见</w:t>
      </w:r>
      <w:r>
        <w:fldChar w:fldCharType="begin"/>
      </w:r>
      <w:r>
        <w:instrText xml:space="preserve"> HYPERLINK "file:///H:\\泰州招标文件范本\\泰州市房屋建筑和市政工程施工2016.4.docx" \l "_1.2"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1.2.3</w:t>
      </w:r>
      <w:r>
        <w:rPr>
          <w:rFonts w:hint="eastAsia" w:ascii="宋体" w:hAnsi="宋体" w:cs="仿宋_GB2312"/>
          <w:kern w:val="0"/>
          <w:szCs w:val="21"/>
        </w:rPr>
        <w:t>本招标项目的资金落实情况：见</w:t>
      </w:r>
      <w:r>
        <w:fldChar w:fldCharType="begin"/>
      </w:r>
      <w:r>
        <w:instrText xml:space="preserve"> HYPERLINK "file:///H:\\泰州招标文件范本\\泰州市房屋建筑和市政工程施工2016.4.docx" \l "_1.2"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w:t>
      </w:r>
    </w:p>
    <w:p>
      <w:pPr>
        <w:pStyle w:val="6"/>
        <w:rPr>
          <w:rFonts w:cs="TimesNewRomanPSMT"/>
        </w:rPr>
      </w:pPr>
      <w:bookmarkStart w:id="26" w:name="_1.3_招标范围、计划工期和质量要求"/>
      <w:bookmarkEnd w:id="26"/>
      <w:bookmarkStart w:id="27" w:name="_1.3_招标范围、计划工期和质量要求_详见投标须知表"/>
      <w:bookmarkEnd w:id="27"/>
      <w:bookmarkStart w:id="28" w:name="_Toc266951044"/>
      <w:r>
        <w:rPr>
          <w:rFonts w:cs="TimesNewRomanPSMT"/>
        </w:rPr>
        <w:t xml:space="preserve">1.3 </w:t>
      </w:r>
      <w:r>
        <w:rPr>
          <w:rFonts w:hint="eastAsia" w:cs="TimesNewRomanPSMT"/>
        </w:rPr>
        <w:t>招标范围、计划工期和质量要求</w:t>
      </w:r>
      <w:bookmarkEnd w:id="28"/>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1.3.1</w:t>
      </w:r>
      <w:r>
        <w:rPr>
          <w:rFonts w:hint="eastAsia" w:ascii="宋体" w:hAnsi="宋体" w:cs="仿宋_GB2312"/>
          <w:kern w:val="0"/>
          <w:szCs w:val="21"/>
        </w:rPr>
        <w:t>本次招标范围：见</w:t>
      </w:r>
      <w:r>
        <w:fldChar w:fldCharType="begin"/>
      </w:r>
      <w:r>
        <w:instrText xml:space="preserve"> HYPERLINK "file:///H:\\泰州招标文件范本\\泰州市房屋建筑和市政工程施工2016.4.docx" \l "_1.2"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1.3.2</w:t>
      </w:r>
      <w:r>
        <w:rPr>
          <w:rFonts w:hint="eastAsia" w:ascii="宋体" w:hAnsi="宋体" w:cs="仿宋_GB2312"/>
          <w:kern w:val="0"/>
          <w:szCs w:val="21"/>
        </w:rPr>
        <w:t>本标段的计划工期：见</w:t>
      </w:r>
      <w:r>
        <w:fldChar w:fldCharType="begin"/>
      </w:r>
      <w:r>
        <w:instrText xml:space="preserve"> HYPERLINK "file:///H:\\泰州招标文件范本\\泰州市房屋建筑和市政工程施工2016.4.docx" \l "_1.2"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ind w:firstLine="420" w:firstLineChars="200"/>
        <w:jc w:val="left"/>
        <w:rPr>
          <w:rFonts w:ascii="宋体" w:cs="仿宋_GB2312"/>
          <w:kern w:val="0"/>
          <w:szCs w:val="21"/>
        </w:rPr>
      </w:pPr>
      <w:r>
        <w:rPr>
          <w:rFonts w:ascii="宋体" w:hAnsi="宋体" w:cs="仿宋_GB2312"/>
          <w:kern w:val="0"/>
          <w:szCs w:val="21"/>
        </w:rPr>
        <w:t>1.3.3</w:t>
      </w:r>
      <w:r>
        <w:rPr>
          <w:rFonts w:hint="eastAsia" w:ascii="宋体" w:hAnsi="宋体" w:cs="仿宋_GB2312"/>
          <w:kern w:val="0"/>
          <w:szCs w:val="21"/>
        </w:rPr>
        <w:t>本标段的质量要求：见</w:t>
      </w:r>
      <w:r>
        <w:fldChar w:fldCharType="begin"/>
      </w:r>
      <w:r>
        <w:instrText xml:space="preserve"> HYPERLINK "file:///H:\\泰州招标文件范本\\泰州市房屋建筑和市政工程施工2016.4.docx" \l "_1.2"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w:t>
      </w:r>
    </w:p>
    <w:p>
      <w:pPr>
        <w:pStyle w:val="33"/>
      </w:pPr>
      <w:bookmarkStart w:id="29" w:name="_1.4_投标人资格要求"/>
      <w:bookmarkEnd w:id="29"/>
      <w:bookmarkStart w:id="30" w:name="_1.4_投标人资格要求（适用于已进行资格预审的）"/>
      <w:bookmarkEnd w:id="30"/>
      <w:bookmarkStart w:id="31" w:name="_Toc152045534"/>
      <w:bookmarkStart w:id="32" w:name="_Toc179632551"/>
      <w:bookmarkStart w:id="33" w:name="_Toc152042310"/>
      <w:bookmarkStart w:id="34" w:name="_Toc144974502"/>
      <w:r>
        <w:t xml:space="preserve">1.4 </w:t>
      </w:r>
      <w:r>
        <w:rPr>
          <w:rFonts w:hint="eastAsia"/>
        </w:rPr>
        <w:t>投标人资格要求</w:t>
      </w:r>
      <w:bookmarkEnd w:id="31"/>
      <w:bookmarkEnd w:id="32"/>
      <w:bookmarkEnd w:id="33"/>
      <w:bookmarkEnd w:id="34"/>
    </w:p>
    <w:p>
      <w:pPr>
        <w:spacing w:line="320" w:lineRule="exact"/>
        <w:ind w:firstLine="420" w:firstLineChars="200"/>
        <w:rPr>
          <w:rFonts w:ascii="宋体"/>
        </w:rPr>
      </w:pPr>
      <w:r>
        <w:rPr>
          <w:rFonts w:ascii="宋体" w:hAnsi="宋体"/>
        </w:rPr>
        <w:t>1.4.1</w:t>
      </w:r>
      <w:r>
        <w:rPr>
          <w:rFonts w:hint="eastAsia" w:ascii="宋体" w:hAnsi="宋体"/>
        </w:rPr>
        <w:t>投标人应具备承担本标段施工的资质条件、能力和信誉。</w:t>
      </w:r>
    </w:p>
    <w:p>
      <w:pPr>
        <w:spacing w:line="320" w:lineRule="exact"/>
        <w:ind w:firstLine="718" w:firstLineChars="342"/>
        <w:rPr>
          <w:rFonts w:ascii="宋体"/>
        </w:rPr>
      </w:pPr>
      <w:r>
        <w:rPr>
          <w:rFonts w:hint="eastAsia" w:ascii="宋体" w:hAnsi="宋体"/>
        </w:rPr>
        <w:t>（</w:t>
      </w:r>
      <w:r>
        <w:rPr>
          <w:rFonts w:ascii="宋体" w:hAnsi="宋体"/>
        </w:rPr>
        <w:t>1</w:t>
      </w:r>
      <w:r>
        <w:rPr>
          <w:rFonts w:hint="eastAsia" w:ascii="宋体" w:hAnsi="宋体"/>
        </w:rPr>
        <w:t>）资质条件：见投标人须知前附表；</w:t>
      </w:r>
    </w:p>
    <w:p>
      <w:pPr>
        <w:spacing w:line="320" w:lineRule="exact"/>
        <w:ind w:firstLine="718" w:firstLineChars="342"/>
        <w:rPr>
          <w:rFonts w:ascii="宋体"/>
        </w:rPr>
      </w:pPr>
      <w:r>
        <w:rPr>
          <w:rFonts w:hint="eastAsia" w:ascii="宋体" w:hAnsi="宋体"/>
        </w:rPr>
        <w:t>（</w:t>
      </w:r>
      <w:r>
        <w:rPr>
          <w:rFonts w:ascii="宋体" w:hAnsi="宋体"/>
        </w:rPr>
        <w:t>2</w:t>
      </w:r>
      <w:r>
        <w:rPr>
          <w:rFonts w:hint="eastAsia" w:ascii="宋体" w:hAnsi="宋体"/>
        </w:rPr>
        <w:t>）财务要求：见投标人须知前附表；</w:t>
      </w:r>
    </w:p>
    <w:p>
      <w:pPr>
        <w:spacing w:line="320" w:lineRule="exact"/>
        <w:ind w:firstLine="718" w:firstLineChars="342"/>
        <w:rPr>
          <w:rFonts w:ascii="宋体"/>
        </w:rPr>
      </w:pPr>
      <w:r>
        <w:rPr>
          <w:rFonts w:hint="eastAsia" w:ascii="宋体" w:hAnsi="宋体"/>
        </w:rPr>
        <w:t>（</w:t>
      </w:r>
      <w:r>
        <w:rPr>
          <w:rFonts w:ascii="宋体" w:hAnsi="宋体"/>
        </w:rPr>
        <w:t>3</w:t>
      </w:r>
      <w:r>
        <w:rPr>
          <w:rFonts w:hint="eastAsia" w:ascii="宋体" w:hAnsi="宋体"/>
        </w:rPr>
        <w:t>）业绩要求：见投标人须知前附表；</w:t>
      </w:r>
    </w:p>
    <w:p>
      <w:pPr>
        <w:spacing w:line="320" w:lineRule="exact"/>
        <w:ind w:firstLine="718" w:firstLineChars="342"/>
        <w:rPr>
          <w:rFonts w:ascii="宋体"/>
        </w:rPr>
      </w:pPr>
      <w:r>
        <w:rPr>
          <w:rFonts w:hint="eastAsia" w:ascii="宋体" w:hAnsi="宋体"/>
        </w:rPr>
        <w:t>（</w:t>
      </w:r>
      <w:r>
        <w:rPr>
          <w:rFonts w:ascii="宋体" w:hAnsi="宋体"/>
        </w:rPr>
        <w:t>4</w:t>
      </w:r>
      <w:r>
        <w:rPr>
          <w:rFonts w:hint="eastAsia" w:ascii="宋体" w:hAnsi="宋体"/>
        </w:rPr>
        <w:t>）信誉要求：见投标人须知前附表</w:t>
      </w:r>
      <w:r>
        <w:rPr>
          <w:rFonts w:ascii="宋体" w:hAnsi="宋体"/>
        </w:rPr>
        <w:t>;</w:t>
      </w:r>
    </w:p>
    <w:p>
      <w:pPr>
        <w:spacing w:line="320" w:lineRule="exact"/>
        <w:ind w:firstLine="735" w:firstLineChars="350"/>
        <w:rPr>
          <w:rFonts w:ascii="宋体"/>
        </w:rPr>
      </w:pPr>
      <w:r>
        <w:rPr>
          <w:rFonts w:hint="eastAsia" w:ascii="宋体" w:hAnsi="宋体"/>
        </w:rPr>
        <w:t>（</w:t>
      </w:r>
      <w:r>
        <w:rPr>
          <w:rFonts w:ascii="宋体" w:hAnsi="宋体"/>
        </w:rPr>
        <w:t>5</w:t>
      </w:r>
      <w:r>
        <w:rPr>
          <w:rFonts w:hint="eastAsia" w:ascii="宋体" w:hAnsi="宋体"/>
        </w:rPr>
        <w:t>）项目经理资格：见投标人须知前附表；</w:t>
      </w:r>
    </w:p>
    <w:p>
      <w:pPr>
        <w:spacing w:line="320" w:lineRule="exact"/>
        <w:ind w:firstLine="735" w:firstLineChars="350"/>
        <w:rPr>
          <w:rFonts w:ascii="宋体"/>
        </w:rPr>
      </w:pPr>
      <w:r>
        <w:rPr>
          <w:rFonts w:hint="eastAsia" w:ascii="宋体" w:hAnsi="宋体"/>
        </w:rPr>
        <w:t>（</w:t>
      </w:r>
      <w:r>
        <w:rPr>
          <w:rFonts w:ascii="宋体" w:hAnsi="宋体"/>
        </w:rPr>
        <w:t>6</w:t>
      </w:r>
      <w:r>
        <w:rPr>
          <w:rFonts w:hint="eastAsia" w:ascii="宋体" w:hAnsi="宋体"/>
        </w:rPr>
        <w:t>）其他要求：见投标人须知前附表。</w:t>
      </w:r>
    </w:p>
    <w:p>
      <w:pPr>
        <w:spacing w:line="320" w:lineRule="exact"/>
        <w:ind w:left="630" w:leftChars="200" w:hanging="210" w:hangingChars="100"/>
        <w:rPr>
          <w:rFonts w:ascii="宋体"/>
        </w:rPr>
      </w:pPr>
      <w:r>
        <w:rPr>
          <w:rFonts w:ascii="宋体" w:hAnsi="宋体"/>
        </w:rPr>
        <w:t xml:space="preserve">1.4.2 </w:t>
      </w:r>
      <w:r>
        <w:rPr>
          <w:rFonts w:hint="eastAsia" w:ascii="宋体" w:hAnsi="宋体"/>
        </w:rPr>
        <w:t>投标人须知前附表规定接受联合体投标的，除应符合本章第</w:t>
      </w:r>
      <w:r>
        <w:rPr>
          <w:rFonts w:ascii="宋体" w:hAnsi="宋体"/>
        </w:rPr>
        <w:t>1.4.1</w:t>
      </w:r>
      <w:r>
        <w:rPr>
          <w:rFonts w:hint="eastAsia" w:ascii="宋体" w:hAnsi="宋体"/>
        </w:rPr>
        <w:t>项和投标人须知前附表的要求外，还应遵守以下规定：</w:t>
      </w:r>
    </w:p>
    <w:p>
      <w:pPr>
        <w:spacing w:line="320" w:lineRule="exact"/>
        <w:ind w:left="630" w:leftChars="300" w:firstLine="86" w:firstLineChars="41"/>
        <w:rPr>
          <w:rFonts w:ascii="宋体"/>
        </w:rPr>
      </w:pPr>
      <w:r>
        <w:rPr>
          <w:rFonts w:hint="eastAsia" w:ascii="宋体" w:hAnsi="宋体"/>
        </w:rPr>
        <w:t>（</w:t>
      </w:r>
      <w:r>
        <w:rPr>
          <w:rFonts w:ascii="宋体" w:hAnsi="宋体"/>
        </w:rPr>
        <w:t>1</w:t>
      </w:r>
      <w:r>
        <w:rPr>
          <w:rFonts w:hint="eastAsia" w:ascii="宋体" w:hAnsi="宋体"/>
        </w:rPr>
        <w:t>）联合体各方应按招标文件提供的格式签订联合体协议书，明确联合体牵头人和各方权利义务；</w:t>
      </w:r>
    </w:p>
    <w:p>
      <w:pPr>
        <w:spacing w:line="320" w:lineRule="exact"/>
        <w:ind w:firstLine="718" w:firstLineChars="342"/>
        <w:rPr>
          <w:rFonts w:ascii="宋体"/>
        </w:rPr>
      </w:pPr>
      <w:r>
        <w:rPr>
          <w:rFonts w:hint="eastAsia" w:ascii="宋体" w:hAnsi="宋体"/>
        </w:rPr>
        <w:t>（</w:t>
      </w:r>
      <w:r>
        <w:rPr>
          <w:rFonts w:ascii="宋体" w:hAnsi="宋体"/>
        </w:rPr>
        <w:t>2</w:t>
      </w:r>
      <w:r>
        <w:rPr>
          <w:rFonts w:hint="eastAsia" w:ascii="宋体" w:hAnsi="宋体"/>
        </w:rPr>
        <w:t>）由同一专业的单位组成的联合体，按照资质等级较低的单位确定资质等级；</w:t>
      </w:r>
    </w:p>
    <w:p>
      <w:pPr>
        <w:spacing w:line="320" w:lineRule="exact"/>
        <w:ind w:firstLine="718" w:firstLineChars="342"/>
        <w:rPr>
          <w:rFonts w:ascii="宋体"/>
        </w:rPr>
      </w:pPr>
      <w:r>
        <w:rPr>
          <w:rFonts w:hint="eastAsia" w:ascii="宋体" w:hAnsi="宋体"/>
        </w:rPr>
        <w:t>（</w:t>
      </w:r>
      <w:r>
        <w:rPr>
          <w:rFonts w:ascii="宋体" w:hAnsi="宋体"/>
        </w:rPr>
        <w:t>3</w:t>
      </w:r>
      <w:r>
        <w:rPr>
          <w:rFonts w:hint="eastAsia" w:ascii="宋体" w:hAnsi="宋体"/>
        </w:rPr>
        <w:t>）联合体各方不得再以自己名义单独或参加其他联合体在同一标段中投标。</w:t>
      </w:r>
    </w:p>
    <w:p>
      <w:pPr>
        <w:spacing w:line="320" w:lineRule="exact"/>
        <w:ind w:firstLine="420" w:firstLineChars="200"/>
        <w:rPr>
          <w:rFonts w:ascii="宋体"/>
        </w:rPr>
      </w:pPr>
      <w:r>
        <w:rPr>
          <w:rFonts w:ascii="宋体" w:hAnsi="宋体"/>
        </w:rPr>
        <w:t xml:space="preserve">1.4.3 </w:t>
      </w:r>
      <w:r>
        <w:rPr>
          <w:rFonts w:hint="eastAsia" w:ascii="宋体" w:hAnsi="宋体"/>
        </w:rPr>
        <w:t>投标人不得存在下列情形之一：</w:t>
      </w:r>
    </w:p>
    <w:p>
      <w:pPr>
        <w:spacing w:line="240" w:lineRule="exact"/>
        <w:ind w:firstLine="718" w:firstLineChars="342"/>
        <w:rPr>
          <w:rFonts w:ascii="宋体"/>
        </w:rPr>
      </w:pPr>
      <w:r>
        <w:rPr>
          <w:rFonts w:hint="eastAsia" w:ascii="宋体" w:hAnsi="宋体"/>
        </w:rPr>
        <w:t>（</w:t>
      </w:r>
      <w:r>
        <w:rPr>
          <w:rFonts w:ascii="宋体" w:hAnsi="宋体"/>
        </w:rPr>
        <w:t>1</w:t>
      </w:r>
      <w:r>
        <w:rPr>
          <w:rFonts w:hint="eastAsia" w:ascii="宋体" w:hAnsi="宋体"/>
        </w:rPr>
        <w:t>）为招标人不具有独立法人资格的附属机构（单位）；</w:t>
      </w:r>
    </w:p>
    <w:p>
      <w:pPr>
        <w:spacing w:line="240" w:lineRule="exact"/>
        <w:ind w:firstLine="718" w:firstLineChars="342"/>
        <w:rPr>
          <w:rFonts w:ascii="宋体"/>
        </w:rPr>
      </w:pPr>
      <w:r>
        <w:rPr>
          <w:rFonts w:hint="eastAsia" w:ascii="宋体" w:hAnsi="宋体"/>
        </w:rPr>
        <w:t>（</w:t>
      </w:r>
      <w:r>
        <w:rPr>
          <w:rFonts w:ascii="宋体" w:hAnsi="宋体"/>
        </w:rPr>
        <w:t>2</w:t>
      </w:r>
      <w:r>
        <w:rPr>
          <w:rFonts w:hint="eastAsia" w:ascii="宋体" w:hAnsi="宋体"/>
        </w:rPr>
        <w:t>）为本标段前期准备提供设计或咨询服务的，但设计施工总承包的除外；</w:t>
      </w:r>
    </w:p>
    <w:p>
      <w:pPr>
        <w:spacing w:line="240" w:lineRule="exact"/>
        <w:ind w:firstLine="718" w:firstLineChars="342"/>
        <w:rPr>
          <w:rFonts w:ascii="宋体"/>
        </w:rPr>
      </w:pPr>
      <w:r>
        <w:rPr>
          <w:rFonts w:hint="eastAsia" w:ascii="宋体" w:hAnsi="宋体"/>
        </w:rPr>
        <w:t>（</w:t>
      </w:r>
      <w:r>
        <w:rPr>
          <w:rFonts w:ascii="宋体" w:hAnsi="宋体"/>
        </w:rPr>
        <w:t>3</w:t>
      </w:r>
      <w:r>
        <w:rPr>
          <w:rFonts w:hint="eastAsia" w:ascii="宋体" w:hAnsi="宋体"/>
        </w:rPr>
        <w:t>）为本标段的监理人；</w:t>
      </w:r>
    </w:p>
    <w:p>
      <w:pPr>
        <w:spacing w:line="240" w:lineRule="exact"/>
        <w:ind w:firstLine="718" w:firstLineChars="342"/>
        <w:rPr>
          <w:rFonts w:ascii="宋体"/>
        </w:rPr>
      </w:pPr>
      <w:r>
        <w:rPr>
          <w:rFonts w:hint="eastAsia" w:ascii="宋体" w:hAnsi="宋体"/>
        </w:rPr>
        <w:t>（</w:t>
      </w:r>
      <w:r>
        <w:rPr>
          <w:rFonts w:ascii="宋体" w:hAnsi="宋体"/>
        </w:rPr>
        <w:t>4</w:t>
      </w:r>
      <w:r>
        <w:rPr>
          <w:rFonts w:hint="eastAsia" w:ascii="宋体" w:hAnsi="宋体"/>
        </w:rPr>
        <w:t>）为本标段的代建人；</w:t>
      </w:r>
    </w:p>
    <w:p>
      <w:pPr>
        <w:spacing w:line="240" w:lineRule="exact"/>
        <w:ind w:firstLine="718" w:firstLineChars="342"/>
        <w:rPr>
          <w:rFonts w:ascii="宋体"/>
        </w:rPr>
      </w:pPr>
      <w:r>
        <w:rPr>
          <w:rFonts w:hint="eastAsia" w:ascii="宋体" w:hAnsi="宋体"/>
        </w:rPr>
        <w:t>（</w:t>
      </w:r>
      <w:r>
        <w:rPr>
          <w:rFonts w:ascii="宋体" w:hAnsi="宋体"/>
        </w:rPr>
        <w:t>5</w:t>
      </w:r>
      <w:r>
        <w:rPr>
          <w:rFonts w:hint="eastAsia" w:ascii="宋体" w:hAnsi="宋体"/>
        </w:rPr>
        <w:t>）为本标段提供招标代理服务的；</w:t>
      </w:r>
    </w:p>
    <w:p>
      <w:pPr>
        <w:spacing w:line="240" w:lineRule="exact"/>
        <w:ind w:firstLine="718" w:firstLineChars="342"/>
        <w:rPr>
          <w:rFonts w:ascii="宋体"/>
        </w:rPr>
      </w:pPr>
      <w:r>
        <w:rPr>
          <w:rFonts w:hint="eastAsia" w:ascii="宋体" w:hAnsi="宋体"/>
        </w:rPr>
        <w:t>（</w:t>
      </w:r>
      <w:r>
        <w:rPr>
          <w:rFonts w:ascii="宋体" w:hAnsi="宋体"/>
        </w:rPr>
        <w:t>6</w:t>
      </w:r>
      <w:r>
        <w:rPr>
          <w:rFonts w:hint="eastAsia" w:ascii="宋体" w:hAnsi="宋体"/>
        </w:rPr>
        <w:t>）与本标段的监理人或代建人或同为一个法定代表人的；</w:t>
      </w:r>
    </w:p>
    <w:p>
      <w:pPr>
        <w:spacing w:line="240" w:lineRule="exact"/>
        <w:ind w:firstLine="718" w:firstLineChars="342"/>
        <w:rPr>
          <w:rFonts w:ascii="宋体"/>
        </w:rPr>
      </w:pPr>
      <w:r>
        <w:rPr>
          <w:rFonts w:hint="eastAsia" w:ascii="宋体" w:hAnsi="宋体"/>
        </w:rPr>
        <w:t>（</w:t>
      </w:r>
      <w:r>
        <w:rPr>
          <w:rFonts w:ascii="宋体" w:hAnsi="宋体"/>
        </w:rPr>
        <w:t>7</w:t>
      </w:r>
      <w:r>
        <w:rPr>
          <w:rFonts w:hint="eastAsia" w:ascii="宋体" w:hAnsi="宋体"/>
        </w:rPr>
        <w:t>）与本标段的监理人或代建人或相互控股或参股的；</w:t>
      </w:r>
    </w:p>
    <w:p>
      <w:pPr>
        <w:spacing w:line="240" w:lineRule="exact"/>
        <w:ind w:firstLine="718" w:firstLineChars="342"/>
        <w:rPr>
          <w:rFonts w:ascii="宋体"/>
        </w:rPr>
      </w:pPr>
      <w:r>
        <w:rPr>
          <w:rFonts w:hint="eastAsia" w:ascii="宋体" w:hAnsi="宋体"/>
        </w:rPr>
        <w:t>（</w:t>
      </w:r>
      <w:r>
        <w:rPr>
          <w:rFonts w:ascii="宋体" w:hAnsi="宋体"/>
        </w:rPr>
        <w:t>8</w:t>
      </w:r>
      <w:r>
        <w:rPr>
          <w:rFonts w:hint="eastAsia" w:ascii="宋体" w:hAnsi="宋体"/>
        </w:rPr>
        <w:t>）与本标段的监理人或代建人或相互任职或工作的；</w:t>
      </w:r>
    </w:p>
    <w:p>
      <w:pPr>
        <w:spacing w:line="240" w:lineRule="exact"/>
        <w:ind w:firstLine="735" w:firstLineChars="350"/>
        <w:rPr>
          <w:rFonts w:ascii="宋体"/>
        </w:rPr>
      </w:pPr>
      <w:r>
        <w:rPr>
          <w:rFonts w:hint="eastAsia" w:ascii="宋体" w:hAnsi="宋体"/>
        </w:rPr>
        <w:t>（</w:t>
      </w:r>
      <w:r>
        <w:rPr>
          <w:rFonts w:ascii="宋体" w:hAnsi="宋体"/>
        </w:rPr>
        <w:t>9</w:t>
      </w:r>
      <w:r>
        <w:rPr>
          <w:rFonts w:hint="eastAsia" w:ascii="宋体" w:hAnsi="宋体"/>
        </w:rPr>
        <w:t>）被责令停业的；</w:t>
      </w:r>
    </w:p>
    <w:p>
      <w:pPr>
        <w:spacing w:line="240" w:lineRule="exact"/>
        <w:ind w:firstLine="718" w:firstLineChars="342"/>
        <w:rPr>
          <w:rFonts w:ascii="宋体"/>
        </w:rPr>
      </w:pPr>
      <w:r>
        <w:rPr>
          <w:rFonts w:hint="eastAsia" w:ascii="宋体" w:hAnsi="宋体"/>
        </w:rPr>
        <w:t>（</w:t>
      </w:r>
      <w:r>
        <w:rPr>
          <w:rFonts w:ascii="宋体" w:hAnsi="宋体"/>
        </w:rPr>
        <w:t>10</w:t>
      </w:r>
      <w:r>
        <w:rPr>
          <w:rFonts w:hint="eastAsia" w:ascii="宋体" w:hAnsi="宋体"/>
        </w:rPr>
        <w:t>）被暂停或取消投标资格的；</w:t>
      </w:r>
    </w:p>
    <w:p>
      <w:pPr>
        <w:spacing w:line="240" w:lineRule="exact"/>
        <w:ind w:firstLine="718" w:firstLineChars="342"/>
        <w:rPr>
          <w:rFonts w:ascii="宋体"/>
        </w:rPr>
      </w:pPr>
      <w:r>
        <w:rPr>
          <w:rFonts w:hint="eastAsia" w:ascii="宋体" w:hAnsi="宋体"/>
        </w:rPr>
        <w:t>（</w:t>
      </w:r>
      <w:r>
        <w:rPr>
          <w:rFonts w:ascii="宋体" w:hAnsi="宋体"/>
        </w:rPr>
        <w:t>11</w:t>
      </w:r>
      <w:r>
        <w:rPr>
          <w:rFonts w:hint="eastAsia" w:ascii="宋体" w:hAnsi="宋体"/>
        </w:rPr>
        <w:t>）财产被接管或冻结的；</w:t>
      </w:r>
    </w:p>
    <w:p>
      <w:pPr>
        <w:spacing w:line="240" w:lineRule="exact"/>
        <w:ind w:firstLine="718" w:firstLineChars="342"/>
        <w:rPr>
          <w:rFonts w:ascii="宋体"/>
        </w:rPr>
      </w:pPr>
      <w:r>
        <w:rPr>
          <w:rFonts w:hint="eastAsia" w:ascii="宋体" w:hAnsi="宋体"/>
        </w:rPr>
        <w:t>（</w:t>
      </w:r>
      <w:r>
        <w:rPr>
          <w:rFonts w:ascii="宋体" w:hAnsi="宋体"/>
        </w:rPr>
        <w:t>12</w:t>
      </w:r>
      <w:r>
        <w:rPr>
          <w:rFonts w:hint="eastAsia" w:ascii="宋体" w:hAnsi="宋体"/>
        </w:rPr>
        <w:t>）在最近三年内有骗取中标或严重违约或严重失信或重大工程质量问题的。</w:t>
      </w:r>
    </w:p>
    <w:p>
      <w:pPr>
        <w:spacing w:line="320" w:lineRule="exact"/>
        <w:ind w:left="630" w:leftChars="200" w:hanging="210" w:hangingChars="100"/>
        <w:rPr>
          <w:rFonts w:ascii="宋体" w:cs="仿宋_GB2312"/>
          <w:kern w:val="0"/>
          <w:szCs w:val="21"/>
        </w:rPr>
      </w:pPr>
      <w:r>
        <w:rPr>
          <w:rFonts w:ascii="宋体" w:hAnsi="宋体"/>
        </w:rPr>
        <w:t xml:space="preserve">1.4.4 </w:t>
      </w:r>
      <w:r>
        <w:rPr>
          <w:rFonts w:hint="eastAsia" w:ascii="宋体" w:hAnsi="宋体"/>
        </w:rPr>
        <w:t>单位负责人为同一人或者存在控股、管理关系的不同单位，不得同时参加本招标项目投标。</w:t>
      </w:r>
    </w:p>
    <w:p>
      <w:pPr>
        <w:pStyle w:val="6"/>
      </w:pPr>
      <w:bookmarkStart w:id="35" w:name="_1.5_费用承担"/>
      <w:bookmarkEnd w:id="35"/>
      <w:bookmarkStart w:id="36" w:name="_1.4_投标人资格要求（适用于未进行资格预审的）"/>
      <w:bookmarkEnd w:id="36"/>
      <w:bookmarkStart w:id="37" w:name="_Toc266951046"/>
      <w:r>
        <w:rPr>
          <w:rFonts w:cs="TimesNewRomanPSMT"/>
        </w:rPr>
        <w:t xml:space="preserve">1.5 </w:t>
      </w:r>
      <w:r>
        <w:rPr>
          <w:rFonts w:hint="eastAsia"/>
        </w:rPr>
        <w:t>费用承担</w:t>
      </w:r>
      <w:bookmarkEnd w:id="37"/>
    </w:p>
    <w:p>
      <w:pPr>
        <w:ind w:firstLine="420" w:firstLineChars="200"/>
      </w:pPr>
      <w:r>
        <w:rPr>
          <w:rFonts w:hint="eastAsia" w:ascii="宋体" w:hAnsi="宋体" w:cs="Arial"/>
          <w:szCs w:val="21"/>
        </w:rPr>
        <w:t>投标人准备和参加投标活动所发生的费用自理。</w:t>
      </w:r>
    </w:p>
    <w:p>
      <w:pPr>
        <w:pStyle w:val="6"/>
        <w:rPr>
          <w:rFonts w:cs="黑体"/>
        </w:rPr>
      </w:pPr>
      <w:bookmarkStart w:id="38" w:name="_1.6_保密"/>
      <w:bookmarkEnd w:id="38"/>
      <w:bookmarkStart w:id="39" w:name="_Toc266951047"/>
      <w:r>
        <w:t xml:space="preserve">1.6 </w:t>
      </w:r>
      <w:r>
        <w:rPr>
          <w:rFonts w:hint="eastAsia" w:cs="黑体"/>
        </w:rPr>
        <w:t>保密</w:t>
      </w:r>
      <w:bookmarkEnd w:id="39"/>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参与招标投标活动的各方应对招标文件和投标文件中的商业和技术等秘密保密，违者应对由此造成的后果承担法律责任。</w:t>
      </w:r>
    </w:p>
    <w:p>
      <w:pPr>
        <w:pStyle w:val="6"/>
      </w:pPr>
      <w:bookmarkStart w:id="40" w:name="_1.7_语言文字"/>
      <w:bookmarkEnd w:id="40"/>
      <w:bookmarkStart w:id="41" w:name="_Toc266951048"/>
      <w:r>
        <w:rPr>
          <w:rFonts w:cs="TimesNewRomanPSMT"/>
        </w:rPr>
        <w:t xml:space="preserve">1.7 </w:t>
      </w:r>
      <w:r>
        <w:rPr>
          <w:rFonts w:hint="eastAsia"/>
        </w:rPr>
        <w:t>语言文字</w:t>
      </w:r>
      <w:bookmarkEnd w:id="41"/>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除专用术语外，与招标投标有关的语言均使用中文。必要时专用术语应附有中文注释。</w:t>
      </w:r>
    </w:p>
    <w:p>
      <w:pPr>
        <w:pStyle w:val="6"/>
      </w:pPr>
      <w:bookmarkStart w:id="42" w:name="_1.8_计量单位"/>
      <w:bookmarkEnd w:id="42"/>
      <w:bookmarkStart w:id="43" w:name="_Toc266951049"/>
      <w:r>
        <w:rPr>
          <w:rFonts w:cs="TimesNewRomanPSMT"/>
        </w:rPr>
        <w:t xml:space="preserve">1.8 </w:t>
      </w:r>
      <w:r>
        <w:rPr>
          <w:rFonts w:hint="eastAsia"/>
        </w:rPr>
        <w:t>计量单位</w:t>
      </w:r>
      <w:bookmarkEnd w:id="43"/>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所有计量均采用中华人民共和国法定计量单位。</w:t>
      </w:r>
    </w:p>
    <w:p>
      <w:pPr>
        <w:pStyle w:val="6"/>
      </w:pPr>
      <w:bookmarkStart w:id="44" w:name="_1.9_踏勘现场"/>
      <w:bookmarkEnd w:id="44"/>
      <w:bookmarkStart w:id="45" w:name="_Toc266951050"/>
      <w:r>
        <w:rPr>
          <w:rFonts w:cs="TimesNewRomanPSMT"/>
        </w:rPr>
        <w:t xml:space="preserve">1.9 </w:t>
      </w:r>
      <w:r>
        <w:rPr>
          <w:rFonts w:hint="eastAsia"/>
        </w:rPr>
        <w:t>踏勘现场</w:t>
      </w:r>
      <w:bookmarkEnd w:id="45"/>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1.9.1 </w:t>
      </w:r>
      <w:r>
        <w:fldChar w:fldCharType="begin"/>
      </w:r>
      <w:r>
        <w:instrText xml:space="preserve"> HYPERLINK "file:///H:\\泰州招标文件范本\\泰州市房屋建筑和市政工程施工2016.4.docx" \l "_踏勘现场"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规定组织踏勘现场的，招标人按</w:t>
      </w:r>
      <w:r>
        <w:fldChar w:fldCharType="begin"/>
      </w:r>
      <w:r>
        <w:instrText xml:space="preserve"> HYPERLINK "file:///H:\\泰州招标文件范本\\泰州市房屋建筑和市政工程施工2016.4.docx" \l "_踏勘现场"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规定的时间、地点组织投标人踏勘项目现场。</w:t>
      </w:r>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1.9.2 </w:t>
      </w:r>
      <w:r>
        <w:rPr>
          <w:rFonts w:hint="eastAsia" w:ascii="宋体" w:hAnsi="宋体" w:cs="仿宋_GB2312"/>
          <w:kern w:val="0"/>
          <w:szCs w:val="21"/>
        </w:rPr>
        <w:t>投标人踏勘现场发生的费用自理。</w:t>
      </w:r>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1.9.3 </w:t>
      </w:r>
      <w:r>
        <w:rPr>
          <w:rFonts w:hint="eastAsia" w:ascii="宋体" w:hAnsi="宋体" w:cs="仿宋_GB2312"/>
          <w:kern w:val="0"/>
          <w:szCs w:val="21"/>
        </w:rPr>
        <w:t>除招标人的原因外，投标人自行负责在踏勘现场中所发生的人员伤亡和财产损失。</w:t>
      </w:r>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1.9.4 </w:t>
      </w:r>
      <w:r>
        <w:rPr>
          <w:rFonts w:hint="eastAsia" w:ascii="宋体" w:hAnsi="宋体" w:cs="仿宋_GB2312"/>
          <w:kern w:val="0"/>
          <w:szCs w:val="21"/>
        </w:rPr>
        <w:t>招标人在踏勘现场中介绍的工程场地和相关的周边环境情况，供投标人在编制投标文件时参考，招标人不对投标人据此做出的判断和决策负责。</w:t>
      </w:r>
    </w:p>
    <w:p>
      <w:pPr>
        <w:pStyle w:val="6"/>
      </w:pPr>
      <w:bookmarkStart w:id="46" w:name="_1.10_投标预备会"/>
      <w:bookmarkEnd w:id="46"/>
      <w:bookmarkStart w:id="47" w:name="_Toc266951051"/>
      <w:r>
        <w:rPr>
          <w:rFonts w:cs="TimesNewRomanPSMT"/>
        </w:rPr>
        <w:t xml:space="preserve">1.10 </w:t>
      </w:r>
      <w:r>
        <w:rPr>
          <w:rFonts w:hint="eastAsia"/>
        </w:rPr>
        <w:t>投标预备会</w:t>
      </w:r>
      <w:bookmarkEnd w:id="47"/>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1.10.1 </w:t>
      </w:r>
      <w:r>
        <w:rPr>
          <w:rFonts w:hint="eastAsia" w:ascii="宋体" w:hAnsi="宋体" w:cs="仿宋_GB2312"/>
          <w:kern w:val="0"/>
          <w:szCs w:val="21"/>
        </w:rPr>
        <w:t>投标人须知前附表规定召开投标预备会的，招标人按</w:t>
      </w:r>
      <w:r>
        <w:fldChar w:fldCharType="begin"/>
      </w:r>
      <w:r>
        <w:instrText xml:space="preserve"> HYPERLINK "file:///H:\\泰州招标文件范本\\泰州市房屋建筑和市政工程施工2016.4.docx" \l "_投标预备会"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规定的时间和地点召开投标预备会，澄清投标人提出的问题。</w:t>
      </w:r>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1.10.2 </w:t>
      </w:r>
      <w:r>
        <w:fldChar w:fldCharType="begin"/>
      </w:r>
      <w:r>
        <w:instrText xml:space="preserve"> HYPERLINK "file:///H:\\泰州招标文件范本\\泰州市房屋建筑和市政工程施工2016.4.docx" \l "_投标预备会" </w:instrText>
      </w:r>
      <w:r>
        <w:fldChar w:fldCharType="separate"/>
      </w:r>
      <w:r>
        <w:rPr>
          <w:rStyle w:val="22"/>
          <w:rFonts w:hint="eastAsia" w:ascii="宋体" w:hAnsi="宋体" w:cs="仿宋_GB2312"/>
          <w:color w:val="auto"/>
          <w:szCs w:val="21"/>
        </w:rPr>
        <w:t>投标人应在投标人须知前附表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规定的时间前，以书面提问的方式将提出的问题通知招标人，以便招标人在会议期间澄清。</w:t>
      </w:r>
    </w:p>
    <w:p>
      <w:pPr>
        <w:autoSpaceDE w:val="0"/>
        <w:autoSpaceDN w:val="0"/>
        <w:adjustRightInd w:val="0"/>
        <w:ind w:firstLine="315" w:firstLineChars="150"/>
        <w:jc w:val="left"/>
        <w:rPr>
          <w:rFonts w:ascii="宋体" w:cs="仿宋_GB2312"/>
          <w:kern w:val="0"/>
          <w:szCs w:val="21"/>
        </w:rPr>
      </w:pPr>
      <w:r>
        <w:rPr>
          <w:rFonts w:ascii="宋体" w:hAnsi="宋体" w:cs="仿宋_GB2312"/>
          <w:kern w:val="0"/>
          <w:szCs w:val="21"/>
        </w:rPr>
        <w:t xml:space="preserve">1.10.3 </w:t>
      </w:r>
      <w:r>
        <w:rPr>
          <w:rFonts w:hint="eastAsia" w:ascii="宋体" w:hAnsi="宋体" w:cs="仿宋_GB2312"/>
          <w:kern w:val="0"/>
          <w:szCs w:val="21"/>
        </w:rPr>
        <w:t>投标预备会后，招标人在投标须知前附表规定的时间内，将对投标人所提问题的澄清，以书面的方式通知所有购买招标文件的投标人。该澄清内容为招标文件的组成部分。</w:t>
      </w:r>
    </w:p>
    <w:p>
      <w:pPr>
        <w:pStyle w:val="6"/>
        <w:rPr>
          <w:rFonts w:cs="黑体"/>
        </w:rPr>
      </w:pPr>
      <w:bookmarkStart w:id="48" w:name="_1.11_分包"/>
      <w:bookmarkEnd w:id="48"/>
      <w:bookmarkStart w:id="49" w:name="_Toc266951052"/>
      <w:r>
        <w:t xml:space="preserve">1.11 </w:t>
      </w:r>
      <w:r>
        <w:rPr>
          <w:rFonts w:hint="eastAsia" w:cs="黑体"/>
        </w:rPr>
        <w:t>分包</w:t>
      </w:r>
      <w:bookmarkEnd w:id="49"/>
    </w:p>
    <w:p>
      <w:pPr>
        <w:autoSpaceDE w:val="0"/>
        <w:autoSpaceDN w:val="0"/>
        <w:adjustRightInd w:val="0"/>
        <w:ind w:firstLine="315" w:firstLineChars="150"/>
        <w:jc w:val="left"/>
        <w:rPr>
          <w:rFonts w:ascii="宋体" w:cs="仿宋_GB2312"/>
          <w:kern w:val="0"/>
          <w:szCs w:val="21"/>
        </w:rPr>
      </w:pPr>
      <w:r>
        <w:rPr>
          <w:rFonts w:ascii="宋体" w:hAnsi="宋体" w:cs="仿宋_GB2312"/>
          <w:kern w:val="0"/>
          <w:szCs w:val="21"/>
        </w:rPr>
        <w:t>1.11.1</w:t>
      </w:r>
      <w:r>
        <w:rPr>
          <w:rFonts w:hint="eastAsia" w:ascii="宋体" w:hAnsi="宋体" w:cs="仿宋_GB2312"/>
          <w:kern w:val="0"/>
          <w:szCs w:val="21"/>
        </w:rPr>
        <w:t>投标人拟在中标后将中标项目的部分非主体、非关键性工作进行分包的，应符合</w:t>
      </w:r>
      <w:r>
        <w:fldChar w:fldCharType="begin"/>
      </w:r>
      <w:r>
        <w:instrText xml:space="preserve"> HYPERLINK "file:///H:\\泰州招标文件范本\\泰州市房屋建筑和市政工程施工2016.4.docx" \l "_分__包"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规定的分包内容、分包金额和接受分包（专业分包）的第三人资质要求等限制性条件。</w:t>
      </w:r>
    </w:p>
    <w:p>
      <w:pPr>
        <w:pStyle w:val="6"/>
        <w:rPr>
          <w:rFonts w:cs="黑体"/>
        </w:rPr>
      </w:pPr>
      <w:bookmarkStart w:id="50" w:name="_1.12_偏离"/>
      <w:bookmarkEnd w:id="50"/>
      <w:bookmarkStart w:id="51" w:name="_Toc266951053"/>
      <w:r>
        <w:t xml:space="preserve">1.12 </w:t>
      </w:r>
      <w:r>
        <w:rPr>
          <w:rFonts w:hint="eastAsia" w:cs="黑体"/>
        </w:rPr>
        <w:t>偏离</w:t>
      </w:r>
      <w:bookmarkEnd w:id="51"/>
    </w:p>
    <w:p>
      <w:pPr>
        <w:autoSpaceDE w:val="0"/>
        <w:autoSpaceDN w:val="0"/>
        <w:adjustRightInd w:val="0"/>
        <w:ind w:firstLine="315" w:firstLineChars="150"/>
        <w:jc w:val="left"/>
        <w:rPr>
          <w:rFonts w:ascii="宋体" w:cs="仿宋_GB2312"/>
          <w:kern w:val="0"/>
          <w:szCs w:val="21"/>
        </w:rPr>
      </w:pPr>
      <w:r>
        <w:rPr>
          <w:rFonts w:ascii="宋体" w:hAnsi="宋体" w:cs="仿宋_GB2312"/>
          <w:kern w:val="0"/>
          <w:szCs w:val="21"/>
        </w:rPr>
        <w:t xml:space="preserve">1.12.1 </w:t>
      </w:r>
      <w:r>
        <w:fldChar w:fldCharType="begin"/>
      </w:r>
      <w:r>
        <w:instrText xml:space="preserve"> HYPERLINK "file:///H:\\泰州招标文件范本\\泰州市房屋建筑和市政工程施工2016.4.docx" \l "_偏__离"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允许投标文件偏离招标文件某些要求的，偏离应当符合招标文件规定</w:t>
      </w:r>
      <w:r>
        <w:rPr>
          <w:rFonts w:hint="eastAsia"/>
          <w:kern w:val="0"/>
        </w:rPr>
        <w:t>的偏离范围和幅度。</w:t>
      </w:r>
    </w:p>
    <w:p>
      <w:pPr>
        <w:pStyle w:val="5"/>
        <w:rPr>
          <w:szCs w:val="28"/>
        </w:rPr>
      </w:pPr>
      <w:bookmarkStart w:id="52" w:name="_Toc275956103"/>
      <w:bookmarkStart w:id="53" w:name="_Toc266951054"/>
      <w:r>
        <w:rPr>
          <w:rFonts w:cs="TimesNewRomanPSMT"/>
        </w:rPr>
        <w:t xml:space="preserve">2. </w:t>
      </w:r>
      <w:r>
        <w:rPr>
          <w:rFonts w:hint="eastAsia"/>
        </w:rPr>
        <w:t>招标文件</w:t>
      </w:r>
      <w:bookmarkEnd w:id="52"/>
      <w:bookmarkEnd w:id="53"/>
    </w:p>
    <w:p>
      <w:pPr>
        <w:pStyle w:val="6"/>
      </w:pPr>
      <w:bookmarkStart w:id="54" w:name="_2.1_招标文件的组成"/>
      <w:bookmarkEnd w:id="54"/>
      <w:bookmarkStart w:id="55" w:name="_Toc266951055"/>
      <w:r>
        <w:t xml:space="preserve">2.1 </w:t>
      </w:r>
      <w:r>
        <w:rPr>
          <w:rFonts w:hint="eastAsia"/>
        </w:rPr>
        <w:t>招标文件的组成</w:t>
      </w:r>
      <w:bookmarkEnd w:id="55"/>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本招标文件包括：</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）招标公告；</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）投标人须知；</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3</w:t>
      </w:r>
      <w:r>
        <w:rPr>
          <w:rFonts w:hint="eastAsia" w:ascii="宋体" w:hAnsi="宋体" w:cs="仿宋_GB2312"/>
          <w:kern w:val="0"/>
          <w:szCs w:val="21"/>
        </w:rPr>
        <w:t>）评标办法；</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4</w:t>
      </w:r>
      <w:r>
        <w:rPr>
          <w:rFonts w:hint="eastAsia" w:ascii="宋体" w:hAnsi="宋体" w:cs="仿宋_GB2312"/>
          <w:kern w:val="0"/>
          <w:szCs w:val="21"/>
        </w:rPr>
        <w:t>）合同条款及格式；</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5</w:t>
      </w:r>
      <w:r>
        <w:rPr>
          <w:rFonts w:hint="eastAsia" w:ascii="宋体" w:hAnsi="宋体" w:cs="仿宋_GB2312"/>
          <w:kern w:val="0"/>
          <w:szCs w:val="21"/>
        </w:rPr>
        <w:t>）工程量清单；</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6</w:t>
      </w:r>
      <w:r>
        <w:rPr>
          <w:rFonts w:hint="eastAsia" w:ascii="宋体" w:hAnsi="宋体" w:cs="仿宋_GB2312"/>
          <w:kern w:val="0"/>
          <w:szCs w:val="21"/>
        </w:rPr>
        <w:t>）图纸；</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7</w:t>
      </w:r>
      <w:r>
        <w:rPr>
          <w:rFonts w:hint="eastAsia" w:ascii="宋体" w:hAnsi="宋体" w:cs="仿宋_GB2312"/>
          <w:kern w:val="0"/>
          <w:szCs w:val="21"/>
        </w:rPr>
        <w:t>）投标文件格式；</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w:t>
      </w:r>
      <w:r>
        <w:rPr>
          <w:rFonts w:hint="eastAsia" w:ascii="宋体" w:hAnsi="宋体" w:cs="TimesNewRomanPSMT"/>
          <w:kern w:val="0"/>
          <w:szCs w:val="21"/>
        </w:rPr>
        <w:t>8</w:t>
      </w:r>
      <w:r>
        <w:rPr>
          <w:rFonts w:hint="eastAsia" w:ascii="宋体" w:hAnsi="宋体" w:cs="仿宋_GB2312"/>
          <w:kern w:val="0"/>
          <w:szCs w:val="21"/>
        </w:rPr>
        <w:t>）</w:t>
      </w:r>
      <w:r>
        <w:fldChar w:fldCharType="begin"/>
      </w:r>
      <w:r>
        <w:instrText xml:space="preserve"> HYPERLINK "file:///H:\\泰州招标文件范本\\泰州市房屋建筑和市政工程施工2016.4.docx" \l "_招标文件的组成"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规定的其他材料。</w:t>
      </w:r>
    </w:p>
    <w:p>
      <w:pPr>
        <w:autoSpaceDE w:val="0"/>
        <w:autoSpaceDN w:val="0"/>
        <w:adjustRightInd w:val="0"/>
        <w:ind w:firstLine="420" w:firstLineChars="200"/>
        <w:jc w:val="left"/>
        <w:rPr>
          <w:rFonts w:ascii="宋体"/>
        </w:rPr>
      </w:pPr>
      <w:r>
        <w:rPr>
          <w:rFonts w:hint="eastAsia" w:ascii="宋体" w:hAnsi="宋体" w:cs="仿宋_GB2312"/>
          <w:kern w:val="0"/>
          <w:szCs w:val="21"/>
        </w:rPr>
        <w:t>根据本章</w:t>
      </w:r>
      <w:r>
        <w:fldChar w:fldCharType="begin"/>
      </w:r>
      <w:r>
        <w:instrText xml:space="preserve"> HYPERLINK "file:///H:\\泰州招标文件范本\\泰州市房屋建筑和市政工程施工2016.4.docx" \l "_1.10_投标预备会" </w:instrText>
      </w:r>
      <w:r>
        <w:fldChar w:fldCharType="separate"/>
      </w:r>
      <w:r>
        <w:rPr>
          <w:rStyle w:val="22"/>
          <w:rFonts w:hint="eastAsia" w:ascii="宋体" w:hAnsi="宋体" w:cs="仿宋_GB2312"/>
          <w:color w:val="auto"/>
          <w:szCs w:val="21"/>
        </w:rPr>
        <w:t>第</w:t>
      </w:r>
      <w:r>
        <w:rPr>
          <w:rStyle w:val="22"/>
          <w:rFonts w:ascii="宋体" w:hAnsi="宋体" w:cs="TimesNewRomanPSMT"/>
          <w:color w:val="auto"/>
          <w:szCs w:val="21"/>
        </w:rPr>
        <w:t>1.10</w:t>
      </w:r>
      <w:r>
        <w:rPr>
          <w:rStyle w:val="22"/>
          <w:rFonts w:hint="eastAsia" w:ascii="宋体" w:hAnsi="宋体" w:cs="仿宋_GB2312"/>
          <w:color w:val="auto"/>
          <w:szCs w:val="21"/>
        </w:rPr>
        <w:t>款</w:t>
      </w:r>
      <w:r>
        <w:rPr>
          <w:rStyle w:val="22"/>
          <w:rFonts w:hint="eastAsia" w:ascii="宋体" w:hAnsi="宋体" w:cs="仿宋_GB2312"/>
          <w:color w:val="auto"/>
          <w:szCs w:val="21"/>
        </w:rPr>
        <w:fldChar w:fldCharType="end"/>
      </w:r>
      <w:r>
        <w:rPr>
          <w:rFonts w:hint="eastAsia" w:ascii="宋体" w:hAnsi="宋体" w:cs="仿宋_GB2312"/>
          <w:kern w:val="0"/>
          <w:szCs w:val="21"/>
        </w:rPr>
        <w:t>、</w:t>
      </w:r>
      <w:r>
        <w:fldChar w:fldCharType="begin"/>
      </w:r>
      <w:r>
        <w:instrText xml:space="preserve"> HYPERLINK "file:///H:\\泰州招标文件范本\\泰州市房屋建筑和市政工程施工2016.4.docx" \l "_2.2_招标文件的澄清（适用于纸质招标文件）" </w:instrText>
      </w:r>
      <w:r>
        <w:fldChar w:fldCharType="separate"/>
      </w:r>
      <w:r>
        <w:rPr>
          <w:rStyle w:val="22"/>
          <w:rFonts w:hint="eastAsia" w:ascii="宋体" w:hAnsi="宋体" w:cs="仿宋_GB2312"/>
          <w:color w:val="auto"/>
          <w:szCs w:val="21"/>
        </w:rPr>
        <w:t>第</w:t>
      </w:r>
      <w:r>
        <w:rPr>
          <w:rStyle w:val="22"/>
          <w:rFonts w:ascii="宋体" w:hAnsi="宋体" w:cs="TimesNewRomanPSMT"/>
          <w:color w:val="auto"/>
          <w:szCs w:val="21"/>
        </w:rPr>
        <w:t>2.2</w:t>
      </w:r>
      <w:r>
        <w:rPr>
          <w:rStyle w:val="22"/>
          <w:rFonts w:hint="eastAsia" w:ascii="宋体" w:hAnsi="宋体" w:cs="仿宋_GB2312"/>
          <w:color w:val="auto"/>
          <w:szCs w:val="21"/>
        </w:rPr>
        <w:t>款</w:t>
      </w:r>
      <w:r>
        <w:rPr>
          <w:rStyle w:val="22"/>
          <w:rFonts w:hint="eastAsia" w:ascii="宋体" w:hAnsi="宋体" w:cs="仿宋_GB2312"/>
          <w:color w:val="auto"/>
          <w:szCs w:val="21"/>
        </w:rPr>
        <w:fldChar w:fldCharType="end"/>
      </w:r>
      <w:r>
        <w:rPr>
          <w:rFonts w:hint="eastAsia" w:ascii="宋体" w:hAnsi="宋体" w:cs="仿宋_GB2312"/>
          <w:kern w:val="0"/>
          <w:szCs w:val="21"/>
        </w:rPr>
        <w:t>和</w:t>
      </w:r>
      <w:r>
        <w:fldChar w:fldCharType="begin"/>
      </w:r>
      <w:r>
        <w:instrText xml:space="preserve"> HYPERLINK "file:///H:\\泰州招标文件范本\\泰州市房屋建筑和市政工程施工2016.4.docx" \l "_2.3_招标文件的修改" </w:instrText>
      </w:r>
      <w:r>
        <w:fldChar w:fldCharType="separate"/>
      </w:r>
      <w:r>
        <w:rPr>
          <w:rStyle w:val="22"/>
          <w:rFonts w:hint="eastAsia" w:ascii="宋体" w:hAnsi="宋体" w:cs="仿宋_GB2312"/>
          <w:color w:val="auto"/>
          <w:szCs w:val="21"/>
        </w:rPr>
        <w:t>第</w:t>
      </w:r>
      <w:r>
        <w:rPr>
          <w:rStyle w:val="22"/>
          <w:rFonts w:ascii="宋体" w:hAnsi="宋体" w:cs="TimesNewRomanPSMT"/>
          <w:color w:val="auto"/>
          <w:szCs w:val="21"/>
        </w:rPr>
        <w:t>2.3</w:t>
      </w:r>
      <w:r>
        <w:rPr>
          <w:rStyle w:val="22"/>
          <w:rFonts w:hint="eastAsia" w:ascii="宋体" w:hAnsi="宋体" w:cs="仿宋_GB2312"/>
          <w:color w:val="auto"/>
          <w:szCs w:val="21"/>
        </w:rPr>
        <w:t>款</w:t>
      </w:r>
      <w:r>
        <w:rPr>
          <w:rStyle w:val="22"/>
          <w:rFonts w:hint="eastAsia" w:ascii="宋体" w:hAnsi="宋体" w:cs="仿宋_GB2312"/>
          <w:color w:val="auto"/>
          <w:szCs w:val="21"/>
        </w:rPr>
        <w:fldChar w:fldCharType="end"/>
      </w:r>
      <w:r>
        <w:rPr>
          <w:rFonts w:hint="eastAsia" w:ascii="宋体" w:hAnsi="宋体" w:cs="仿宋_GB2312"/>
          <w:kern w:val="0"/>
          <w:szCs w:val="21"/>
        </w:rPr>
        <w:t>对招标文件所作的澄清、修改，构成招标文件的组成部分。</w:t>
      </w:r>
      <w:r>
        <w:rPr>
          <w:rFonts w:hint="eastAsia" w:ascii="宋体" w:hAnsi="宋体"/>
        </w:rPr>
        <w:t>当招标文件、招标文件的</w:t>
      </w:r>
      <w:r>
        <w:rPr>
          <w:rFonts w:hint="eastAsia"/>
        </w:rPr>
        <w:t>澄清、</w:t>
      </w:r>
      <w:r>
        <w:rPr>
          <w:rFonts w:hint="eastAsia" w:ascii="宋体" w:hAnsi="宋体"/>
        </w:rPr>
        <w:t>修改在同一内容表述不一致时，以最后发出的内容为准。</w:t>
      </w:r>
    </w:p>
    <w:p>
      <w:pPr>
        <w:pStyle w:val="6"/>
      </w:pPr>
      <w:bookmarkStart w:id="56" w:name="_2.2_招标文件的澄清"/>
      <w:bookmarkEnd w:id="56"/>
      <w:bookmarkStart w:id="57" w:name="_2.2_招标文件的澄清（适用于纸质招标文件）"/>
      <w:bookmarkEnd w:id="57"/>
      <w:bookmarkStart w:id="58" w:name="_Toc266951056"/>
      <w:r>
        <w:t xml:space="preserve">2.2 </w:t>
      </w:r>
      <w:r>
        <w:rPr>
          <w:rFonts w:hint="eastAsia"/>
        </w:rPr>
        <w:t>招标文件的澄清</w:t>
      </w:r>
      <w:bookmarkEnd w:id="58"/>
    </w:p>
    <w:p>
      <w:pPr>
        <w:autoSpaceDE w:val="0"/>
        <w:autoSpaceDN w:val="0"/>
        <w:adjustRightInd w:val="0"/>
        <w:spacing w:line="320" w:lineRule="exact"/>
        <w:ind w:firstLine="462" w:firstLineChars="220"/>
        <w:jc w:val="left"/>
        <w:rPr>
          <w:rFonts w:ascii="宋体" w:cs="仿宋_GB2312"/>
          <w:kern w:val="0"/>
          <w:szCs w:val="21"/>
        </w:rPr>
      </w:pPr>
      <w:r>
        <w:rPr>
          <w:rFonts w:ascii="宋体" w:hAnsi="宋体" w:cs="仿宋_GB2312"/>
          <w:kern w:val="0"/>
          <w:szCs w:val="21"/>
        </w:rPr>
        <w:t>2.2.1</w:t>
      </w:r>
      <w:r>
        <w:rPr>
          <w:rFonts w:hint="eastAsia" w:hAnsi="宋体"/>
          <w:szCs w:val="21"/>
        </w:rPr>
        <w:t>投标人应仔细阅读和检查招标文件的全部内容，如有疑问，应在投标人须知前附表规定的时间前通过书面形式要求招标人（招标代理）对招标文件予以澄清。</w:t>
      </w:r>
    </w:p>
    <w:p>
      <w:pPr>
        <w:autoSpaceDE w:val="0"/>
        <w:autoSpaceDN w:val="0"/>
        <w:adjustRightInd w:val="0"/>
        <w:spacing w:line="320" w:lineRule="exact"/>
        <w:ind w:firstLine="462" w:firstLineChars="220"/>
        <w:jc w:val="left"/>
        <w:rPr>
          <w:rFonts w:ascii="宋体" w:cs="仿宋_GB2312"/>
          <w:kern w:val="0"/>
          <w:szCs w:val="21"/>
        </w:rPr>
      </w:pPr>
      <w:r>
        <w:rPr>
          <w:rFonts w:ascii="宋体" w:hAnsi="宋体" w:cs="仿宋_GB2312"/>
          <w:kern w:val="0"/>
          <w:szCs w:val="21"/>
        </w:rPr>
        <w:t>2.2.2</w:t>
      </w:r>
      <w:r>
        <w:rPr>
          <w:rFonts w:hint="eastAsia" w:hAnsi="宋体"/>
          <w:szCs w:val="21"/>
        </w:rPr>
        <w:t>招标文件的澄清将在投标人须知前附表规定的投标截止时间</w:t>
      </w:r>
      <w:r>
        <w:rPr>
          <w:rFonts w:hint="eastAsia"/>
          <w:szCs w:val="21"/>
        </w:rPr>
        <w:t>3</w:t>
      </w:r>
      <w:r>
        <w:rPr>
          <w:rFonts w:hint="eastAsia" w:hAnsi="宋体"/>
          <w:szCs w:val="21"/>
        </w:rPr>
        <w:t>天前通过书面发布给所有购买招标文件的投标人。</w:t>
      </w:r>
      <w:r>
        <w:rPr>
          <w:rFonts w:hint="eastAsia" w:ascii="宋体" w:hAnsi="宋体" w:cs="仿宋_GB2312"/>
          <w:kern w:val="0"/>
          <w:szCs w:val="21"/>
        </w:rPr>
        <w:t>如果澄清文件发出的时间距投标截止时间不足3天，并且澄清内容影响投标文件编制的，将相应延长投标截止时间。</w:t>
      </w:r>
    </w:p>
    <w:p>
      <w:pPr>
        <w:pStyle w:val="6"/>
      </w:pPr>
      <w:bookmarkStart w:id="59" w:name="_2.3_招标文件的修改（适用于纸质招标文件）"/>
      <w:bookmarkEnd w:id="59"/>
      <w:bookmarkStart w:id="60" w:name="_2.3_招标文件的修改"/>
      <w:bookmarkEnd w:id="60"/>
      <w:bookmarkStart w:id="61" w:name="_Toc266951057"/>
      <w:r>
        <w:rPr>
          <w:rFonts w:cs="TimesNewRomanPSMT"/>
        </w:rPr>
        <w:t xml:space="preserve">2.3 </w:t>
      </w:r>
      <w:r>
        <w:rPr>
          <w:rFonts w:hint="eastAsia"/>
        </w:rPr>
        <w:t>招标文件的修改</w:t>
      </w:r>
      <w:bookmarkEnd w:id="61"/>
    </w:p>
    <w:p>
      <w:pPr>
        <w:spacing w:line="320" w:lineRule="exact"/>
        <w:ind w:firstLine="420" w:firstLineChars="200"/>
        <w:rPr>
          <w:rFonts w:ascii="宋体"/>
        </w:rPr>
      </w:pPr>
      <w:r>
        <w:rPr>
          <w:rFonts w:hint="eastAsia" w:ascii="宋体" w:hAnsi="宋体"/>
        </w:rPr>
        <w:t>2.3.1在投标截止时间 3天前，招标人可以对招标文件进行修改，同时将修改内容通过书面形式发布给所有购买招标文件的投标人。如果修改招标文件的时间距投标截止时间不足3天，并且修改内容影响投标文件编制的，将相应延长投标截止时间。</w:t>
      </w:r>
    </w:p>
    <w:p>
      <w:pPr>
        <w:pStyle w:val="5"/>
        <w:rPr>
          <w:szCs w:val="28"/>
        </w:rPr>
      </w:pPr>
      <w:bookmarkStart w:id="62" w:name="_3._投标文件"/>
      <w:bookmarkEnd w:id="62"/>
      <w:bookmarkStart w:id="63" w:name="_Toc266951058"/>
      <w:bookmarkStart w:id="64" w:name="_Toc275956104"/>
      <w:r>
        <w:rPr>
          <w:rFonts w:cs="TimesNewRomanPSMT"/>
        </w:rPr>
        <w:t xml:space="preserve">3. </w:t>
      </w:r>
      <w:r>
        <w:rPr>
          <w:rFonts w:hint="eastAsia"/>
        </w:rPr>
        <w:t>投标文件</w:t>
      </w:r>
      <w:bookmarkEnd w:id="63"/>
      <w:bookmarkEnd w:id="64"/>
    </w:p>
    <w:p>
      <w:pPr>
        <w:pStyle w:val="6"/>
      </w:pPr>
      <w:bookmarkStart w:id="65" w:name="_3.1_投标文件的组成"/>
      <w:bookmarkEnd w:id="65"/>
      <w:bookmarkStart w:id="66" w:name="_Toc266951059"/>
      <w:r>
        <w:rPr>
          <w:rFonts w:cs="TimesNewRomanPSMT"/>
        </w:rPr>
        <w:t xml:space="preserve">3.1 </w:t>
      </w:r>
      <w:r>
        <w:rPr>
          <w:rFonts w:hint="eastAsia"/>
        </w:rPr>
        <w:t>投标文件的组成</w:t>
      </w:r>
      <w:bookmarkEnd w:id="66"/>
    </w:p>
    <w:p>
      <w:pPr>
        <w:spacing w:line="320" w:lineRule="exact"/>
        <w:ind w:firstLine="210" w:firstLineChars="100"/>
        <w:rPr>
          <w:rFonts w:ascii="宋体" w:hAnsi="宋体" w:cs="TimesNewRomanPSMT"/>
          <w:kern w:val="0"/>
          <w:szCs w:val="21"/>
        </w:rPr>
      </w:pPr>
      <w:r>
        <w:rPr>
          <w:rFonts w:ascii="宋体" w:hAnsi="宋体" w:cs="TimesNewRomanPSMT"/>
          <w:kern w:val="0"/>
          <w:szCs w:val="21"/>
        </w:rPr>
        <w:t xml:space="preserve">3.1.1 </w:t>
      </w:r>
      <w:r>
        <w:rPr>
          <w:rFonts w:hint="eastAsia" w:ascii="宋体" w:hAnsi="宋体" w:cs="TimesNewRomanPSMT"/>
          <w:kern w:val="0"/>
          <w:szCs w:val="21"/>
        </w:rPr>
        <w:t>投标文件的组成见投标人须知前附表。</w:t>
      </w:r>
    </w:p>
    <w:p>
      <w:pPr>
        <w:spacing w:line="320" w:lineRule="exact"/>
        <w:ind w:firstLine="210" w:firstLineChars="100"/>
        <w:rPr>
          <w:rFonts w:ascii="宋体" w:hAnsi="宋体" w:cs="TimesNewRomanPSMT"/>
          <w:kern w:val="0"/>
          <w:szCs w:val="21"/>
        </w:rPr>
      </w:pPr>
      <w:r>
        <w:rPr>
          <w:rFonts w:ascii="宋体" w:hAnsi="宋体" w:cs="TimesNewRomanPSMT"/>
          <w:kern w:val="0"/>
          <w:szCs w:val="21"/>
        </w:rPr>
        <w:t xml:space="preserve">3.1.2 </w:t>
      </w:r>
      <w:r>
        <w:rPr>
          <w:rFonts w:hint="eastAsia" w:ascii="宋体" w:hAnsi="宋体" w:cs="TimesNewRomanPSMT"/>
          <w:kern w:val="0"/>
          <w:szCs w:val="21"/>
        </w:rPr>
        <w:t>七章“投标文件格式”要求提供相关证明材料的复印件作为附件的，投标人应按要求在投标文件中提供相应材料，否则不予认可。</w:t>
      </w:r>
    </w:p>
    <w:p>
      <w:pPr>
        <w:spacing w:line="320" w:lineRule="exact"/>
        <w:ind w:firstLine="210" w:firstLineChars="100"/>
        <w:rPr>
          <w:rFonts w:ascii="宋体" w:hAnsi="宋体" w:cs="TimesNewRomanPSMT"/>
          <w:kern w:val="0"/>
          <w:szCs w:val="21"/>
        </w:rPr>
      </w:pPr>
      <w:r>
        <w:rPr>
          <w:rFonts w:ascii="宋体" w:hAnsi="宋体" w:cs="TimesNewRomanPSMT"/>
          <w:kern w:val="0"/>
          <w:szCs w:val="21"/>
        </w:rPr>
        <w:t xml:space="preserve">3.1.3 </w:t>
      </w:r>
      <w:r>
        <w:rPr>
          <w:rFonts w:hint="eastAsia" w:ascii="宋体" w:hAnsi="宋体" w:cs="TimesNewRomanPSMT"/>
          <w:kern w:val="0"/>
          <w:szCs w:val="21"/>
        </w:rPr>
        <w:t>投标人应按投标人须知前附表的规定提供相关证明材料的原件，用于现场核验，否则不予认可。</w:t>
      </w:r>
    </w:p>
    <w:p>
      <w:pPr>
        <w:pStyle w:val="6"/>
      </w:pPr>
      <w:bookmarkStart w:id="67" w:name="_3.2_投标报价"/>
      <w:bookmarkEnd w:id="67"/>
      <w:bookmarkStart w:id="68" w:name="_Toc266951060"/>
      <w:r>
        <w:rPr>
          <w:rFonts w:cs="TimesNewRomanPSMT"/>
        </w:rPr>
        <w:t xml:space="preserve">3.2 </w:t>
      </w:r>
      <w:r>
        <w:rPr>
          <w:rFonts w:hint="eastAsia"/>
        </w:rPr>
        <w:t>投标报价</w:t>
      </w:r>
      <w:bookmarkEnd w:id="68"/>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3.2.1 </w:t>
      </w:r>
      <w:r>
        <w:rPr>
          <w:rFonts w:hint="eastAsia" w:ascii="宋体" w:hAnsi="宋体" w:cs="仿宋_GB2312"/>
          <w:kern w:val="0"/>
          <w:szCs w:val="21"/>
        </w:rPr>
        <w:t>投标人应按第五章“工程量清单”的要求填写相应表格。</w:t>
      </w:r>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3.2.2 </w:t>
      </w:r>
      <w:r>
        <w:rPr>
          <w:rFonts w:hint="eastAsia" w:ascii="宋体" w:hAnsi="宋体" w:cs="仿宋_GB2312"/>
          <w:kern w:val="0"/>
          <w:szCs w:val="21"/>
        </w:rPr>
        <w:t>投标人在投标截止时间前，若修改投标函中的投标总报价，应同时修改第五章“工程量清单”中的相应报价。此修改须符合</w:t>
      </w:r>
      <w:r>
        <w:fldChar w:fldCharType="begin"/>
      </w:r>
      <w:r>
        <w:instrText xml:space="preserve"> HYPERLINK "file:///H:\\泰州招标文件范本\\泰州市房屋建筑和市政工程施工2016.4.docx" \l "_4.3_投标文件的修改与撤回（适用于电子招标文件）" </w:instrText>
      </w:r>
      <w:r>
        <w:fldChar w:fldCharType="separate"/>
      </w:r>
      <w:r>
        <w:rPr>
          <w:rStyle w:val="22"/>
          <w:rFonts w:hint="eastAsia" w:ascii="宋体" w:hAnsi="宋体" w:cs="仿宋_GB2312"/>
          <w:color w:val="auto"/>
          <w:szCs w:val="21"/>
        </w:rPr>
        <w:t>本章第</w:t>
      </w:r>
      <w:r>
        <w:rPr>
          <w:rStyle w:val="22"/>
          <w:rFonts w:ascii="宋体" w:hAnsi="宋体" w:cs="TimesNewRomanPSMT"/>
          <w:color w:val="auto"/>
          <w:szCs w:val="21"/>
        </w:rPr>
        <w:t>4.3</w:t>
      </w:r>
      <w:r>
        <w:rPr>
          <w:rStyle w:val="22"/>
          <w:rFonts w:hint="eastAsia" w:ascii="宋体" w:hAnsi="宋体" w:cs="仿宋_GB2312"/>
          <w:color w:val="auto"/>
          <w:szCs w:val="21"/>
        </w:rPr>
        <w:t>款</w:t>
      </w:r>
      <w:r>
        <w:rPr>
          <w:rStyle w:val="22"/>
          <w:rFonts w:hint="eastAsia" w:ascii="宋体" w:hAnsi="宋体" w:cs="仿宋_GB2312"/>
          <w:color w:val="auto"/>
          <w:szCs w:val="21"/>
        </w:rPr>
        <w:fldChar w:fldCharType="end"/>
      </w:r>
      <w:r>
        <w:rPr>
          <w:rFonts w:hint="eastAsia" w:ascii="宋体" w:hAnsi="宋体" w:cs="仿宋_GB2312"/>
          <w:kern w:val="0"/>
          <w:szCs w:val="21"/>
        </w:rPr>
        <w:t>的有关要求。</w:t>
      </w:r>
    </w:p>
    <w:p>
      <w:pPr>
        <w:pStyle w:val="6"/>
      </w:pPr>
      <w:bookmarkStart w:id="69" w:name="_3.3_投标有效期"/>
      <w:bookmarkEnd w:id="69"/>
      <w:bookmarkStart w:id="70" w:name="_Toc266951061"/>
      <w:r>
        <w:rPr>
          <w:rFonts w:cs="TimesNewRomanPSMT"/>
        </w:rPr>
        <w:t xml:space="preserve">3.3 </w:t>
      </w:r>
      <w:r>
        <w:rPr>
          <w:rFonts w:hint="eastAsia"/>
        </w:rPr>
        <w:t>投标有效期</w:t>
      </w:r>
      <w:bookmarkEnd w:id="70"/>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3.3.1 </w:t>
      </w:r>
      <w:r>
        <w:rPr>
          <w:rFonts w:hint="eastAsia" w:ascii="宋体" w:hAnsi="宋体" w:cs="仿宋_GB2312"/>
          <w:kern w:val="0"/>
          <w:szCs w:val="21"/>
        </w:rPr>
        <w:t>在</w:t>
      </w:r>
      <w:r>
        <w:fldChar w:fldCharType="begin"/>
      </w:r>
      <w:r>
        <w:instrText xml:space="preserve"> HYPERLINK "file:///H:\\泰州招标文件范本\\泰州市房屋建筑和市政工程施工2016.4.docx" \l "_投标有效期"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规定的投标有效期内，投标人不得要求撤销或修改其投标文件。</w:t>
      </w:r>
    </w:p>
    <w:p>
      <w:pPr>
        <w:autoSpaceDE w:val="0"/>
        <w:autoSpaceDN w:val="0"/>
        <w:adjustRightInd w:val="0"/>
        <w:ind w:firstLine="315" w:firstLineChars="150"/>
        <w:jc w:val="left"/>
        <w:rPr>
          <w:rFonts w:ascii="宋体" w:cs="仿宋_GB2312"/>
          <w:kern w:val="0"/>
          <w:szCs w:val="21"/>
        </w:rPr>
      </w:pPr>
      <w:r>
        <w:rPr>
          <w:rFonts w:ascii="宋体" w:hAnsi="宋体" w:cs="TimesNewRomanPSMT"/>
          <w:kern w:val="0"/>
          <w:szCs w:val="21"/>
        </w:rPr>
        <w:t xml:space="preserve">3.3.2 </w:t>
      </w:r>
      <w:r>
        <w:rPr>
          <w:rFonts w:hint="eastAsia" w:ascii="宋体" w:hAnsi="宋体" w:cs="仿宋_GB2312"/>
          <w:kern w:val="0"/>
          <w:szCs w:val="21"/>
        </w:rPr>
        <w:t>出现特殊情况需要延长投标有效期的，</w:t>
      </w:r>
      <w:r>
        <w:rPr>
          <w:rFonts w:hint="eastAsia" w:hAnsi="宋体"/>
          <w:szCs w:val="21"/>
        </w:rPr>
        <w:t>招标人通过书面形式通知所有投标人延长投标有效期</w:t>
      </w:r>
      <w:r>
        <w:rPr>
          <w:rFonts w:hint="eastAsia" w:ascii="宋体" w:hAnsi="宋体" w:cs="仿宋_GB2312"/>
          <w:kern w:val="0"/>
          <w:szCs w:val="21"/>
        </w:rPr>
        <w:t>。投标人同意延长的，应相应延长其投标保证金的有效期，但不得要求或被允许修改或撤销其投标文件；投标人拒绝延长的，其投标失效，但投标人有权收回其投标保证金及利息。</w:t>
      </w:r>
    </w:p>
    <w:p>
      <w:pPr>
        <w:pStyle w:val="6"/>
      </w:pPr>
      <w:bookmarkStart w:id="71" w:name="_3.4_投标担保"/>
      <w:bookmarkEnd w:id="71"/>
      <w:bookmarkStart w:id="72" w:name="_Toc266951062"/>
      <w:r>
        <w:rPr>
          <w:rFonts w:cs="TimesNewRomanPSMT"/>
        </w:rPr>
        <w:t xml:space="preserve">3.4 </w:t>
      </w:r>
      <w:bookmarkEnd w:id="72"/>
      <w:r>
        <w:rPr>
          <w:rFonts w:hint="eastAsia"/>
        </w:rPr>
        <w:t>投标保证金</w:t>
      </w:r>
    </w:p>
    <w:p>
      <w:r>
        <w:rPr>
          <w:rFonts w:ascii="宋体"/>
        </w:rPr>
        <w:t>3.4.1</w:t>
      </w:r>
      <w:r>
        <w:rPr>
          <w:rFonts w:hint="eastAsia"/>
        </w:rPr>
        <w:t>投标人应按投标人须知前附表规定的金额、缴纳账号、担保形式和第七章</w:t>
      </w:r>
      <w:r>
        <w:t>“</w:t>
      </w:r>
      <w:r>
        <w:rPr>
          <w:rFonts w:hint="eastAsia"/>
        </w:rPr>
        <w:t>投标文件格式</w:t>
      </w:r>
      <w:r>
        <w:t>”</w:t>
      </w:r>
      <w:r>
        <w:rPr>
          <w:rFonts w:hint="eastAsia"/>
        </w:rPr>
        <w:t>规定的投标保证金格式递交投标保证金，并作为其投标文件的组成部分。投标人应充分考虑投标保证金在途时间，确保投标保证金在投标截止时间前到达负责受理投标保证金的单位帐户（采用银行保函和保证保险的除外）。联合体投标的，其投标保证金由牵头人递交，并应符合投标人须知前附表的规定。</w:t>
      </w:r>
    </w:p>
    <w:p>
      <w:pPr>
        <w:ind w:firstLine="420" w:firstLineChars="200"/>
        <w:rPr>
          <w:rFonts w:ascii="宋体"/>
          <w:szCs w:val="21"/>
        </w:rPr>
      </w:pPr>
      <w:r>
        <w:rPr>
          <w:rFonts w:hint="eastAsia"/>
        </w:rPr>
        <w:t>投标保证金（银行电汇或网上银行支付形式）必须从投标</w:t>
      </w:r>
      <w:r>
        <w:rPr>
          <w:rFonts w:hint="eastAsia" w:ascii="宋体" w:hAnsi="宋体"/>
          <w:szCs w:val="21"/>
        </w:rPr>
        <w:t>人的基本账户转出。</w:t>
      </w:r>
    </w:p>
    <w:p>
      <w:pPr>
        <w:spacing w:line="320" w:lineRule="exact"/>
        <w:ind w:firstLine="420" w:firstLineChars="200"/>
        <w:rPr>
          <w:rFonts w:ascii="宋体"/>
          <w:szCs w:val="21"/>
        </w:rPr>
      </w:pPr>
      <w:r>
        <w:rPr>
          <w:rFonts w:ascii="宋体" w:hAnsi="宋体"/>
          <w:szCs w:val="21"/>
        </w:rPr>
        <w:t>3.4.2</w:t>
      </w:r>
      <w:r>
        <w:rPr>
          <w:rFonts w:hint="eastAsia" w:ascii="宋体" w:hAnsi="宋体"/>
          <w:szCs w:val="21"/>
        </w:rPr>
        <w:t>投标人不按本章</w:t>
      </w:r>
      <w:r>
        <w:rPr>
          <w:rFonts w:ascii="宋体" w:hAnsi="宋体"/>
          <w:szCs w:val="21"/>
        </w:rPr>
        <w:t>3.4.1</w:t>
      </w:r>
      <w:r>
        <w:rPr>
          <w:rFonts w:hint="eastAsia" w:ascii="宋体" w:hAnsi="宋体"/>
          <w:szCs w:val="21"/>
        </w:rPr>
        <w:t>项要求提交投标保证金的，评标委员会应当否决其投标。</w:t>
      </w:r>
    </w:p>
    <w:p>
      <w:pPr>
        <w:spacing w:line="320" w:lineRule="exact"/>
        <w:ind w:firstLine="420" w:firstLineChars="200"/>
      </w:pPr>
      <w:r>
        <w:rPr>
          <w:rFonts w:ascii="宋体" w:hAnsi="宋体"/>
          <w:szCs w:val="21"/>
        </w:rPr>
        <w:t>3.4.3</w:t>
      </w:r>
      <w:r>
        <w:rPr>
          <w:rFonts w:hint="eastAsia"/>
        </w:rPr>
        <w:t>对投标人交纳的投标保证金应按投标人须知前附表。</w:t>
      </w:r>
    </w:p>
    <w:p>
      <w:pPr>
        <w:spacing w:line="320" w:lineRule="exact"/>
        <w:ind w:firstLine="420" w:firstLineChars="200"/>
        <w:rPr>
          <w:rFonts w:ascii="宋体"/>
          <w:szCs w:val="21"/>
        </w:rPr>
      </w:pPr>
      <w:r>
        <w:rPr>
          <w:rFonts w:ascii="宋体" w:hAnsi="宋体"/>
          <w:szCs w:val="21"/>
        </w:rPr>
        <w:t>3.4.4</w:t>
      </w:r>
      <w:r>
        <w:rPr>
          <w:rFonts w:hint="eastAsia" w:ascii="宋体" w:hAnsi="宋体"/>
          <w:szCs w:val="21"/>
        </w:rPr>
        <w:t>有下列情况之一的，投标保证金及利息将不予退还：</w:t>
      </w:r>
    </w:p>
    <w:p>
      <w:pPr>
        <w:spacing w:line="240" w:lineRule="exact"/>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）投标人在投标有效期内撤销或修改其投标文件的；</w:t>
      </w:r>
    </w:p>
    <w:p>
      <w:pPr>
        <w:spacing w:line="240" w:lineRule="exact"/>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）中标人在中标通知书发出</w:t>
      </w:r>
      <w:r>
        <w:rPr>
          <w:rFonts w:ascii="宋体" w:hAnsi="宋体" w:cs="宋体"/>
          <w:szCs w:val="21"/>
        </w:rPr>
        <w:t>30</w:t>
      </w:r>
      <w:r>
        <w:rPr>
          <w:rFonts w:hint="eastAsia" w:ascii="宋体" w:hAnsi="宋体" w:cs="宋体"/>
          <w:szCs w:val="21"/>
        </w:rPr>
        <w:t>日内，无正当理由拒签合同协议书的；</w:t>
      </w:r>
    </w:p>
    <w:p>
      <w:pPr>
        <w:spacing w:line="240" w:lineRule="exact"/>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）未按招标文件规定提交履约担保的；</w:t>
      </w:r>
    </w:p>
    <w:p>
      <w:pPr>
        <w:spacing w:line="240" w:lineRule="exact"/>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）经核查，存在弄虚作假、借资质、挂靠、围标、串标等违法违规行为的；</w:t>
      </w:r>
    </w:p>
    <w:p>
      <w:pPr>
        <w:spacing w:line="240" w:lineRule="exact"/>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）投标人进行虚假、恶意投诉，阻碍招投标活动的正常进行的；</w:t>
      </w:r>
    </w:p>
    <w:p>
      <w:pPr>
        <w:spacing w:line="240" w:lineRule="exact"/>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）法律法规规定的其他情形。</w:t>
      </w:r>
    </w:p>
    <w:p>
      <w:pPr>
        <w:pStyle w:val="6"/>
        <w:rPr>
          <w:rFonts w:cs="TimesNewRomanPSMT"/>
        </w:rPr>
      </w:pPr>
      <w:bookmarkStart w:id="73" w:name="_3.5_资格审查资料（适用于未进行资格预审的）"/>
      <w:bookmarkEnd w:id="73"/>
      <w:bookmarkStart w:id="74" w:name="_3.5_资格审查资料（适用于已进行资格预审的）"/>
      <w:bookmarkEnd w:id="74"/>
      <w:r>
        <w:rPr>
          <w:rFonts w:cs="TimesNewRomanPSMT"/>
        </w:rPr>
        <w:t xml:space="preserve">3.5 </w:t>
      </w:r>
      <w:r>
        <w:rPr>
          <w:rFonts w:hint="eastAsia" w:cs="TimesNewRomanPSMT"/>
        </w:rPr>
        <w:t>资格审查资料（适用于未进行资格预审的）</w:t>
      </w:r>
    </w:p>
    <w:p>
      <w:pPr>
        <w:autoSpaceDE w:val="0"/>
        <w:autoSpaceDN w:val="0"/>
        <w:adjustRightInd w:val="0"/>
        <w:ind w:firstLine="420" w:firstLineChars="200"/>
        <w:jc w:val="left"/>
        <w:rPr>
          <w:rFonts w:ascii="宋体" w:cs="仿宋_GB2312"/>
          <w:kern w:val="0"/>
          <w:szCs w:val="21"/>
        </w:rPr>
      </w:pPr>
      <w:r>
        <w:rPr>
          <w:rFonts w:ascii="宋体" w:hAnsi="宋体" w:cs="TimesNewRomanPSMT"/>
          <w:kern w:val="0"/>
          <w:szCs w:val="21"/>
        </w:rPr>
        <w:t xml:space="preserve">3.5.1 </w:t>
      </w:r>
      <w:r>
        <w:rPr>
          <w:rFonts w:hint="eastAsia" w:ascii="宋体" w:hAnsi="宋体" w:cs="仿宋_GB2312"/>
          <w:kern w:val="0"/>
          <w:szCs w:val="21"/>
        </w:rPr>
        <w:t>“投标人基本情况表”应附投标人营业执照副本、资质证书副本、安全生产许可证、企业基本存款账户开户许可证及年检合格的证明材料等原件的复印件。</w:t>
      </w:r>
    </w:p>
    <w:p>
      <w:pPr>
        <w:autoSpaceDE w:val="0"/>
        <w:autoSpaceDN w:val="0"/>
        <w:adjustRightInd w:val="0"/>
        <w:ind w:firstLine="420" w:firstLineChars="200"/>
        <w:jc w:val="left"/>
        <w:rPr>
          <w:rFonts w:ascii="宋体" w:cs="TimesNewRomanPSMT"/>
          <w:kern w:val="0"/>
          <w:szCs w:val="21"/>
        </w:rPr>
      </w:pPr>
      <w:r>
        <w:rPr>
          <w:rFonts w:ascii="宋体" w:hAnsi="宋体" w:cs="TimesNewRomanPSMT"/>
          <w:kern w:val="0"/>
          <w:szCs w:val="21"/>
        </w:rPr>
        <w:t xml:space="preserve">3.5.2 </w:t>
      </w:r>
      <w:r>
        <w:rPr>
          <w:rFonts w:hint="eastAsia" w:ascii="宋体" w:hAnsi="宋体" w:cs="TimesNewRomanPSMT"/>
          <w:kern w:val="0"/>
          <w:szCs w:val="21"/>
        </w:rPr>
        <w:t>“项目经理简历表”</w:t>
      </w:r>
      <w:r>
        <w:rPr>
          <w:rFonts w:hint="eastAsia" w:ascii="宋体" w:hAnsi="宋体" w:cs="仿宋_GB2312"/>
          <w:kern w:val="0"/>
          <w:szCs w:val="21"/>
        </w:rPr>
        <w:t>应附建造师注册执业资格证书、安全考核合格证书</w:t>
      </w:r>
      <w:r>
        <w:rPr>
          <w:rFonts w:ascii="宋体" w:hAnsi="宋体" w:cs="仿宋_GB2312"/>
          <w:kern w:val="0"/>
          <w:szCs w:val="21"/>
        </w:rPr>
        <w:t>(B</w:t>
      </w:r>
      <w:r>
        <w:rPr>
          <w:rFonts w:hint="eastAsia" w:ascii="宋体" w:hAnsi="宋体" w:cs="仿宋_GB2312"/>
          <w:kern w:val="0"/>
          <w:szCs w:val="21"/>
        </w:rPr>
        <w:t>证</w:t>
      </w:r>
      <w:r>
        <w:rPr>
          <w:rFonts w:ascii="宋体" w:hAnsi="宋体" w:cs="仿宋_GB2312"/>
          <w:kern w:val="0"/>
          <w:szCs w:val="21"/>
        </w:rPr>
        <w:t xml:space="preserve">) </w:t>
      </w:r>
      <w:r>
        <w:rPr>
          <w:rFonts w:hint="eastAsia" w:ascii="宋体" w:hAnsi="宋体" w:cs="仿宋_GB2312"/>
          <w:kern w:val="0"/>
          <w:szCs w:val="21"/>
        </w:rPr>
        <w:t>及年检合格的证明材料等原件的复印件。</w:t>
      </w:r>
    </w:p>
    <w:p>
      <w:pPr>
        <w:pStyle w:val="6"/>
      </w:pPr>
      <w:bookmarkStart w:id="75" w:name="_3.6_备选投标方案"/>
      <w:bookmarkEnd w:id="75"/>
      <w:bookmarkStart w:id="76" w:name="_Toc266951064"/>
      <w:r>
        <w:rPr>
          <w:rFonts w:cs="TimesNewRomanPSMT"/>
        </w:rPr>
        <w:t xml:space="preserve">3.6 </w:t>
      </w:r>
      <w:r>
        <w:rPr>
          <w:rFonts w:hint="eastAsia"/>
        </w:rPr>
        <w:t>备选投标方案</w:t>
      </w:r>
      <w:bookmarkEnd w:id="76"/>
    </w:p>
    <w:p>
      <w:pPr>
        <w:autoSpaceDE w:val="0"/>
        <w:autoSpaceDN w:val="0"/>
        <w:adjustRightInd w:val="0"/>
        <w:ind w:firstLine="420" w:firstLineChars="200"/>
        <w:jc w:val="left"/>
        <w:rPr>
          <w:rFonts w:ascii="宋体" w:cs="仿宋_GB2312"/>
          <w:kern w:val="0"/>
          <w:szCs w:val="21"/>
        </w:rPr>
      </w:pPr>
      <w:r>
        <w:rPr>
          <w:rFonts w:hint="eastAsia" w:ascii="宋体" w:hAnsi="宋体" w:cs="仿宋_GB2312"/>
          <w:kern w:val="0"/>
          <w:szCs w:val="21"/>
        </w:rPr>
        <w:t>除</w:t>
      </w:r>
      <w:r>
        <w:fldChar w:fldCharType="begin"/>
      </w:r>
      <w:r>
        <w:instrText xml:space="preserve"> HYPERLINK "file:///H:\\泰州招标文件范本\\泰州市房屋建筑和市政工程施工2016.4.docx" \l "_备选投标方案"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6"/>
      </w:pPr>
      <w:bookmarkStart w:id="77" w:name="_3.7_投标文件的编制"/>
      <w:bookmarkEnd w:id="77"/>
      <w:bookmarkStart w:id="78" w:name="_3.7_投标文件的编制（适用于纸质招标文件）"/>
      <w:bookmarkEnd w:id="78"/>
      <w:bookmarkStart w:id="79" w:name="_Toc266951065"/>
      <w:r>
        <w:rPr>
          <w:rFonts w:cs="TimesNewRomanPSMT"/>
        </w:rPr>
        <w:t xml:space="preserve">3.7 </w:t>
      </w:r>
      <w:r>
        <w:rPr>
          <w:rFonts w:hint="eastAsia"/>
        </w:rPr>
        <w:t>投标文件的编制</w:t>
      </w:r>
      <w:bookmarkEnd w:id="79"/>
    </w:p>
    <w:p>
      <w:pPr>
        <w:autoSpaceDE w:val="0"/>
        <w:autoSpaceDN w:val="0"/>
        <w:adjustRightInd w:val="0"/>
        <w:spacing w:line="320" w:lineRule="exact"/>
        <w:ind w:firstLine="420" w:firstLineChars="200"/>
        <w:jc w:val="left"/>
        <w:rPr>
          <w:rFonts w:ascii="宋体" w:cs="仿宋_GB2312"/>
          <w:kern w:val="0"/>
          <w:szCs w:val="21"/>
        </w:rPr>
      </w:pPr>
      <w:r>
        <w:rPr>
          <w:rFonts w:ascii="宋体" w:hAnsi="宋体" w:cs="仿宋_GB2312"/>
          <w:kern w:val="0"/>
          <w:szCs w:val="21"/>
        </w:rPr>
        <w:t xml:space="preserve">3.7.1 </w:t>
      </w:r>
      <w:r>
        <w:rPr>
          <w:rFonts w:hint="eastAsia" w:ascii="宋体" w:hAnsi="宋体" w:cs="仿宋_GB2312"/>
          <w:kern w:val="0"/>
          <w:szCs w:val="21"/>
        </w:rPr>
        <w:t>投标文件应按第五章“</w:t>
      </w:r>
      <w:r>
        <w:fldChar w:fldCharType="begin"/>
      </w:r>
      <w:r>
        <w:instrText xml:space="preserve"> HYPERLINK "file:///H:\\泰州招标文件范本\\泰州市房屋建筑和市政工程施工2016.4.docx" \l "_第八章__投标文件格式" </w:instrText>
      </w:r>
      <w:r>
        <w:fldChar w:fldCharType="separate"/>
      </w:r>
      <w:r>
        <w:rPr>
          <w:rStyle w:val="22"/>
          <w:rFonts w:hint="eastAsia" w:ascii="宋体" w:hAnsi="宋体" w:cs="仿宋_GB2312"/>
          <w:color w:val="auto"/>
          <w:szCs w:val="21"/>
        </w:rPr>
        <w:t>投标文件格式</w:t>
      </w:r>
      <w:r>
        <w:rPr>
          <w:rStyle w:val="22"/>
          <w:rFonts w:hint="eastAsia" w:ascii="宋体" w:hAnsi="宋体" w:cs="仿宋_GB2312"/>
          <w:color w:val="auto"/>
          <w:szCs w:val="21"/>
        </w:rPr>
        <w:fldChar w:fldCharType="end"/>
      </w:r>
      <w:r>
        <w:rPr>
          <w:rFonts w:hint="eastAsia" w:ascii="宋体" w:hAnsi="宋体" w:cs="仿宋_GB2312"/>
          <w:kern w:val="0"/>
          <w:szCs w:val="21"/>
        </w:rPr>
        <w:t>”进行编写，如有必要，可以增加附页，作为投标文件的组成部分。其中，投标函附录在满足招标文件实质性要求的基础上，可以提出比招标文件要求更有利于招标人的承诺。</w:t>
      </w:r>
    </w:p>
    <w:p>
      <w:pPr>
        <w:autoSpaceDE w:val="0"/>
        <w:autoSpaceDN w:val="0"/>
        <w:adjustRightInd w:val="0"/>
        <w:spacing w:line="320" w:lineRule="exact"/>
        <w:ind w:firstLine="420" w:firstLineChars="200"/>
        <w:jc w:val="left"/>
        <w:rPr>
          <w:rFonts w:ascii="宋体" w:cs="仿宋_GB2312"/>
          <w:kern w:val="0"/>
          <w:szCs w:val="21"/>
        </w:rPr>
      </w:pPr>
      <w:r>
        <w:rPr>
          <w:rFonts w:ascii="宋体" w:hAnsi="宋体" w:cs="仿宋_GB2312"/>
          <w:kern w:val="0"/>
          <w:szCs w:val="21"/>
        </w:rPr>
        <w:t xml:space="preserve">3.7.2 </w:t>
      </w:r>
      <w:r>
        <w:rPr>
          <w:rFonts w:hint="eastAsia" w:ascii="宋体" w:hAnsi="宋体" w:cs="仿宋_GB2312"/>
          <w:kern w:val="0"/>
          <w:szCs w:val="21"/>
        </w:rPr>
        <w:t>投标文件必须对招标文件有关工期、投标有效期、质量要求、技术标准和要求、招标范围等实质性内容作出响应。</w:t>
      </w:r>
    </w:p>
    <w:p>
      <w:pPr>
        <w:autoSpaceDE w:val="0"/>
        <w:autoSpaceDN w:val="0"/>
        <w:adjustRightInd w:val="0"/>
        <w:spacing w:line="320" w:lineRule="exact"/>
        <w:ind w:firstLine="420" w:firstLineChars="200"/>
        <w:jc w:val="left"/>
        <w:rPr>
          <w:rFonts w:ascii="宋体" w:hAnsi="宋体" w:cs="仿宋_GB2312"/>
          <w:kern w:val="0"/>
          <w:szCs w:val="21"/>
        </w:rPr>
      </w:pPr>
      <w:r>
        <w:rPr>
          <w:rFonts w:hint="eastAsia" w:ascii="宋体" w:hAnsi="宋体" w:cs="仿宋_GB2312"/>
          <w:kern w:val="0"/>
          <w:szCs w:val="21"/>
        </w:rPr>
        <w:t>3.7.3 投标文件必须编制一份“正本”和“二份”副本，并在投标文件封面上应清楚的标记“正本”或“副本”的字样。正本和副本如有不一致之处，以正本为准。</w:t>
      </w:r>
    </w:p>
    <w:p>
      <w:pPr>
        <w:autoSpaceDE w:val="0"/>
        <w:autoSpaceDN w:val="0"/>
        <w:adjustRightInd w:val="0"/>
        <w:spacing w:line="320" w:lineRule="exact"/>
        <w:ind w:firstLine="420" w:firstLineChars="200"/>
        <w:jc w:val="left"/>
        <w:rPr>
          <w:rFonts w:hAnsi="宋体"/>
          <w:szCs w:val="21"/>
        </w:rPr>
      </w:pPr>
      <w:r>
        <w:rPr>
          <w:rFonts w:hint="eastAsia" w:ascii="宋体" w:hAnsi="宋体" w:cs="仿宋_GB2312"/>
          <w:kern w:val="0"/>
          <w:szCs w:val="21"/>
        </w:rPr>
        <w:t>3.7.4 全套投标文件应无修改和行间插字。如有修改，必须保证文件清晰整洁，并在修改处加盖投标人法定代表人或其委托代理人的印章。</w:t>
      </w:r>
      <w:r>
        <w:rPr>
          <w:rFonts w:hint="eastAsia" w:hAnsi="宋体"/>
          <w:szCs w:val="21"/>
        </w:rPr>
        <w:t>委托代理人签字的，投标文件应附法定代表人签署的授权委托书。签字或盖章的具体要求见</w:t>
      </w:r>
      <w:r>
        <w:fldChar w:fldCharType="begin"/>
      </w:r>
      <w:r>
        <w:instrText xml:space="preserve"> HYPERLINK \l "_投标文件的编制" </w:instrText>
      </w:r>
      <w:r>
        <w:fldChar w:fldCharType="separate"/>
      </w:r>
      <w:r>
        <w:rPr>
          <w:rFonts w:hint="eastAsia"/>
          <w:szCs w:val="21"/>
        </w:rPr>
        <w:t>投标人须知前附表</w:t>
      </w:r>
      <w:r>
        <w:rPr>
          <w:rFonts w:hint="eastAsia"/>
          <w:szCs w:val="21"/>
        </w:rPr>
        <w:fldChar w:fldCharType="end"/>
      </w:r>
      <w:r>
        <w:rPr>
          <w:rFonts w:hint="eastAsia" w:hAnsi="宋体"/>
          <w:szCs w:val="21"/>
        </w:rPr>
        <w:t>。</w:t>
      </w:r>
    </w:p>
    <w:p>
      <w:pPr>
        <w:pStyle w:val="5"/>
        <w:spacing w:line="320" w:lineRule="exact"/>
        <w:rPr>
          <w:rFonts w:cs="黑体"/>
        </w:rPr>
      </w:pPr>
      <w:bookmarkStart w:id="80" w:name="_4._投标"/>
      <w:bookmarkEnd w:id="80"/>
      <w:bookmarkStart w:id="81" w:name="_Toc275956105"/>
      <w:bookmarkStart w:id="82" w:name="_Toc266951066"/>
      <w:r>
        <w:t xml:space="preserve">4. </w:t>
      </w:r>
      <w:r>
        <w:rPr>
          <w:rFonts w:hint="eastAsia" w:cs="黑体"/>
        </w:rPr>
        <w:t>投标</w:t>
      </w:r>
      <w:bookmarkEnd w:id="81"/>
      <w:bookmarkEnd w:id="82"/>
    </w:p>
    <w:p>
      <w:pPr>
        <w:pStyle w:val="6"/>
      </w:pPr>
      <w:bookmarkStart w:id="83" w:name="_4.1_投标文件的密封和标记（适用于纸质投标文件）"/>
      <w:bookmarkEnd w:id="83"/>
      <w:bookmarkStart w:id="84" w:name="_4.1_投标文件的密封和标记（适用于电子投标文件）"/>
      <w:bookmarkEnd w:id="84"/>
      <w:bookmarkStart w:id="85" w:name="_Toc266951068"/>
      <w:r>
        <w:rPr>
          <w:rFonts w:cs="TimesNewRomanPSMT"/>
        </w:rPr>
        <w:t xml:space="preserve">4.1 </w:t>
      </w:r>
      <w:r>
        <w:rPr>
          <w:rFonts w:hint="eastAsia"/>
        </w:rPr>
        <w:t>投标文件的密封和标记</w:t>
      </w:r>
      <w:bookmarkEnd w:id="85"/>
    </w:p>
    <w:p>
      <w:pPr>
        <w:autoSpaceDE w:val="0"/>
        <w:autoSpaceDN w:val="0"/>
        <w:adjustRightInd w:val="0"/>
        <w:ind w:firstLine="315" w:firstLineChars="150"/>
        <w:jc w:val="left"/>
        <w:rPr>
          <w:rFonts w:ascii="宋体" w:hAnsi="宋体" w:cs="仿宋_GB2312"/>
          <w:kern w:val="0"/>
          <w:szCs w:val="21"/>
        </w:rPr>
      </w:pPr>
      <w:r>
        <w:rPr>
          <w:rFonts w:ascii="宋体" w:hAnsi="宋体" w:cs="仿宋_GB2312"/>
          <w:kern w:val="0"/>
          <w:szCs w:val="21"/>
        </w:rPr>
        <w:t xml:space="preserve">4.1.1 </w:t>
      </w:r>
      <w:r>
        <w:rPr>
          <w:rFonts w:hint="eastAsia" w:ascii="宋体" w:hAnsi="宋体" w:cs="仿宋_GB2312"/>
          <w:kern w:val="0"/>
          <w:szCs w:val="21"/>
        </w:rPr>
        <w:t>投标文件必须密封封装，并在封袋上注明投标人名称、工程名称及袋内所装材料目录。封袋上必须加盖投标人法人章及其法定代表人或其委托的代理人的印章。</w:t>
      </w:r>
    </w:p>
    <w:p>
      <w:pPr>
        <w:pStyle w:val="6"/>
      </w:pPr>
      <w:bookmarkStart w:id="86" w:name="_4.2_投标文件的递交（适用于纸质投标文件）"/>
      <w:bookmarkEnd w:id="86"/>
      <w:bookmarkStart w:id="87" w:name="_Toc266951070"/>
      <w:r>
        <w:rPr>
          <w:rFonts w:cs="TimesNewRomanPSMT"/>
        </w:rPr>
        <w:t xml:space="preserve">4.2 </w:t>
      </w:r>
      <w:r>
        <w:rPr>
          <w:rFonts w:hint="eastAsia"/>
        </w:rPr>
        <w:t>投标文件的递交</w:t>
      </w:r>
      <w:bookmarkEnd w:id="87"/>
    </w:p>
    <w:p>
      <w:pPr>
        <w:ind w:firstLine="315" w:firstLineChars="150"/>
        <w:rPr>
          <w:rFonts w:ascii="宋体"/>
        </w:rPr>
      </w:pPr>
      <w:r>
        <w:rPr>
          <w:rFonts w:ascii="宋体" w:hAnsi="宋体"/>
        </w:rPr>
        <w:t>4.2.1</w:t>
      </w:r>
      <w:r>
        <w:rPr>
          <w:rFonts w:hint="eastAsia" w:hAnsi="宋体"/>
          <w:szCs w:val="21"/>
        </w:rPr>
        <w:t>投标人应在本章第</w:t>
      </w:r>
      <w:r>
        <w:rPr>
          <w:rFonts w:hAnsi="宋体"/>
          <w:szCs w:val="21"/>
        </w:rPr>
        <w:t xml:space="preserve">2.2.2 </w:t>
      </w:r>
      <w:r>
        <w:rPr>
          <w:rFonts w:hint="eastAsia" w:hAnsi="宋体"/>
          <w:szCs w:val="21"/>
        </w:rPr>
        <w:t>项规定的投标截止时间前，递交投标文件</w:t>
      </w:r>
      <w:r>
        <w:rPr>
          <w:rFonts w:hint="eastAsia" w:ascii="宋体" w:hAnsi="宋体"/>
        </w:rPr>
        <w:t>；未在投标截止时间前送达的投标文件视为逾期送达。</w:t>
      </w:r>
    </w:p>
    <w:p>
      <w:pPr>
        <w:ind w:firstLine="315" w:firstLineChars="150"/>
        <w:rPr>
          <w:rFonts w:ascii="宋体"/>
        </w:rPr>
      </w:pPr>
      <w:r>
        <w:rPr>
          <w:rFonts w:ascii="宋体" w:hAnsi="宋体"/>
        </w:rPr>
        <w:t xml:space="preserve">4.2.2 </w:t>
      </w:r>
      <w:r>
        <w:rPr>
          <w:rFonts w:hint="eastAsia" w:ascii="宋体" w:hAnsi="宋体"/>
        </w:rPr>
        <w:t>投标人递交投标文件的形式及地点：见</w:t>
      </w:r>
      <w:r>
        <w:fldChar w:fldCharType="begin"/>
      </w:r>
      <w:r>
        <w:instrText xml:space="preserve"> HYPERLINK "file:///H:\\泰州招标文件范本\\泰州市房屋建筑和市政工程施工2016.4.docx" \l "_投标文件的递交" </w:instrText>
      </w:r>
      <w:r>
        <w:fldChar w:fldCharType="separate"/>
      </w:r>
      <w:r>
        <w:rPr>
          <w:rStyle w:val="22"/>
          <w:rFonts w:hint="eastAsia" w:ascii="宋体" w:hAnsi="宋体"/>
          <w:color w:val="auto"/>
        </w:rPr>
        <w:t>投标人须知前附表</w:t>
      </w:r>
      <w:r>
        <w:rPr>
          <w:rStyle w:val="22"/>
          <w:rFonts w:hint="eastAsia" w:ascii="宋体" w:hAnsi="宋体"/>
          <w:color w:val="auto"/>
        </w:rPr>
        <w:fldChar w:fldCharType="end"/>
      </w:r>
      <w:r>
        <w:rPr>
          <w:rFonts w:hint="eastAsia" w:ascii="宋体" w:hAnsi="宋体"/>
        </w:rPr>
        <w:t>。</w:t>
      </w:r>
    </w:p>
    <w:p>
      <w:pPr>
        <w:ind w:firstLine="315" w:firstLineChars="150"/>
        <w:rPr>
          <w:rFonts w:ascii="宋体"/>
        </w:rPr>
      </w:pPr>
      <w:r>
        <w:rPr>
          <w:rFonts w:ascii="宋体" w:hAnsi="宋体"/>
        </w:rPr>
        <w:t>4.2.</w:t>
      </w:r>
      <w:r>
        <w:rPr>
          <w:rFonts w:hint="eastAsia" w:ascii="宋体" w:hAnsi="宋体"/>
        </w:rPr>
        <w:t>3逾期或未按规定方式递交的投标文件，招标人不予受理或作无效投标文件处理。</w:t>
      </w:r>
    </w:p>
    <w:p>
      <w:pPr>
        <w:pStyle w:val="6"/>
      </w:pPr>
      <w:bookmarkStart w:id="88" w:name="_4.3_投标文件的修改与撤回（适用于电子招标文件）"/>
      <w:bookmarkEnd w:id="88"/>
      <w:bookmarkStart w:id="89" w:name="_4.3_投标文件的修改与撤回（适用于纸质投标文件）"/>
      <w:bookmarkEnd w:id="89"/>
      <w:bookmarkStart w:id="90" w:name="_Toc266951072"/>
      <w:r>
        <w:rPr>
          <w:rFonts w:cs="TimesNewRomanPSMT"/>
        </w:rPr>
        <w:t xml:space="preserve">4.3 </w:t>
      </w:r>
      <w:r>
        <w:rPr>
          <w:rFonts w:hint="eastAsia"/>
        </w:rPr>
        <w:t>投标文件的修改与撤回</w:t>
      </w:r>
      <w:bookmarkEnd w:id="90"/>
    </w:p>
    <w:p>
      <w:pPr>
        <w:spacing w:line="360" w:lineRule="exact"/>
        <w:ind w:firstLine="210" w:firstLineChars="100"/>
        <w:rPr>
          <w:rFonts w:ascii="宋体"/>
        </w:rPr>
      </w:pPr>
      <w:r>
        <w:rPr>
          <w:rFonts w:ascii="宋体" w:hAnsi="宋体"/>
        </w:rPr>
        <w:t xml:space="preserve"> 4.3.1 </w:t>
      </w:r>
      <w:r>
        <w:rPr>
          <w:rFonts w:hint="eastAsia" w:ascii="宋体" w:hAnsi="宋体"/>
        </w:rPr>
        <w:t>在本章第</w:t>
      </w:r>
      <w:r>
        <w:rPr>
          <w:rFonts w:ascii="宋体" w:hAnsi="宋体"/>
        </w:rPr>
        <w:t xml:space="preserve">2.2.2 </w:t>
      </w:r>
      <w:r>
        <w:rPr>
          <w:rFonts w:hint="eastAsia" w:ascii="宋体" w:hAnsi="宋体"/>
        </w:rPr>
        <w:t>项规定的投标截止时间前，投标人可以修改或撤回已递交的投标文件，最终投标文件以投标截止时间前递交的最后一份投标文件为准。</w:t>
      </w:r>
    </w:p>
    <w:p>
      <w:pPr>
        <w:spacing w:line="360" w:lineRule="exact"/>
        <w:ind w:firstLine="315" w:firstLineChars="150"/>
        <w:rPr>
          <w:rFonts w:ascii="宋体"/>
        </w:rPr>
      </w:pPr>
      <w:r>
        <w:rPr>
          <w:rFonts w:ascii="宋体" w:hAnsi="宋体"/>
        </w:rPr>
        <w:t xml:space="preserve">4.3.2 </w:t>
      </w:r>
      <w:r>
        <w:rPr>
          <w:rFonts w:hint="eastAsia" w:ascii="宋体" w:hAnsi="宋体"/>
        </w:rPr>
        <w:t>修改的内容为投标文件的组成部分。</w:t>
      </w:r>
    </w:p>
    <w:p>
      <w:pPr>
        <w:pStyle w:val="5"/>
        <w:rPr>
          <w:rFonts w:cs="黑体"/>
        </w:rPr>
      </w:pPr>
      <w:bookmarkStart w:id="91" w:name="_Toc275956106"/>
      <w:bookmarkStart w:id="92" w:name="_Toc266951073"/>
      <w:r>
        <w:t xml:space="preserve">5. </w:t>
      </w:r>
      <w:r>
        <w:rPr>
          <w:rFonts w:hint="eastAsia" w:cs="黑体"/>
        </w:rPr>
        <w:t>开标</w:t>
      </w:r>
      <w:bookmarkEnd w:id="91"/>
      <w:bookmarkEnd w:id="92"/>
    </w:p>
    <w:p>
      <w:pPr>
        <w:pStyle w:val="6"/>
        <w:rPr>
          <w:rFonts w:ascii="黑体" w:hAnsi="黑体" w:cs="黑体"/>
        </w:rPr>
      </w:pPr>
      <w:r>
        <w:rPr>
          <w:rFonts w:hint="eastAsia" w:ascii="黑体" w:hAnsi="黑体" w:cs="黑体"/>
        </w:rPr>
        <w:t>5.1 开标时间和地点</w:t>
      </w:r>
    </w:p>
    <w:p>
      <w:pPr>
        <w:autoSpaceDE w:val="0"/>
        <w:autoSpaceDN w:val="0"/>
        <w:adjustRightInd w:val="0"/>
        <w:ind w:firstLine="315" w:firstLineChars="150"/>
        <w:jc w:val="left"/>
        <w:rPr>
          <w:rFonts w:ascii="宋体" w:cs="仿宋_GB2312"/>
          <w:kern w:val="0"/>
          <w:szCs w:val="21"/>
        </w:rPr>
      </w:pPr>
      <w:r>
        <w:rPr>
          <w:rFonts w:hint="eastAsia" w:ascii="宋体" w:hAnsi="宋体" w:cs="仿宋_GB2312"/>
          <w:kern w:val="0"/>
          <w:szCs w:val="21"/>
        </w:rPr>
        <w:t>招标人应按照</w:t>
      </w:r>
      <w:r>
        <w:fldChar w:fldCharType="begin"/>
      </w:r>
      <w:r>
        <w:instrText xml:space="preserve"> HYPERLINK "file:///H:\\泰州招标文件范本\\泰州市房屋建筑和市政工程施工2016.4.docx" \l "_2.2_1" </w:instrText>
      </w:r>
      <w:r>
        <w:fldChar w:fldCharType="separate"/>
      </w:r>
      <w:r>
        <w:rPr>
          <w:rStyle w:val="22"/>
          <w:rFonts w:hint="eastAsia" w:ascii="宋体" w:hAnsi="宋体"/>
          <w:color w:val="auto"/>
        </w:rPr>
        <w:t>本章第</w:t>
      </w:r>
      <w:r>
        <w:rPr>
          <w:rStyle w:val="22"/>
          <w:rFonts w:ascii="宋体" w:hAnsi="宋体"/>
          <w:color w:val="auto"/>
        </w:rPr>
        <w:t>2.2.2</w:t>
      </w:r>
      <w:r>
        <w:rPr>
          <w:rStyle w:val="22"/>
          <w:rFonts w:hint="eastAsia" w:ascii="宋体" w:hAnsi="宋体"/>
          <w:color w:val="auto"/>
        </w:rPr>
        <w:t>项</w:t>
      </w:r>
      <w:r>
        <w:rPr>
          <w:rStyle w:val="22"/>
          <w:rFonts w:hint="eastAsia" w:ascii="宋体" w:hAnsi="宋体"/>
          <w:color w:val="auto"/>
        </w:rPr>
        <w:fldChar w:fldCharType="end"/>
      </w:r>
      <w:r>
        <w:rPr>
          <w:rFonts w:hint="eastAsia" w:ascii="宋体" w:hAnsi="宋体"/>
        </w:rPr>
        <w:t>规定的投标截止时间（开标时间）和</w:t>
      </w:r>
      <w:r>
        <w:fldChar w:fldCharType="begin"/>
      </w:r>
      <w:r>
        <w:instrText xml:space="preserve"> HYPERLINK "file:///H:\\泰州招标文件范本\\泰州市房屋建筑和市政工程施工2016.4.docx" \l "_开标时间和地点"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规定的地点公开开标，并邀请所有投标人准时参加。</w:t>
      </w:r>
    </w:p>
    <w:p>
      <w:pPr>
        <w:spacing w:line="360" w:lineRule="exact"/>
      </w:pPr>
      <w:r>
        <w:t xml:space="preserve">5.1.1 </w:t>
      </w:r>
      <w:r>
        <w:rPr>
          <w:rFonts w:hint="eastAsia"/>
          <w:b/>
          <w:bCs/>
        </w:rPr>
        <w:t>投标人参加开标会的要求</w:t>
      </w:r>
      <w:r>
        <w:rPr>
          <w:rFonts w:hint="eastAsia"/>
        </w:rPr>
        <w:t>：</w:t>
      </w:r>
    </w:p>
    <w:p>
      <w:pPr>
        <w:spacing w:line="360" w:lineRule="exact"/>
        <w:ind w:firstLine="420" w:firstLineChars="200"/>
      </w:pPr>
      <w:r>
        <w:rPr>
          <w:rFonts w:hint="eastAsia"/>
        </w:rPr>
        <w:t>详见</w:t>
      </w:r>
      <w:r>
        <w:t>投标人</w:t>
      </w:r>
      <w:r>
        <w:rPr>
          <w:rFonts w:hint="eastAsia"/>
        </w:rPr>
        <w:t>须知</w:t>
      </w:r>
      <w:r>
        <w:t>前附表。</w:t>
      </w:r>
    </w:p>
    <w:p>
      <w:pPr>
        <w:pStyle w:val="6"/>
        <w:rPr>
          <w:rFonts w:ascii="黑体" w:hAnsi="黑体" w:cs="黑体"/>
          <w:szCs w:val="24"/>
        </w:rPr>
      </w:pPr>
      <w:bookmarkStart w:id="93" w:name="_5.2_开标程序（适用于网络开标）"/>
      <w:bookmarkEnd w:id="93"/>
      <w:bookmarkStart w:id="94" w:name="_5.2_开标程序（适用于纸质招标文件）"/>
      <w:bookmarkEnd w:id="94"/>
      <w:bookmarkStart w:id="95" w:name="_Toc152045561"/>
      <w:bookmarkStart w:id="96" w:name="_Toc266951076"/>
      <w:bookmarkStart w:id="97" w:name="_Toc144974529"/>
      <w:bookmarkStart w:id="98" w:name="_Toc226189901"/>
      <w:bookmarkStart w:id="99" w:name="_Toc152042337"/>
      <w:r>
        <w:rPr>
          <w:rFonts w:hint="eastAsia" w:ascii="黑体" w:hAnsi="黑体" w:cs="黑体"/>
          <w:szCs w:val="24"/>
        </w:rPr>
        <w:t>5.2开标程序</w:t>
      </w:r>
      <w:bookmarkEnd w:id="95"/>
      <w:bookmarkEnd w:id="96"/>
      <w:bookmarkEnd w:id="97"/>
      <w:bookmarkEnd w:id="98"/>
      <w:bookmarkEnd w:id="99"/>
    </w:p>
    <w:p>
      <w:pPr>
        <w:spacing w:line="320" w:lineRule="exact"/>
        <w:ind w:firstLine="420" w:firstLineChars="200"/>
      </w:pPr>
      <w:r>
        <w:t>5.2.1</w:t>
      </w:r>
      <w:r>
        <w:rPr>
          <w:rFonts w:hint="eastAsia"/>
        </w:rPr>
        <w:t>招标人在规定的时间内，按下列程序进行开标：</w:t>
      </w:r>
    </w:p>
    <w:p>
      <w:pPr>
        <w:spacing w:line="320" w:lineRule="exact"/>
        <w:ind w:firstLine="315" w:firstLineChars="150"/>
      </w:pPr>
      <w:r>
        <w:rPr>
          <w:rFonts w:hint="eastAsia"/>
        </w:rPr>
        <w:t>（</w:t>
      </w:r>
      <w:r>
        <w:t>1</w:t>
      </w:r>
      <w:r>
        <w:rPr>
          <w:rFonts w:hint="eastAsia"/>
        </w:rPr>
        <w:t>）宣布开标纪律；</w:t>
      </w:r>
    </w:p>
    <w:p>
      <w:pPr>
        <w:spacing w:line="320" w:lineRule="exact"/>
        <w:ind w:firstLine="315" w:firstLineChars="150"/>
      </w:pPr>
      <w:r>
        <w:rPr>
          <w:rFonts w:hint="eastAsia"/>
        </w:rPr>
        <w:t>（</w:t>
      </w:r>
      <w:r>
        <w:t>2</w:t>
      </w:r>
      <w:r>
        <w:rPr>
          <w:rFonts w:hint="eastAsia"/>
        </w:rPr>
        <w:t>）宣布开标人、唱标人、记录人、监标人等有关人员姓名；</w:t>
      </w:r>
    </w:p>
    <w:p>
      <w:pPr>
        <w:spacing w:line="320" w:lineRule="exact"/>
        <w:ind w:firstLine="315" w:firstLineChars="150"/>
      </w:pPr>
      <w:r>
        <w:rPr>
          <w:rFonts w:hint="eastAsia"/>
        </w:rPr>
        <w:t>（</w:t>
      </w:r>
      <w:r>
        <w:t>3</w:t>
      </w:r>
      <w:r>
        <w:rPr>
          <w:rFonts w:hint="eastAsia"/>
        </w:rPr>
        <w:t>）核验投标人代表的身份后，公布投标人名称及</w:t>
      </w:r>
      <w:r>
        <w:rPr>
          <w:rFonts w:hint="eastAsia" w:hAnsi="宋体"/>
          <w:szCs w:val="21"/>
        </w:rPr>
        <w:t>投标人代表参加开标会签到情况</w:t>
      </w:r>
      <w:r>
        <w:rPr>
          <w:rFonts w:hint="eastAsia"/>
        </w:rPr>
        <w:t>；</w:t>
      </w:r>
    </w:p>
    <w:p>
      <w:pPr>
        <w:spacing w:line="320" w:lineRule="exact"/>
        <w:ind w:firstLine="315" w:firstLineChars="150"/>
        <w:rPr>
          <w:rFonts w:hAnsi="宋体"/>
          <w:szCs w:val="21"/>
        </w:rPr>
      </w:pPr>
      <w:r>
        <w:rPr>
          <w:rFonts w:hint="eastAsia"/>
          <w:szCs w:val="21"/>
        </w:rPr>
        <w:t>（</w:t>
      </w:r>
      <w:r>
        <w:rPr>
          <w:szCs w:val="21"/>
        </w:rPr>
        <w:t>4</w:t>
      </w:r>
      <w:r>
        <w:rPr>
          <w:rFonts w:hint="eastAsia"/>
          <w:szCs w:val="21"/>
        </w:rPr>
        <w:t>）</w:t>
      </w:r>
      <w:r>
        <w:rPr>
          <w:rFonts w:hint="eastAsia" w:hAnsi="宋体"/>
          <w:szCs w:val="21"/>
        </w:rPr>
        <w:t>检查并确认投标文件的密封是否完好并符合招标文件的要求；</w:t>
      </w:r>
    </w:p>
    <w:p>
      <w:pPr>
        <w:spacing w:line="320" w:lineRule="exact"/>
        <w:ind w:left="525" w:leftChars="200" w:hanging="105" w:hangingChars="50"/>
        <w:rPr>
          <w:rFonts w:ascii="宋体"/>
        </w:rPr>
      </w:pPr>
      <w:r>
        <w:rPr>
          <w:rFonts w:hint="eastAsia" w:ascii="宋体" w:hAnsi="宋体"/>
          <w:szCs w:val="21"/>
        </w:rPr>
        <w:t>（5）</w:t>
      </w:r>
      <w:r>
        <w:rPr>
          <w:rFonts w:hint="eastAsia" w:ascii="宋体" w:hAnsi="宋体"/>
        </w:rPr>
        <w:t>公布投标人名称、标段名称、投标保证金的递交情况、投标报价、质量目标、工期及其他内容；</w:t>
      </w:r>
    </w:p>
    <w:p>
      <w:pPr>
        <w:spacing w:line="320" w:lineRule="exact"/>
        <w:ind w:firstLine="315" w:firstLineChars="150"/>
        <w:rPr>
          <w:rFonts w:hAnsi="宋体"/>
          <w:szCs w:val="21"/>
        </w:rPr>
      </w:pPr>
      <w:r>
        <w:rPr>
          <w:rFonts w:hint="eastAsia"/>
          <w:szCs w:val="21"/>
        </w:rPr>
        <w:t>（6</w:t>
      </w:r>
      <w:r>
        <w:rPr>
          <w:rFonts w:hint="eastAsia" w:hAnsi="宋体"/>
          <w:szCs w:val="21"/>
        </w:rPr>
        <w:t>）开标现场异议处理并制作记录；</w:t>
      </w:r>
    </w:p>
    <w:p>
      <w:pPr>
        <w:spacing w:line="320" w:lineRule="exact"/>
        <w:ind w:firstLine="315" w:firstLineChars="150"/>
      </w:pPr>
      <w:r>
        <w:rPr>
          <w:rFonts w:hint="eastAsia" w:hAnsi="宋体"/>
          <w:szCs w:val="21"/>
        </w:rPr>
        <w:t>（7）开标结束。</w:t>
      </w:r>
    </w:p>
    <w:p>
      <w:pPr>
        <w:pStyle w:val="6"/>
        <w:spacing w:line="320" w:lineRule="exact"/>
        <w:rPr>
          <w:rFonts w:ascii="黑体" w:hAnsi="黑体" w:cs="黑体"/>
        </w:rPr>
      </w:pPr>
      <w:bookmarkStart w:id="100" w:name="_5.3_开标时出现下列情况的，招标人将拒绝其投标。"/>
      <w:bookmarkEnd w:id="100"/>
      <w:bookmarkStart w:id="101" w:name="_5.3_应急措施"/>
      <w:bookmarkEnd w:id="101"/>
      <w:r>
        <w:rPr>
          <w:rFonts w:hint="eastAsia" w:ascii="黑体" w:hAnsi="黑体" w:cs="黑体"/>
        </w:rPr>
        <w:t>5.3开标异议</w:t>
      </w:r>
    </w:p>
    <w:p>
      <w:pPr>
        <w:spacing w:line="320" w:lineRule="exact"/>
        <w:ind w:firstLine="315" w:firstLineChars="150"/>
      </w:pPr>
      <w:r>
        <w:rPr>
          <w:rFonts w:hint="eastAsia"/>
        </w:rPr>
        <w:t>5.3.1投标人对开标有异议的，应当在开标现场提出，招标人当场作出答复，并制作记录。</w:t>
      </w:r>
    </w:p>
    <w:p>
      <w:pPr>
        <w:spacing w:line="320" w:lineRule="exact"/>
        <w:ind w:firstLine="315" w:firstLineChars="150"/>
      </w:pPr>
      <w:r>
        <w:rPr>
          <w:rFonts w:hint="eastAsia"/>
        </w:rPr>
        <w:t>本处所称异议是指投标人在开标过程中对投标文件提交、投标截止时间、开标程序、开标记录以及投标人和招标人或者投标人相互之间存在利益冲突的情形等提出的质疑。</w:t>
      </w:r>
    </w:p>
    <w:p>
      <w:pPr>
        <w:spacing w:line="320" w:lineRule="exact"/>
        <w:ind w:firstLine="315" w:firstLineChars="150"/>
      </w:pPr>
      <w:r>
        <w:rPr>
          <w:rFonts w:hint="eastAsia"/>
        </w:rPr>
        <w:t xml:space="preserve">5.3.2 </w:t>
      </w:r>
      <w:r>
        <w:t>投标人异议成立的，招标人将及时采取纠正措施，或者提交评标委员会评审确认；投标人异议不成立的，招标人将当场给予解释说明。</w:t>
      </w:r>
    </w:p>
    <w:p>
      <w:pPr>
        <w:pStyle w:val="5"/>
        <w:spacing w:line="320" w:lineRule="exact"/>
        <w:rPr>
          <w:rFonts w:cs="黑体"/>
        </w:rPr>
      </w:pPr>
      <w:bookmarkStart w:id="102" w:name="_5.4_开标时出现下列情况的，招标人将拒绝其投标。"/>
      <w:bookmarkEnd w:id="102"/>
      <w:bookmarkStart w:id="103" w:name="_Toc275956107"/>
      <w:bookmarkStart w:id="104" w:name="_Toc266951079"/>
      <w:r>
        <w:t xml:space="preserve">6. </w:t>
      </w:r>
      <w:r>
        <w:rPr>
          <w:rFonts w:hint="eastAsia" w:cs="黑体"/>
        </w:rPr>
        <w:t>评标</w:t>
      </w:r>
      <w:bookmarkEnd w:id="103"/>
      <w:bookmarkEnd w:id="104"/>
    </w:p>
    <w:p>
      <w:pPr>
        <w:pStyle w:val="6"/>
        <w:spacing w:line="320" w:lineRule="exact"/>
      </w:pPr>
      <w:bookmarkStart w:id="105" w:name="_6.1_评标委员会"/>
      <w:bookmarkEnd w:id="105"/>
      <w:bookmarkStart w:id="106" w:name="_Toc266951080"/>
      <w:r>
        <w:rPr>
          <w:rFonts w:cs="TimesNewRomanPSMT"/>
        </w:rPr>
        <w:t xml:space="preserve">6.1 </w:t>
      </w:r>
      <w:r>
        <w:rPr>
          <w:rFonts w:hint="eastAsia"/>
        </w:rPr>
        <w:t>评标委员会</w:t>
      </w:r>
      <w:bookmarkEnd w:id="106"/>
    </w:p>
    <w:p>
      <w:pPr>
        <w:spacing w:line="420" w:lineRule="exact"/>
        <w:ind w:firstLine="210" w:firstLineChars="100"/>
        <w:rPr>
          <w:szCs w:val="21"/>
        </w:rPr>
      </w:pPr>
      <w:r>
        <w:rPr>
          <w:rFonts w:ascii="宋体" w:hAnsi="宋体" w:cs="TimesNewRomanPSMT"/>
          <w:kern w:val="0"/>
          <w:szCs w:val="21"/>
        </w:rPr>
        <w:t xml:space="preserve">6.1.1 </w:t>
      </w:r>
      <w:r>
        <w:rPr>
          <w:rFonts w:hint="eastAsia" w:ascii="宋体" w:hAnsi="宋体" w:cs="仿宋_GB2312"/>
          <w:kern w:val="0"/>
          <w:szCs w:val="21"/>
        </w:rPr>
        <w:t>评标由招标人依法组建的评标委员会负责。</w:t>
      </w:r>
      <w:r>
        <w:rPr>
          <w:rFonts w:hint="eastAsia" w:hAnsi="宋体"/>
          <w:szCs w:val="21"/>
        </w:rPr>
        <w:t>评标委员会成员人数以及技术、经济等方面专家的确定方式见投标人须知前附表。</w:t>
      </w:r>
    </w:p>
    <w:p>
      <w:pPr>
        <w:autoSpaceDE w:val="0"/>
        <w:autoSpaceDN w:val="0"/>
        <w:adjustRightInd w:val="0"/>
        <w:spacing w:line="320" w:lineRule="exact"/>
        <w:ind w:firstLine="315" w:firstLineChars="150"/>
        <w:jc w:val="left"/>
        <w:rPr>
          <w:rFonts w:ascii="宋体" w:cs="仿宋_GB2312"/>
          <w:kern w:val="0"/>
          <w:szCs w:val="21"/>
        </w:rPr>
      </w:pPr>
      <w:r>
        <w:rPr>
          <w:rFonts w:ascii="宋体" w:hAnsi="宋体" w:cs="TimesNewRomanPSMT"/>
          <w:kern w:val="0"/>
          <w:szCs w:val="21"/>
        </w:rPr>
        <w:t xml:space="preserve">6.1.2 </w:t>
      </w:r>
      <w:r>
        <w:rPr>
          <w:rFonts w:hint="eastAsia" w:ascii="宋体" w:hAnsi="宋体" w:cs="仿宋_GB2312"/>
          <w:kern w:val="0"/>
          <w:szCs w:val="21"/>
        </w:rPr>
        <w:t>评标委员会成员有下列情形之一的，应当回避：</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）招标人或投标人的主要负责人的近亲属；</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）项目主管部门或者行政监督部门的人员；</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3</w:t>
      </w:r>
      <w:r>
        <w:rPr>
          <w:rFonts w:hint="eastAsia" w:ascii="宋体" w:hAnsi="宋体" w:cs="仿宋_GB2312"/>
          <w:kern w:val="0"/>
          <w:szCs w:val="21"/>
        </w:rPr>
        <w:t>）与投标人有经济利益关系；</w:t>
      </w:r>
    </w:p>
    <w:p>
      <w:pPr>
        <w:autoSpaceDE w:val="0"/>
        <w:autoSpaceDN w:val="0"/>
        <w:adjustRightInd w:val="0"/>
        <w:spacing w:line="320" w:lineRule="exact"/>
        <w:ind w:firstLine="315" w:firstLineChars="150"/>
        <w:jc w:val="left"/>
        <w:rPr>
          <w:rFonts w:ascii="宋体" w:hAnsi="宋体" w:cs="仿宋_GB2312"/>
          <w:kern w:val="0"/>
          <w:szCs w:val="21"/>
        </w:rPr>
      </w:pPr>
      <w:r>
        <w:rPr>
          <w:rFonts w:hint="eastAsia" w:ascii="宋体" w:hAnsi="宋体" w:cs="仿宋_GB2312"/>
          <w:kern w:val="0"/>
          <w:szCs w:val="21"/>
        </w:rPr>
        <w:t>（</w:t>
      </w:r>
      <w:r>
        <w:rPr>
          <w:rFonts w:ascii="宋体" w:hAnsi="宋体" w:cs="TimesNewRomanPSMT"/>
          <w:kern w:val="0"/>
          <w:szCs w:val="21"/>
        </w:rPr>
        <w:t>4</w:t>
      </w:r>
      <w:r>
        <w:rPr>
          <w:rFonts w:hint="eastAsia" w:ascii="宋体" w:hAnsi="宋体" w:cs="仿宋_GB2312"/>
          <w:kern w:val="0"/>
          <w:szCs w:val="21"/>
        </w:rPr>
        <w:t>）曾因在招标、评标以及其他与招标投标有关活动中从事违法行为而受过行政处罚或刑事处罚的；</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5</w:t>
      </w:r>
      <w:r>
        <w:rPr>
          <w:rFonts w:hint="eastAsia" w:ascii="宋体" w:hAnsi="宋体" w:cs="仿宋_GB2312"/>
          <w:kern w:val="0"/>
          <w:szCs w:val="21"/>
        </w:rPr>
        <w:t>）与投标人有其他利害关系。</w:t>
      </w:r>
    </w:p>
    <w:p>
      <w:pPr>
        <w:pStyle w:val="6"/>
        <w:spacing w:line="320" w:lineRule="exact"/>
      </w:pPr>
      <w:bookmarkStart w:id="107" w:name="_6.2_评标原则"/>
      <w:bookmarkEnd w:id="107"/>
      <w:bookmarkStart w:id="108" w:name="_Toc266951081"/>
      <w:r>
        <w:rPr>
          <w:rFonts w:cs="TimesNewRomanPSMT"/>
        </w:rPr>
        <w:t xml:space="preserve">6.2 </w:t>
      </w:r>
      <w:r>
        <w:rPr>
          <w:rFonts w:hint="eastAsia"/>
        </w:rPr>
        <w:t>评标原则</w:t>
      </w:r>
      <w:bookmarkEnd w:id="108"/>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评标活动遵循公平、公正、科学和择优的原则。</w:t>
      </w:r>
    </w:p>
    <w:p>
      <w:pPr>
        <w:pStyle w:val="6"/>
        <w:spacing w:line="320" w:lineRule="exact"/>
        <w:rPr>
          <w:rFonts w:cs="黑体"/>
        </w:rPr>
      </w:pPr>
      <w:bookmarkStart w:id="109" w:name="_6.3_评标"/>
      <w:bookmarkEnd w:id="109"/>
      <w:bookmarkStart w:id="110" w:name="_Toc266951082"/>
      <w:r>
        <w:t>6.3</w:t>
      </w:r>
      <w:r>
        <w:rPr>
          <w:rFonts w:hint="eastAsia" w:cs="黑体"/>
        </w:rPr>
        <w:t>评标</w:t>
      </w:r>
      <w:bookmarkEnd w:id="110"/>
    </w:p>
    <w:p>
      <w:pPr>
        <w:autoSpaceDE w:val="0"/>
        <w:autoSpaceDN w:val="0"/>
        <w:adjustRightInd w:val="0"/>
        <w:spacing w:line="320" w:lineRule="exact"/>
        <w:ind w:firstLine="420" w:firstLineChars="200"/>
        <w:jc w:val="left"/>
        <w:rPr>
          <w:rFonts w:ascii="宋体" w:cs="仿宋_GB2312"/>
          <w:kern w:val="0"/>
          <w:szCs w:val="21"/>
        </w:rPr>
      </w:pPr>
      <w:r>
        <w:rPr>
          <w:rFonts w:ascii="宋体" w:hAnsi="宋体" w:cs="仿宋_GB2312"/>
          <w:kern w:val="0"/>
          <w:szCs w:val="21"/>
        </w:rPr>
        <w:t>6.3.1</w:t>
      </w:r>
      <w:r>
        <w:rPr>
          <w:rFonts w:hint="eastAsia" w:ascii="宋体" w:hAnsi="宋体" w:cs="仿宋_GB2312"/>
          <w:kern w:val="0"/>
          <w:szCs w:val="21"/>
        </w:rPr>
        <w:t>评标委员会按照第三章“</w:t>
      </w:r>
      <w:r>
        <w:fldChar w:fldCharType="begin"/>
      </w:r>
      <w:r>
        <w:instrText xml:space="preserve"> HYPERLINK "file:///H:\\泰州招标文件范本\\泰州市房屋建筑和市政工程施工2016.4.docx" \l "_第三章_评标办法（经评审的合理低价法）" </w:instrText>
      </w:r>
      <w:r>
        <w:fldChar w:fldCharType="separate"/>
      </w:r>
      <w:r>
        <w:rPr>
          <w:rStyle w:val="22"/>
          <w:rFonts w:hint="eastAsia" w:ascii="宋体" w:hAnsi="宋体" w:cs="仿宋_GB2312"/>
          <w:color w:val="auto"/>
          <w:szCs w:val="21"/>
        </w:rPr>
        <w:t>评标办法</w:t>
      </w:r>
      <w:r>
        <w:rPr>
          <w:rStyle w:val="22"/>
          <w:rFonts w:hint="eastAsia" w:ascii="宋体" w:hAnsi="宋体" w:cs="仿宋_GB2312"/>
          <w:color w:val="auto"/>
          <w:szCs w:val="21"/>
        </w:rPr>
        <w:fldChar w:fldCharType="end"/>
      </w:r>
      <w:r>
        <w:rPr>
          <w:rFonts w:hint="eastAsia" w:ascii="宋体" w:hAnsi="宋体" w:cs="仿宋_GB2312"/>
          <w:kern w:val="0"/>
          <w:szCs w:val="21"/>
        </w:rPr>
        <w:t>”规定的方法、评审因素、标准和程序对投标文件进行评审。第三章“</w:t>
      </w:r>
      <w:r>
        <w:fldChar w:fldCharType="begin"/>
      </w:r>
      <w:r>
        <w:instrText xml:space="preserve"> HYPERLINK "file:///H:\\泰州招标文件范本\\泰州市房屋建筑和市政工程施工2016.4.docx" \l "_第三章_评标办法（经评审的合理低价法）" </w:instrText>
      </w:r>
      <w:r>
        <w:fldChar w:fldCharType="separate"/>
      </w:r>
      <w:r>
        <w:rPr>
          <w:rStyle w:val="22"/>
          <w:rFonts w:hint="eastAsia" w:ascii="宋体" w:hAnsi="宋体" w:cs="仿宋_GB2312"/>
          <w:color w:val="auto"/>
          <w:szCs w:val="21"/>
        </w:rPr>
        <w:t>评标办法</w:t>
      </w:r>
      <w:r>
        <w:rPr>
          <w:rStyle w:val="22"/>
          <w:rFonts w:hint="eastAsia" w:ascii="宋体" w:hAnsi="宋体" w:cs="仿宋_GB2312"/>
          <w:color w:val="auto"/>
          <w:szCs w:val="21"/>
        </w:rPr>
        <w:fldChar w:fldCharType="end"/>
      </w:r>
      <w:r>
        <w:rPr>
          <w:rFonts w:hint="eastAsia" w:ascii="宋体" w:hAnsi="宋体" w:cs="仿宋_GB2312"/>
          <w:kern w:val="0"/>
          <w:szCs w:val="21"/>
        </w:rPr>
        <w:t>”没有规定的评标方法、评审因素和标准，不作为评标依据。招标文件未列明的否决性条款，不得作为否决投标、判定无效标的依据。</w:t>
      </w:r>
    </w:p>
    <w:p>
      <w:pPr>
        <w:spacing w:line="320" w:lineRule="exact"/>
        <w:ind w:firstLine="420" w:firstLineChars="200"/>
        <w:rPr>
          <w:rFonts w:ascii="宋体" w:cs="仿宋_GB2312"/>
          <w:kern w:val="0"/>
          <w:szCs w:val="21"/>
        </w:rPr>
      </w:pPr>
      <w:r>
        <w:rPr>
          <w:rFonts w:ascii="宋体" w:hAnsi="宋体" w:cs="仿宋_GB2312"/>
          <w:kern w:val="0"/>
          <w:szCs w:val="21"/>
        </w:rPr>
        <w:t>6.3.2</w:t>
      </w:r>
      <w:r>
        <w:rPr>
          <w:rFonts w:hint="eastAsia" w:ascii="宋体" w:hAnsi="宋体" w:cs="仿宋_GB2312"/>
          <w:kern w:val="0"/>
          <w:szCs w:val="21"/>
        </w:rPr>
        <w:t>本次招标所采用的评标方法见</w:t>
      </w:r>
      <w:r>
        <w:fldChar w:fldCharType="begin"/>
      </w:r>
      <w:r>
        <w:instrText xml:space="preserve"> HYPERLINK "file:///H:\\泰州招标文件范本\\泰州市房屋建筑和市政工程施工2016.4.docx" \l "_评标"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w:t>
      </w:r>
    </w:p>
    <w:p>
      <w:pPr>
        <w:pStyle w:val="6"/>
        <w:spacing w:line="320" w:lineRule="exact"/>
      </w:pPr>
      <w:bookmarkStart w:id="111" w:name="_Toc10791"/>
      <w:bookmarkStart w:id="112" w:name="_Toc3926"/>
      <w:bookmarkStart w:id="113" w:name="_Toc16425"/>
      <w:r>
        <w:t xml:space="preserve">6.4 </w:t>
      </w:r>
      <w:r>
        <w:rPr>
          <w:rFonts w:hint="eastAsia"/>
        </w:rPr>
        <w:t>中标候选人公示</w:t>
      </w:r>
    </w:p>
    <w:p>
      <w:pPr>
        <w:spacing w:line="400" w:lineRule="exact"/>
        <w:ind w:firstLine="420" w:firstLineChars="200"/>
      </w:pPr>
      <w:r>
        <w:t xml:space="preserve">6.4.1 </w:t>
      </w:r>
      <w:r>
        <w:rPr>
          <w:rFonts w:hint="eastAsia"/>
        </w:rPr>
        <w:t>公示时间和方式：</w:t>
      </w:r>
      <w:r>
        <w:rPr>
          <w:rFonts w:hint="eastAsia" w:ascii="宋体" w:hAnsi="宋体"/>
          <w:szCs w:val="21"/>
        </w:rPr>
        <w:t>招标人在收到评标报告之日起</w:t>
      </w:r>
      <w:r>
        <w:rPr>
          <w:rFonts w:ascii="宋体" w:hAnsi="宋体"/>
          <w:szCs w:val="21"/>
        </w:rPr>
        <w:t>3</w:t>
      </w:r>
      <w:r>
        <w:rPr>
          <w:rFonts w:hint="eastAsia" w:ascii="宋体" w:hAnsi="宋体"/>
          <w:szCs w:val="21"/>
        </w:rPr>
        <w:t>日内应当在招标公告发布媒介上公示如下中标候选人情况、评标结果及拟定中标人名称，公示期不少于</w:t>
      </w:r>
      <w:r>
        <w:rPr>
          <w:rFonts w:ascii="宋体" w:hAnsi="宋体"/>
          <w:szCs w:val="21"/>
        </w:rPr>
        <w:t>3</w:t>
      </w:r>
      <w:r>
        <w:rPr>
          <w:rFonts w:hint="eastAsia" w:ascii="宋体" w:hAnsi="宋体"/>
          <w:szCs w:val="21"/>
        </w:rPr>
        <w:t>日。</w:t>
      </w:r>
    </w:p>
    <w:p>
      <w:pPr>
        <w:rPr>
          <w:rFonts w:ascii="宋体"/>
          <w:szCs w:val="21"/>
        </w:rPr>
      </w:pPr>
      <w:r>
        <w:t xml:space="preserve">    6.4.</w:t>
      </w:r>
      <w:r>
        <w:rPr>
          <w:rFonts w:hint="eastAsia"/>
        </w:rPr>
        <w:t>2</w:t>
      </w:r>
      <w:r>
        <w:rPr>
          <w:rFonts w:hint="eastAsia" w:ascii="宋体" w:hAnsi="宋体"/>
          <w:szCs w:val="21"/>
        </w:rPr>
        <w:t>投标人或者其他利害关系人对依法必须进行招标的项目的评标结果有异议的，应当在中标候选人公示期间提出。招标人应当自收到异议之日起</w:t>
      </w:r>
      <w:r>
        <w:rPr>
          <w:rFonts w:ascii="宋体" w:hAnsi="宋体"/>
          <w:szCs w:val="21"/>
        </w:rPr>
        <w:t xml:space="preserve">3 </w:t>
      </w:r>
      <w:r>
        <w:rPr>
          <w:rFonts w:hint="eastAsia" w:ascii="宋体" w:hAnsi="宋体"/>
          <w:szCs w:val="21"/>
        </w:rPr>
        <w:t>日内作出答复；作出答复前，应当暂停招标投标活动。</w:t>
      </w:r>
    </w:p>
    <w:bookmarkEnd w:id="111"/>
    <w:bookmarkEnd w:id="112"/>
    <w:bookmarkEnd w:id="113"/>
    <w:p>
      <w:pPr>
        <w:pStyle w:val="5"/>
        <w:spacing w:line="320" w:lineRule="exact"/>
      </w:pPr>
      <w:bookmarkStart w:id="114" w:name="_Toc266951083"/>
      <w:bookmarkStart w:id="115" w:name="_Toc275956108"/>
      <w:r>
        <w:rPr>
          <w:rFonts w:cs="TimesNewRomanPSMT"/>
        </w:rPr>
        <w:t xml:space="preserve">7. </w:t>
      </w:r>
      <w:r>
        <w:rPr>
          <w:rFonts w:hint="eastAsia"/>
        </w:rPr>
        <w:t>合同授予</w:t>
      </w:r>
      <w:bookmarkEnd w:id="114"/>
      <w:bookmarkEnd w:id="115"/>
    </w:p>
    <w:p>
      <w:pPr>
        <w:pStyle w:val="6"/>
        <w:spacing w:line="320" w:lineRule="exact"/>
      </w:pPr>
      <w:bookmarkStart w:id="116" w:name="_7.1_中标公示"/>
      <w:bookmarkEnd w:id="116"/>
      <w:bookmarkStart w:id="117" w:name="_Toc266951085"/>
      <w:r>
        <w:rPr>
          <w:rFonts w:cs="TimesNewRomanPSMT"/>
        </w:rPr>
        <w:t xml:space="preserve">7.1 </w:t>
      </w:r>
      <w:r>
        <w:rPr>
          <w:rFonts w:hint="eastAsia"/>
        </w:rPr>
        <w:t>定标方式</w:t>
      </w:r>
      <w:bookmarkEnd w:id="117"/>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除</w:t>
      </w:r>
      <w:r>
        <w:fldChar w:fldCharType="begin"/>
      </w:r>
      <w:r>
        <w:instrText xml:space="preserve"> HYPERLINK "file:///H:\\泰州招标文件范本\\泰州市房屋建筑和市政工程施工2016.4.docx" \l "_定标方式"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规定评标委员会直接确定中标人外，招标人依据评标委员会推荐的中标候选人确定中标人。评标委员会推荐中标候选人的人数见</w:t>
      </w:r>
      <w:r>
        <w:fldChar w:fldCharType="begin"/>
      </w:r>
      <w:r>
        <w:instrText xml:space="preserve"> HYPERLINK "file:///H:\\泰州招标文件范本\\泰州市房屋建筑和市政工程施工2016.4.docx" \l "_定标方式"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w:t>
      </w:r>
    </w:p>
    <w:p>
      <w:pPr>
        <w:rPr>
          <w:b/>
          <w:bCs/>
        </w:rPr>
      </w:pPr>
      <w:bookmarkStart w:id="118" w:name="_Toc266951084"/>
      <w:r>
        <w:rPr>
          <w:b/>
          <w:bCs/>
        </w:rPr>
        <w:t>7.2</w:t>
      </w:r>
      <w:bookmarkEnd w:id="118"/>
      <w:r>
        <w:rPr>
          <w:rFonts w:hint="eastAsia"/>
          <w:b/>
          <w:bCs/>
        </w:rPr>
        <w:t>中标候选人考察</w:t>
      </w:r>
    </w:p>
    <w:p>
      <w:r>
        <w:t xml:space="preserve">    7.2.1 </w:t>
      </w:r>
      <w:r>
        <w:rPr>
          <w:rFonts w:hint="eastAsia"/>
        </w:rPr>
        <w:t>投标人或项目负责人承担过类似工程的业绩作为评审条件时，招标人可对中标候选人的业绩进行实地考察。</w:t>
      </w:r>
    </w:p>
    <w:p>
      <w:r>
        <w:t xml:space="preserve">    7.2.2 </w:t>
      </w:r>
      <w:r>
        <w:rPr>
          <w:rFonts w:hint="eastAsia"/>
        </w:rPr>
        <w:t>第一中标候选人提供的业绩经招标人考察属实的，招标人将不再对其他中标候选人进行考察；如第一中标候选人提供的业绩不属实，招标人将依次考察其他中标候选人业绩。</w:t>
      </w:r>
    </w:p>
    <w:p>
      <w:r>
        <w:t xml:space="preserve">    7.2.3 </w:t>
      </w:r>
      <w:r>
        <w:rPr>
          <w:rFonts w:hint="eastAsia"/>
        </w:rPr>
        <w:t>考察费用由招标人承担，投标人有义务配合。</w:t>
      </w:r>
    </w:p>
    <w:p>
      <w:pPr>
        <w:rPr>
          <w:b/>
          <w:bCs/>
        </w:rPr>
      </w:pPr>
      <w:r>
        <w:rPr>
          <w:b/>
          <w:bCs/>
        </w:rPr>
        <w:t xml:space="preserve">7.3 </w:t>
      </w:r>
      <w:r>
        <w:rPr>
          <w:rFonts w:hint="eastAsia"/>
          <w:b/>
          <w:bCs/>
        </w:rPr>
        <w:t>确定中标人</w:t>
      </w:r>
    </w:p>
    <w:p>
      <w:pPr>
        <w:ind w:firstLine="420" w:firstLineChars="200"/>
      </w:pPr>
      <w:r>
        <w:rPr>
          <w:rFonts w:hint="eastAsia"/>
        </w:rPr>
        <w:t>招标人确定排名第一的中标候选人为中标人。排名第一的中标候选人出现下列情形之一的，招标人将按照评标委员会提出的中标候选人名单排序依次确定其他中标候选人为中标人。如其他中标候选人与采购预期差距较大，或者依次选择中标人对招标人明显不利时，招标人可重新招标：</w:t>
      </w:r>
    </w:p>
    <w:p>
      <w:pPr>
        <w:ind w:firstLine="420" w:firstLineChars="200"/>
      </w:pPr>
      <w:r>
        <w:rPr>
          <w:rFonts w:hint="eastAsia"/>
        </w:rPr>
        <w:t>（</w:t>
      </w:r>
      <w:r>
        <w:t>1</w:t>
      </w:r>
      <w:r>
        <w:rPr>
          <w:rFonts w:hint="eastAsia"/>
        </w:rPr>
        <w:t>）业绩经考察不属实的，或因不可抗力不能履行合同的，或被查实存在影响中标结果的违法行为等情形，不符合中标条件的；</w:t>
      </w:r>
    </w:p>
    <w:p>
      <w:pPr>
        <w:ind w:firstLine="420" w:firstLineChars="200"/>
      </w:pPr>
      <w:r>
        <w:rPr>
          <w:rFonts w:hint="eastAsia"/>
        </w:rPr>
        <w:t>（</w:t>
      </w:r>
      <w:r>
        <w:t>2</w:t>
      </w:r>
      <w:r>
        <w:rPr>
          <w:rFonts w:hint="eastAsia"/>
        </w:rPr>
        <w:t>）评标结束后，中标候选人的经营、财务状况发生较大变化或者存在违法行为，招标人认为可能影响其履约能力，经评标委员会按招标文件规定的办法重新审查，确认其不符合招标文件规定的标准，取消其候选人资格的。</w:t>
      </w:r>
    </w:p>
    <w:p>
      <w:pPr>
        <w:ind w:firstLine="420" w:firstLineChars="200"/>
      </w:pPr>
      <w:r>
        <w:rPr>
          <w:rFonts w:hint="eastAsia"/>
        </w:rPr>
        <w:t>（</w:t>
      </w:r>
      <w:r>
        <w:t>3</w:t>
      </w:r>
      <w:r>
        <w:rPr>
          <w:rFonts w:hint="eastAsia"/>
        </w:rPr>
        <w:t>）被确定为中标人后，放弃中标的，或不按照招标文件要求提交履约保证金的；</w:t>
      </w:r>
    </w:p>
    <w:p>
      <w:pPr>
        <w:ind w:firstLine="420" w:firstLineChars="200"/>
      </w:pPr>
      <w:r>
        <w:rPr>
          <w:rFonts w:hint="eastAsia"/>
        </w:rPr>
        <w:t>（</w:t>
      </w:r>
      <w:r>
        <w:t>4</w:t>
      </w:r>
      <w:r>
        <w:rPr>
          <w:rFonts w:hint="eastAsia"/>
        </w:rPr>
        <w:t>）被确定为中标人并与招标人签订合同后，因不可抗力不能履行合同的；</w:t>
      </w:r>
    </w:p>
    <w:p>
      <w:pPr>
        <w:pStyle w:val="6"/>
        <w:spacing w:line="320" w:lineRule="exact"/>
        <w:rPr>
          <w:rFonts w:cs="仿宋_GB2312"/>
          <w:szCs w:val="21"/>
        </w:rPr>
      </w:pPr>
      <w:bookmarkStart w:id="119" w:name="_7.2_定标方式"/>
      <w:bookmarkEnd w:id="119"/>
      <w:bookmarkStart w:id="120" w:name="_7.3_中标通知"/>
      <w:bookmarkEnd w:id="120"/>
      <w:bookmarkStart w:id="121" w:name="_Toc266951086"/>
      <w:r>
        <w:t>7.4</w:t>
      </w:r>
      <w:r>
        <w:rPr>
          <w:rFonts w:hint="eastAsia" w:cs="黑体"/>
        </w:rPr>
        <w:t>中标通知</w:t>
      </w:r>
      <w:bookmarkEnd w:id="121"/>
    </w:p>
    <w:p>
      <w:pPr>
        <w:autoSpaceDE w:val="0"/>
        <w:autoSpaceDN w:val="0"/>
        <w:adjustRightInd w:val="0"/>
        <w:spacing w:line="320" w:lineRule="exact"/>
        <w:ind w:firstLine="420" w:firstLineChars="200"/>
        <w:jc w:val="left"/>
        <w:rPr>
          <w:rFonts w:ascii="宋体" w:cs="仿宋_GB2312"/>
          <w:kern w:val="0"/>
          <w:szCs w:val="21"/>
        </w:rPr>
      </w:pPr>
      <w:r>
        <w:rPr>
          <w:rFonts w:hint="eastAsia" w:ascii="宋体" w:hAnsi="宋体" w:cs="仿宋_GB2312"/>
          <w:kern w:val="0"/>
          <w:szCs w:val="21"/>
        </w:rPr>
        <w:t>在本章第</w:t>
      </w:r>
      <w:r>
        <w:rPr>
          <w:rFonts w:ascii="宋体" w:hAnsi="宋体" w:cs="TimesNewRomanPSMT"/>
          <w:kern w:val="0"/>
          <w:szCs w:val="21"/>
        </w:rPr>
        <w:t>3.3</w:t>
      </w:r>
      <w:r>
        <w:rPr>
          <w:rFonts w:hint="eastAsia" w:ascii="宋体" w:hAnsi="宋体" w:cs="仿宋_GB2312"/>
          <w:kern w:val="0"/>
          <w:szCs w:val="21"/>
        </w:rPr>
        <w:t>款规定的投标有效期内，</w:t>
      </w:r>
      <w:r>
        <w:rPr>
          <w:rFonts w:hint="eastAsia" w:ascii="宋体" w:hAnsi="宋体" w:cs="TimesNewRomanPSMT"/>
          <w:kern w:val="0"/>
          <w:szCs w:val="21"/>
        </w:rPr>
        <w:t>招标人</w:t>
      </w:r>
      <w:r>
        <w:rPr>
          <w:rFonts w:hint="eastAsia" w:ascii="宋体" w:hAnsi="宋体" w:cs="仿宋_GB2312"/>
          <w:kern w:val="0"/>
          <w:szCs w:val="21"/>
        </w:rPr>
        <w:t>以书面形式向中标人发出中标通知书，同时将中标结果通知未中标的投标人。</w:t>
      </w:r>
    </w:p>
    <w:p>
      <w:pPr>
        <w:pStyle w:val="6"/>
        <w:spacing w:line="320" w:lineRule="exact"/>
      </w:pPr>
      <w:bookmarkStart w:id="122" w:name="_7.4_履约担保"/>
      <w:bookmarkEnd w:id="122"/>
      <w:bookmarkStart w:id="123" w:name="_Toc266951087"/>
      <w:r>
        <w:rPr>
          <w:rFonts w:cs="TimesNewRomanPSMT"/>
        </w:rPr>
        <w:t xml:space="preserve">7.5 </w:t>
      </w:r>
      <w:r>
        <w:rPr>
          <w:rFonts w:hint="eastAsia"/>
        </w:rPr>
        <w:t>履约担保</w:t>
      </w:r>
      <w:bookmarkEnd w:id="123"/>
    </w:p>
    <w:p>
      <w:pPr>
        <w:autoSpaceDE w:val="0"/>
        <w:autoSpaceDN w:val="0"/>
        <w:adjustRightInd w:val="0"/>
        <w:spacing w:line="320" w:lineRule="exact"/>
        <w:ind w:firstLine="420" w:firstLineChars="200"/>
        <w:jc w:val="left"/>
        <w:rPr>
          <w:rFonts w:ascii="宋体" w:cs="仿宋_GB2312"/>
          <w:kern w:val="0"/>
          <w:szCs w:val="21"/>
        </w:rPr>
      </w:pPr>
      <w:r>
        <w:rPr>
          <w:rFonts w:ascii="宋体" w:hAnsi="宋体" w:cs="TimesNewRomanPSMT"/>
          <w:kern w:val="0"/>
          <w:szCs w:val="21"/>
        </w:rPr>
        <w:t xml:space="preserve">7.5.1 </w:t>
      </w:r>
      <w:r>
        <w:rPr>
          <w:rFonts w:hint="eastAsia" w:ascii="宋体" w:hAnsi="宋体" w:cs="仿宋_GB2312"/>
          <w:kern w:val="0"/>
          <w:szCs w:val="21"/>
        </w:rPr>
        <w:t>在签订合同前，中标人应按</w:t>
      </w:r>
      <w:r>
        <w:fldChar w:fldCharType="begin"/>
      </w:r>
      <w:r>
        <w:instrText xml:space="preserve"> HYPERLINK "file:///H:\\泰州招标文件范本\\泰州市房屋建筑和市政工程施工2016.4.docx" \l "_履约担保"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规定的金额、担保形式向招标人提交履约担保。联合体中标的，其履约担保由牵头人递交，并应符合</w:t>
      </w:r>
      <w:r>
        <w:fldChar w:fldCharType="begin"/>
      </w:r>
      <w:r>
        <w:instrText xml:space="preserve"> HYPERLINK "file:///H:\\泰州招标文件范本\\泰州市房屋建筑和市政工程施工2016.4.docx" \l "_履约担保" </w:instrText>
      </w:r>
      <w:r>
        <w:fldChar w:fldCharType="separate"/>
      </w:r>
      <w:r>
        <w:rPr>
          <w:rStyle w:val="22"/>
          <w:rFonts w:hint="eastAsia" w:ascii="宋体" w:hAnsi="宋体" w:cs="仿宋_GB2312"/>
          <w:color w:val="auto"/>
          <w:szCs w:val="21"/>
        </w:rPr>
        <w:t>投标人须知前附表</w:t>
      </w:r>
      <w:r>
        <w:rPr>
          <w:rStyle w:val="22"/>
          <w:rFonts w:hint="eastAsia" w:ascii="宋体" w:hAnsi="宋体" w:cs="仿宋_GB2312"/>
          <w:color w:val="auto"/>
          <w:szCs w:val="21"/>
        </w:rPr>
        <w:fldChar w:fldCharType="end"/>
      </w:r>
      <w:r>
        <w:rPr>
          <w:rFonts w:hint="eastAsia" w:ascii="宋体" w:hAnsi="宋体" w:cs="仿宋_GB2312"/>
          <w:kern w:val="0"/>
          <w:szCs w:val="21"/>
        </w:rPr>
        <w:t>规定的金额、担保形式要求。</w:t>
      </w:r>
    </w:p>
    <w:p>
      <w:pPr>
        <w:autoSpaceDE w:val="0"/>
        <w:autoSpaceDN w:val="0"/>
        <w:adjustRightInd w:val="0"/>
        <w:spacing w:line="320" w:lineRule="exact"/>
        <w:ind w:firstLine="420" w:firstLineChars="200"/>
        <w:jc w:val="left"/>
        <w:rPr>
          <w:rFonts w:ascii="宋体" w:cs="仿宋_GB2312"/>
          <w:kern w:val="0"/>
          <w:szCs w:val="21"/>
        </w:rPr>
      </w:pPr>
      <w:r>
        <w:rPr>
          <w:rFonts w:ascii="宋体" w:hAnsi="宋体" w:cs="TimesNewRomanPSMT"/>
          <w:kern w:val="0"/>
          <w:szCs w:val="21"/>
        </w:rPr>
        <w:t xml:space="preserve">7.5.2 </w:t>
      </w:r>
      <w:r>
        <w:rPr>
          <w:rFonts w:hint="eastAsia" w:ascii="宋体" w:hAnsi="宋体" w:cs="仿宋_GB2312"/>
          <w:kern w:val="0"/>
          <w:szCs w:val="21"/>
        </w:rPr>
        <w:t>中标人不能在规定的时间内按</w:t>
      </w:r>
      <w:r>
        <w:fldChar w:fldCharType="begin"/>
      </w:r>
      <w:r>
        <w:instrText xml:space="preserve"> HYPERLINK "file:///H:\\泰州招标文件范本\\泰州市房屋建筑和市政工程施工2016.4.docx" \l "_7.3_中标通知" </w:instrText>
      </w:r>
      <w:r>
        <w:fldChar w:fldCharType="separate"/>
      </w:r>
      <w:r>
        <w:rPr>
          <w:rStyle w:val="22"/>
          <w:rFonts w:hint="eastAsia" w:ascii="宋体" w:hAnsi="宋体" w:cs="仿宋_GB2312"/>
          <w:color w:val="auto"/>
          <w:szCs w:val="21"/>
        </w:rPr>
        <w:t>本章第</w:t>
      </w:r>
      <w:r>
        <w:rPr>
          <w:rStyle w:val="22"/>
          <w:rFonts w:ascii="宋体" w:hAnsi="宋体" w:cs="TimesNewRomanPSMT"/>
          <w:color w:val="auto"/>
          <w:szCs w:val="21"/>
        </w:rPr>
        <w:t>7.</w:t>
      </w:r>
      <w:r>
        <w:rPr>
          <w:rStyle w:val="22"/>
          <w:rFonts w:hint="eastAsia" w:ascii="宋体" w:hAnsi="宋体" w:cs="TimesNewRomanPSMT"/>
          <w:color w:val="auto"/>
          <w:szCs w:val="21"/>
        </w:rPr>
        <w:t>5</w:t>
      </w:r>
      <w:r>
        <w:rPr>
          <w:rStyle w:val="22"/>
          <w:rFonts w:ascii="宋体" w:hAnsi="宋体" w:cs="TimesNewRomanPSMT"/>
          <w:color w:val="auto"/>
          <w:szCs w:val="21"/>
        </w:rPr>
        <w:t xml:space="preserve">.1 </w:t>
      </w:r>
      <w:r>
        <w:rPr>
          <w:rStyle w:val="22"/>
          <w:rFonts w:hint="eastAsia" w:ascii="宋体" w:hAnsi="宋体" w:cs="仿宋_GB2312"/>
          <w:color w:val="auto"/>
          <w:szCs w:val="21"/>
        </w:rPr>
        <w:t>项</w:t>
      </w:r>
      <w:r>
        <w:rPr>
          <w:rStyle w:val="22"/>
          <w:rFonts w:hint="eastAsia" w:ascii="宋体" w:hAnsi="宋体" w:cs="仿宋_GB2312"/>
          <w:color w:val="auto"/>
          <w:szCs w:val="21"/>
        </w:rPr>
        <w:fldChar w:fldCharType="end"/>
      </w:r>
      <w:r>
        <w:rPr>
          <w:rFonts w:hint="eastAsia" w:ascii="宋体" w:hAnsi="宋体" w:cs="仿宋_GB2312"/>
          <w:kern w:val="0"/>
          <w:szCs w:val="21"/>
        </w:rPr>
        <w:t>要求如数提交履约担保的，视为放弃中标，其投标保证金及利息不予退还，给招标人造成的损失超过投标保证金数额的，中标人还应当对超过部分予以赔偿。</w:t>
      </w:r>
    </w:p>
    <w:p>
      <w:pPr>
        <w:pStyle w:val="6"/>
        <w:spacing w:line="320" w:lineRule="exact"/>
      </w:pPr>
      <w:bookmarkStart w:id="124" w:name="_7.5_签订合同"/>
      <w:bookmarkEnd w:id="124"/>
      <w:bookmarkStart w:id="125" w:name="_Toc266951088"/>
      <w:r>
        <w:rPr>
          <w:rFonts w:cs="TimesNewRomanPSMT"/>
        </w:rPr>
        <w:t xml:space="preserve">7.6 </w:t>
      </w:r>
      <w:r>
        <w:rPr>
          <w:rFonts w:hint="eastAsia"/>
        </w:rPr>
        <w:t>签订合同</w:t>
      </w:r>
      <w:bookmarkEnd w:id="125"/>
    </w:p>
    <w:p>
      <w:pPr>
        <w:autoSpaceDE w:val="0"/>
        <w:autoSpaceDN w:val="0"/>
        <w:adjustRightInd w:val="0"/>
        <w:spacing w:line="320" w:lineRule="exact"/>
        <w:ind w:firstLine="420" w:firstLineChars="200"/>
        <w:jc w:val="left"/>
        <w:rPr>
          <w:rFonts w:ascii="宋体" w:cs="仿宋_GB2312"/>
          <w:kern w:val="0"/>
          <w:szCs w:val="21"/>
        </w:rPr>
      </w:pPr>
      <w:r>
        <w:rPr>
          <w:rFonts w:ascii="宋体" w:hAnsi="宋体" w:cs="TimesNewRomanPSMT"/>
          <w:kern w:val="0"/>
          <w:szCs w:val="21"/>
        </w:rPr>
        <w:t xml:space="preserve">7.6.1 </w:t>
      </w:r>
      <w:r>
        <w:rPr>
          <w:rFonts w:hint="eastAsia" w:ascii="宋体" w:hAnsi="宋体" w:cs="仿宋_GB2312"/>
          <w:kern w:val="0"/>
          <w:szCs w:val="21"/>
        </w:rPr>
        <w:t>招标人和中标人应当在投标有效期内并在自中标通知书发出之日起</w:t>
      </w:r>
      <w:r>
        <w:rPr>
          <w:rFonts w:ascii="宋体" w:hAnsi="宋体" w:cs="TimesNewRomanPSMT"/>
          <w:kern w:val="0"/>
          <w:szCs w:val="21"/>
        </w:rPr>
        <w:t>30</w:t>
      </w:r>
      <w:r>
        <w:rPr>
          <w:rFonts w:hint="eastAsia" w:ascii="宋体" w:hAnsi="宋体" w:cs="仿宋_GB2312"/>
          <w:kern w:val="0"/>
          <w:szCs w:val="21"/>
        </w:rPr>
        <w:t>日内，按照招标文件和中标人的投标文件订立书面合同。中标人无正当理由拒绝签订合同的，招标人取消其中标资格，其投标保证金及利息不予退还；给招标人造成的损失超过投标保证金数额的，中标人还应当对超过部分予以赔偿。</w:t>
      </w:r>
    </w:p>
    <w:p>
      <w:pPr>
        <w:autoSpaceDE w:val="0"/>
        <w:autoSpaceDN w:val="0"/>
        <w:adjustRightInd w:val="0"/>
        <w:spacing w:line="320" w:lineRule="exact"/>
        <w:ind w:firstLine="420" w:firstLineChars="200"/>
        <w:jc w:val="left"/>
        <w:rPr>
          <w:rFonts w:ascii="宋体" w:cs="仿宋_GB2312"/>
          <w:kern w:val="0"/>
          <w:szCs w:val="21"/>
        </w:rPr>
      </w:pPr>
      <w:r>
        <w:rPr>
          <w:rFonts w:ascii="宋体" w:hAnsi="宋体" w:cs="仿宋_GB2312"/>
          <w:kern w:val="0"/>
          <w:szCs w:val="21"/>
        </w:rPr>
        <w:t xml:space="preserve">7.6.2 </w:t>
      </w:r>
      <w:r>
        <w:rPr>
          <w:rFonts w:hint="eastAsia" w:ascii="宋体" w:hAnsi="宋体" w:cs="仿宋_GB2312"/>
          <w:kern w:val="0"/>
          <w:szCs w:val="21"/>
        </w:rPr>
        <w:t>发出中标通知后，招标人无正当理由拒签合同的，招标人向中标人退还投标保证金及利息，给中标人造成损失的，还应当赔偿损失。</w:t>
      </w:r>
    </w:p>
    <w:p>
      <w:pPr>
        <w:autoSpaceDE w:val="0"/>
        <w:autoSpaceDN w:val="0"/>
        <w:adjustRightInd w:val="0"/>
        <w:spacing w:line="320" w:lineRule="exact"/>
        <w:ind w:firstLine="420" w:firstLineChars="200"/>
        <w:jc w:val="left"/>
        <w:rPr>
          <w:rFonts w:ascii="宋体" w:cs="仿宋_GB2312"/>
          <w:kern w:val="0"/>
          <w:szCs w:val="21"/>
        </w:rPr>
      </w:pPr>
      <w:r>
        <w:rPr>
          <w:rFonts w:ascii="宋体" w:hAnsi="宋体" w:cs="仿宋_GB2312"/>
          <w:kern w:val="0"/>
          <w:szCs w:val="21"/>
        </w:rPr>
        <w:t xml:space="preserve">7.6.3 </w:t>
      </w:r>
      <w:r>
        <w:rPr>
          <w:rFonts w:hint="eastAsia" w:ascii="宋体" w:hAnsi="宋体" w:cs="仿宋_GB2312"/>
          <w:kern w:val="0"/>
          <w:szCs w:val="21"/>
        </w:rPr>
        <w:t>本工程合同价格形式见投标须知前附表。</w:t>
      </w:r>
    </w:p>
    <w:p>
      <w:pPr>
        <w:pStyle w:val="5"/>
        <w:spacing w:line="320" w:lineRule="exact"/>
      </w:pPr>
      <w:bookmarkStart w:id="126" w:name="_Toc266951089"/>
      <w:bookmarkStart w:id="127" w:name="_Toc275956109"/>
      <w:r>
        <w:rPr>
          <w:rFonts w:cs="TimesNewRomanPSMT"/>
        </w:rPr>
        <w:t xml:space="preserve">8. </w:t>
      </w:r>
      <w:r>
        <w:rPr>
          <w:rFonts w:hint="eastAsia"/>
        </w:rPr>
        <w:t>重新招标和不再招标</w:t>
      </w:r>
      <w:bookmarkEnd w:id="126"/>
      <w:bookmarkEnd w:id="127"/>
    </w:p>
    <w:p>
      <w:pPr>
        <w:pStyle w:val="6"/>
        <w:spacing w:line="320" w:lineRule="exact"/>
      </w:pPr>
      <w:bookmarkStart w:id="128" w:name="_8.1_重新招标"/>
      <w:bookmarkEnd w:id="128"/>
      <w:bookmarkStart w:id="129" w:name="_Toc266951090"/>
      <w:r>
        <w:rPr>
          <w:rFonts w:cs="TimesNewRomanPSMT"/>
        </w:rPr>
        <w:t xml:space="preserve">8.1 </w:t>
      </w:r>
      <w:r>
        <w:rPr>
          <w:rFonts w:hint="eastAsia"/>
        </w:rPr>
        <w:t>重新招标</w:t>
      </w:r>
      <w:bookmarkEnd w:id="129"/>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有下列情形之一的，招标人将重新招标：</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）投标截止时间止，投标人数量少于</w:t>
      </w:r>
      <w:r>
        <w:rPr>
          <w:rFonts w:ascii="宋体" w:hAnsi="宋体" w:cs="TimesNewRomanPSMT"/>
          <w:kern w:val="0"/>
          <w:szCs w:val="21"/>
        </w:rPr>
        <w:t>3</w:t>
      </w:r>
      <w:r>
        <w:rPr>
          <w:rFonts w:hint="eastAsia" w:ascii="宋体" w:hAnsi="宋体" w:cs="TimesNewRomanPSMT"/>
          <w:kern w:val="0"/>
          <w:szCs w:val="21"/>
        </w:rPr>
        <w:t>个</w:t>
      </w:r>
      <w:r>
        <w:rPr>
          <w:rFonts w:hint="eastAsia" w:ascii="宋体" w:hAnsi="宋体" w:cs="仿宋_GB2312"/>
          <w:kern w:val="0"/>
          <w:szCs w:val="21"/>
        </w:rPr>
        <w:t>的；</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）经评标委员会评审后否决所有投标的；</w:t>
      </w:r>
    </w:p>
    <w:p>
      <w:pPr>
        <w:autoSpaceDE w:val="0"/>
        <w:autoSpaceDN w:val="0"/>
        <w:adjustRightInd w:val="0"/>
        <w:spacing w:line="320" w:lineRule="exact"/>
        <w:ind w:firstLine="315" w:firstLineChars="150"/>
        <w:jc w:val="left"/>
        <w:rPr>
          <w:rFonts w:ascii="宋体" w:cs="仿宋_GB2312"/>
          <w:kern w:val="0"/>
          <w:szCs w:val="21"/>
        </w:rPr>
      </w:pPr>
      <w:bookmarkStart w:id="130" w:name="_8.2_不再招标"/>
      <w:bookmarkEnd w:id="130"/>
      <w:bookmarkStart w:id="131" w:name="_Toc266951091"/>
      <w:r>
        <w:rPr>
          <w:rFonts w:hint="eastAsia" w:ascii="宋体" w:hAnsi="宋体" w:cs="仿宋_GB2312"/>
          <w:kern w:val="0"/>
          <w:szCs w:val="21"/>
        </w:rPr>
        <w:t>（</w:t>
      </w:r>
      <w:r>
        <w:rPr>
          <w:rFonts w:ascii="宋体" w:hAnsi="宋体" w:cs="仿宋_GB2312"/>
          <w:kern w:val="0"/>
          <w:szCs w:val="21"/>
        </w:rPr>
        <w:t>3</w:t>
      </w:r>
      <w:r>
        <w:rPr>
          <w:rFonts w:hint="eastAsia" w:ascii="宋体" w:hAnsi="宋体" w:cs="仿宋_GB2312"/>
          <w:kern w:val="0"/>
          <w:szCs w:val="21"/>
        </w:rPr>
        <w:t>）在投标有效期内同意延长有效期的投标人少于</w:t>
      </w:r>
      <w:r>
        <w:rPr>
          <w:rFonts w:ascii="宋体" w:hAnsi="宋体" w:cs="仿宋_GB2312"/>
          <w:kern w:val="0"/>
          <w:szCs w:val="21"/>
        </w:rPr>
        <w:t>3</w:t>
      </w:r>
      <w:r>
        <w:rPr>
          <w:rFonts w:hint="eastAsia" w:ascii="宋体" w:hAnsi="宋体" w:cs="仿宋_GB2312"/>
          <w:kern w:val="0"/>
          <w:szCs w:val="21"/>
        </w:rPr>
        <w:t>个的；</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w:t>
      </w:r>
      <w:r>
        <w:rPr>
          <w:rFonts w:ascii="宋体" w:hAnsi="宋体" w:cs="仿宋_GB2312"/>
          <w:kern w:val="0"/>
          <w:szCs w:val="21"/>
        </w:rPr>
        <w:t>4</w:t>
      </w:r>
      <w:r>
        <w:rPr>
          <w:rFonts w:hint="eastAsia" w:ascii="宋体" w:hAnsi="宋体" w:cs="仿宋_GB2312"/>
          <w:kern w:val="0"/>
          <w:szCs w:val="21"/>
        </w:rPr>
        <w:t>）法律规定的其他情况。</w:t>
      </w:r>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投标人存在串通投标、弄虚作假等违法违规行为，或者撤销投标、或资格预审合格的投标人放弃投标、放弃中标资格的，不得参加本项目重新招标的投标，并依法予以处理。</w:t>
      </w:r>
    </w:p>
    <w:p>
      <w:pPr>
        <w:pStyle w:val="6"/>
        <w:spacing w:line="320" w:lineRule="exact"/>
      </w:pPr>
      <w:r>
        <w:rPr>
          <w:rFonts w:cs="TimesNewRomanPSMT"/>
        </w:rPr>
        <w:t xml:space="preserve">8.2 </w:t>
      </w:r>
      <w:r>
        <w:rPr>
          <w:rFonts w:hint="eastAsia"/>
        </w:rPr>
        <w:t>不再招标</w:t>
      </w:r>
      <w:bookmarkEnd w:id="131"/>
    </w:p>
    <w:p>
      <w:pPr>
        <w:spacing w:line="320" w:lineRule="exact"/>
        <w:ind w:firstLine="420" w:firstLineChars="200"/>
        <w:rPr>
          <w:szCs w:val="21"/>
        </w:rPr>
      </w:pPr>
      <w:r>
        <w:rPr>
          <w:rFonts w:hint="eastAsia" w:hAnsi="宋体"/>
          <w:szCs w:val="21"/>
        </w:rPr>
        <w:t>重新招标后投标人仍少于</w:t>
      </w:r>
      <w:r>
        <w:rPr>
          <w:szCs w:val="21"/>
        </w:rPr>
        <w:t xml:space="preserve">3 </w:t>
      </w:r>
      <w:r>
        <w:rPr>
          <w:rFonts w:hint="eastAsia" w:hAnsi="宋体"/>
          <w:szCs w:val="21"/>
        </w:rPr>
        <w:t>个或者所有投标被否决的，属于必须审批或核准的工程建设项目，经原审批或核准部门批准后可不再进行招标。</w:t>
      </w:r>
    </w:p>
    <w:p>
      <w:pPr>
        <w:pStyle w:val="5"/>
        <w:spacing w:line="320" w:lineRule="exact"/>
      </w:pPr>
      <w:bookmarkStart w:id="132" w:name="_Toc275956110"/>
      <w:bookmarkStart w:id="133" w:name="_Toc266951092"/>
      <w:r>
        <w:rPr>
          <w:rFonts w:cs="TimesNewRomanPSMT"/>
        </w:rPr>
        <w:t xml:space="preserve">9. </w:t>
      </w:r>
      <w:r>
        <w:rPr>
          <w:rFonts w:hint="eastAsia"/>
        </w:rPr>
        <w:t>纪律和监督</w:t>
      </w:r>
      <w:bookmarkEnd w:id="132"/>
      <w:bookmarkEnd w:id="133"/>
    </w:p>
    <w:p>
      <w:pPr>
        <w:pStyle w:val="6"/>
        <w:spacing w:line="320" w:lineRule="exact"/>
      </w:pPr>
      <w:bookmarkStart w:id="134" w:name="_9.1_对招标人的纪律要求"/>
      <w:bookmarkEnd w:id="134"/>
      <w:bookmarkStart w:id="135" w:name="_Toc266951093"/>
      <w:r>
        <w:rPr>
          <w:rFonts w:cs="TimesNewRomanPSMT"/>
        </w:rPr>
        <w:t xml:space="preserve">9.1 </w:t>
      </w:r>
      <w:r>
        <w:rPr>
          <w:rFonts w:hint="eastAsia"/>
        </w:rPr>
        <w:t>对招标人的纪律要求</w:t>
      </w:r>
      <w:bookmarkEnd w:id="135"/>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招标人不得泄漏招标投标活动中应当保密的情况和资料，不得与投标人串通损害国家利益、社会公共利益或者他人合法权益。</w:t>
      </w:r>
    </w:p>
    <w:p>
      <w:pPr>
        <w:pStyle w:val="6"/>
        <w:spacing w:line="320" w:lineRule="exact"/>
      </w:pPr>
      <w:bookmarkStart w:id="136" w:name="_9.2_对投标人的纪律要求"/>
      <w:bookmarkEnd w:id="136"/>
      <w:bookmarkStart w:id="137" w:name="_Toc266951094"/>
      <w:r>
        <w:rPr>
          <w:rFonts w:cs="TimesNewRomanPSMT"/>
        </w:rPr>
        <w:t xml:space="preserve">9.2 </w:t>
      </w:r>
      <w:r>
        <w:rPr>
          <w:rFonts w:hint="eastAsia"/>
        </w:rPr>
        <w:t>对投标人的纪律要求</w:t>
      </w:r>
      <w:bookmarkEnd w:id="137"/>
    </w:p>
    <w:p>
      <w:pPr>
        <w:autoSpaceDE w:val="0"/>
        <w:autoSpaceDN w:val="0"/>
        <w:adjustRightInd w:val="0"/>
        <w:spacing w:line="340" w:lineRule="exact"/>
        <w:ind w:firstLine="315" w:firstLineChars="150"/>
        <w:jc w:val="left"/>
        <w:rPr>
          <w:rFonts w:ascii="宋体" w:cs="仿宋_GB2312"/>
          <w:kern w:val="0"/>
          <w:szCs w:val="21"/>
        </w:rPr>
      </w:pPr>
      <w:r>
        <w:rPr>
          <w:rFonts w:hint="eastAsia" w:ascii="宋体" w:hAnsi="宋体" w:cs="仿宋_GB2312"/>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spacing w:line="340" w:lineRule="exact"/>
      </w:pPr>
      <w:bookmarkStart w:id="138" w:name="_9.3_对评标委员会成员的纪律要求"/>
      <w:bookmarkEnd w:id="138"/>
      <w:bookmarkStart w:id="139" w:name="_Toc266951095"/>
      <w:r>
        <w:rPr>
          <w:rFonts w:cs="TimesNewRomanPSMT"/>
        </w:rPr>
        <w:t xml:space="preserve">9.3 </w:t>
      </w:r>
      <w:r>
        <w:rPr>
          <w:rFonts w:hint="eastAsia"/>
        </w:rPr>
        <w:t>对评标委员会成员的纪律要求</w:t>
      </w:r>
      <w:bookmarkEnd w:id="139"/>
    </w:p>
    <w:p>
      <w:pPr>
        <w:autoSpaceDE w:val="0"/>
        <w:autoSpaceDN w:val="0"/>
        <w:adjustRightInd w:val="0"/>
        <w:spacing w:line="340" w:lineRule="exact"/>
        <w:ind w:firstLine="315" w:firstLineChars="150"/>
        <w:jc w:val="left"/>
        <w:rPr>
          <w:rFonts w:ascii="宋体" w:cs="仿宋_GB2312"/>
          <w:kern w:val="0"/>
          <w:szCs w:val="21"/>
        </w:rPr>
      </w:pPr>
      <w:r>
        <w:rPr>
          <w:rFonts w:hint="eastAsia" w:ascii="宋体" w:hAnsi="宋体" w:cs="仿宋_GB2312"/>
          <w:kern w:val="0"/>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w:t>
      </w:r>
      <w:r>
        <w:fldChar w:fldCharType="begin"/>
      </w:r>
      <w:r>
        <w:instrText xml:space="preserve"> HYPERLINK "file:///H:\\泰州招标文件范本\\泰州市房屋建筑和市政工程施工2016.4.docx" \l "_第三章_评标办法（经评审的合理低价法）" </w:instrText>
      </w:r>
      <w:r>
        <w:fldChar w:fldCharType="separate"/>
      </w:r>
      <w:r>
        <w:rPr>
          <w:rStyle w:val="22"/>
          <w:rFonts w:hint="eastAsia" w:ascii="宋体" w:hAnsi="宋体" w:cs="仿宋_GB2312"/>
          <w:color w:val="auto"/>
          <w:szCs w:val="21"/>
        </w:rPr>
        <w:t>评标办法</w:t>
      </w:r>
      <w:r>
        <w:rPr>
          <w:rStyle w:val="22"/>
          <w:rFonts w:hint="eastAsia" w:ascii="宋体" w:hAnsi="宋体" w:cs="仿宋_GB2312"/>
          <w:color w:val="auto"/>
          <w:szCs w:val="21"/>
        </w:rPr>
        <w:fldChar w:fldCharType="end"/>
      </w:r>
      <w:r>
        <w:rPr>
          <w:rFonts w:hint="eastAsia" w:ascii="宋体" w:hAnsi="宋体" w:cs="仿宋_GB2312"/>
          <w:kern w:val="0"/>
          <w:szCs w:val="21"/>
        </w:rPr>
        <w:t>”没有规定的评审因素和标准进行评标。</w:t>
      </w:r>
    </w:p>
    <w:p>
      <w:pPr>
        <w:pStyle w:val="6"/>
        <w:spacing w:line="340" w:lineRule="exact"/>
      </w:pPr>
      <w:bookmarkStart w:id="140" w:name="_9.4_对与评标活动有关的工作人员的纪律要求"/>
      <w:bookmarkEnd w:id="140"/>
      <w:bookmarkStart w:id="141" w:name="_Toc266951096"/>
      <w:r>
        <w:rPr>
          <w:rFonts w:cs="TimesNewRomanPSMT"/>
        </w:rPr>
        <w:t xml:space="preserve">9.4 </w:t>
      </w:r>
      <w:r>
        <w:rPr>
          <w:rFonts w:hint="eastAsia"/>
        </w:rPr>
        <w:t>对与评标活动有关的工作人员纪律要求</w:t>
      </w:r>
      <w:bookmarkEnd w:id="141"/>
    </w:p>
    <w:p>
      <w:pPr>
        <w:autoSpaceDE w:val="0"/>
        <w:autoSpaceDN w:val="0"/>
        <w:adjustRightInd w:val="0"/>
        <w:spacing w:line="340" w:lineRule="exact"/>
        <w:ind w:firstLine="315" w:firstLineChars="150"/>
        <w:jc w:val="left"/>
        <w:rPr>
          <w:rFonts w:ascii="宋体" w:cs="仿宋_GB2312"/>
          <w:kern w:val="0"/>
          <w:szCs w:val="21"/>
        </w:rPr>
      </w:pPr>
      <w:r>
        <w:rPr>
          <w:rFonts w:hint="eastAsia" w:ascii="宋体" w:hAnsi="宋体" w:cs="仿宋_GB2312"/>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不得利用职务之便，干扰评标活动，影响评标程序正常进行。</w:t>
      </w:r>
    </w:p>
    <w:p>
      <w:pPr>
        <w:pStyle w:val="6"/>
        <w:spacing w:line="320" w:lineRule="exact"/>
        <w:rPr>
          <w:rFonts w:cs="黑体"/>
        </w:rPr>
      </w:pPr>
      <w:bookmarkStart w:id="142" w:name="_9.5_投诉"/>
      <w:bookmarkEnd w:id="142"/>
      <w:bookmarkStart w:id="143" w:name="_Toc266951097"/>
      <w:r>
        <w:t xml:space="preserve">9.5 </w:t>
      </w:r>
      <w:r>
        <w:rPr>
          <w:rFonts w:hint="eastAsia" w:cs="黑体"/>
        </w:rPr>
        <w:t>投诉</w:t>
      </w:r>
      <w:bookmarkEnd w:id="143"/>
    </w:p>
    <w:p>
      <w:pPr>
        <w:autoSpaceDE w:val="0"/>
        <w:autoSpaceDN w:val="0"/>
        <w:adjustRightInd w:val="0"/>
        <w:spacing w:line="320" w:lineRule="exact"/>
        <w:ind w:firstLine="315" w:firstLineChars="150"/>
        <w:jc w:val="left"/>
        <w:rPr>
          <w:rFonts w:ascii="宋体" w:cs="仿宋_GB2312"/>
          <w:kern w:val="0"/>
          <w:szCs w:val="21"/>
        </w:rPr>
      </w:pPr>
      <w:r>
        <w:rPr>
          <w:rFonts w:hint="eastAsia" w:ascii="宋体" w:hAnsi="宋体" w:cs="仿宋_GB2312"/>
          <w:kern w:val="0"/>
          <w:szCs w:val="21"/>
        </w:rPr>
        <w:t>投标人和其他利害关系人认为本次招标活动违反法律、法规和规章规定的，有权向有关</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行政监督部门投诉。</w:t>
      </w:r>
    </w:p>
    <w:p>
      <w:pPr>
        <w:autoSpaceDE w:val="0"/>
        <w:autoSpaceDN w:val="0"/>
        <w:adjustRightInd w:val="0"/>
        <w:spacing w:line="320" w:lineRule="exact"/>
        <w:jc w:val="left"/>
        <w:rPr>
          <w:rFonts w:ascii="宋体" w:cs="仿宋_GB2312"/>
          <w:kern w:val="0"/>
          <w:szCs w:val="21"/>
        </w:rPr>
      </w:pPr>
      <w:r>
        <w:rPr>
          <w:rFonts w:ascii="宋体" w:hAnsi="宋体" w:cs="仿宋_GB2312"/>
          <w:kern w:val="0"/>
          <w:szCs w:val="21"/>
        </w:rPr>
        <w:t>9.5.1</w:t>
      </w:r>
      <w:r>
        <w:rPr>
          <w:rFonts w:hint="eastAsia" w:ascii="宋体" w:hAnsi="宋体" w:cs="仿宋_GB2312"/>
          <w:kern w:val="0"/>
          <w:szCs w:val="21"/>
        </w:rPr>
        <w:t>投标人或者其他利害关系人认为招标投标活动不符合法律、行政法规规定的，可以自知道或者应当知道之日起</w:t>
      </w:r>
      <w:r>
        <w:rPr>
          <w:rFonts w:ascii="宋体" w:hAnsi="宋体" w:cs="仿宋_GB2312"/>
          <w:kern w:val="0"/>
          <w:szCs w:val="21"/>
        </w:rPr>
        <w:t>10</w:t>
      </w:r>
      <w:r>
        <w:rPr>
          <w:rFonts w:hint="eastAsia" w:ascii="宋体" w:hAnsi="宋体" w:cs="仿宋_GB2312"/>
          <w:kern w:val="0"/>
          <w:szCs w:val="21"/>
        </w:rPr>
        <w:t>日内向有关行政监督部门投诉。投诉应当有明确的请求和必要的证明材料。</w:t>
      </w:r>
    </w:p>
    <w:p>
      <w:pPr>
        <w:autoSpaceDE w:val="0"/>
        <w:autoSpaceDN w:val="0"/>
        <w:adjustRightInd w:val="0"/>
        <w:spacing w:line="320" w:lineRule="exact"/>
        <w:jc w:val="left"/>
        <w:rPr>
          <w:rFonts w:ascii="宋体" w:cs="仿宋_GB2312"/>
          <w:kern w:val="0"/>
          <w:szCs w:val="21"/>
        </w:rPr>
      </w:pPr>
      <w:r>
        <w:rPr>
          <w:rFonts w:ascii="宋体" w:hAnsi="宋体" w:cs="仿宋_GB2312"/>
          <w:kern w:val="0"/>
          <w:szCs w:val="21"/>
        </w:rPr>
        <w:t xml:space="preserve">    9.5.2</w:t>
      </w:r>
      <w:r>
        <w:rPr>
          <w:rFonts w:hint="eastAsia" w:ascii="宋体" w:hAnsi="宋体" w:cs="仿宋_GB2312"/>
          <w:kern w:val="0"/>
          <w:szCs w:val="21"/>
        </w:rPr>
        <w:t>就《中华人民共和国招标投标法实施条例》第二十二条、第四十四条、第五十四条规定事项投诉的，应当先向招标人提出异议，异议答复期间不计算在前款规定的期限内。未按上述规定向招标人提出异议的，行政监督部门将不予受理其投诉。</w:t>
      </w:r>
    </w:p>
    <w:p>
      <w:pPr>
        <w:autoSpaceDE w:val="0"/>
        <w:autoSpaceDN w:val="0"/>
        <w:adjustRightInd w:val="0"/>
        <w:spacing w:line="320" w:lineRule="exact"/>
        <w:jc w:val="left"/>
        <w:rPr>
          <w:rFonts w:ascii="宋体" w:cs="仿宋_GB2312"/>
          <w:kern w:val="0"/>
          <w:szCs w:val="21"/>
        </w:rPr>
      </w:pPr>
      <w:r>
        <w:rPr>
          <w:rFonts w:ascii="宋体" w:hAnsi="宋体" w:cs="仿宋_GB2312"/>
          <w:kern w:val="0"/>
          <w:szCs w:val="21"/>
        </w:rPr>
        <w:t xml:space="preserve">    9.5.3</w:t>
      </w:r>
      <w:r>
        <w:rPr>
          <w:rFonts w:hint="eastAsia" w:ascii="宋体" w:hAnsi="宋体" w:cs="仿宋_GB2312"/>
          <w:kern w:val="0"/>
          <w:szCs w:val="21"/>
        </w:rPr>
        <w:t>投诉人捏造事实、伪造材料或者以非法手段取得证明材料进行投诉的，行政监督部门应当予以驳回，并作为不良行为予以公示。</w:t>
      </w:r>
    </w:p>
    <w:p>
      <w:pPr>
        <w:pStyle w:val="5"/>
        <w:spacing w:line="320" w:lineRule="exact"/>
        <w:rPr>
          <w:rFonts w:ascii="宋体" w:eastAsia="宋体" w:cs="Arial"/>
          <w:b/>
          <w:sz w:val="24"/>
        </w:rPr>
      </w:pPr>
      <w:bookmarkStart w:id="144" w:name="_Toc275956111"/>
      <w:bookmarkStart w:id="145" w:name="_Toc266951098"/>
      <w:r>
        <w:t xml:space="preserve">10. </w:t>
      </w:r>
      <w:r>
        <w:rPr>
          <w:rFonts w:hint="eastAsia" w:ascii="宋体" w:hAnsi="宋体" w:cs="Arial"/>
          <w:b/>
          <w:sz w:val="24"/>
        </w:rPr>
        <w:t>需要补充的其他内容</w:t>
      </w:r>
      <w:bookmarkEnd w:id="144"/>
      <w:bookmarkEnd w:id="145"/>
    </w:p>
    <w:p>
      <w:pPr>
        <w:spacing w:line="320" w:lineRule="exact"/>
        <w:ind w:firstLine="420" w:firstLineChars="200"/>
        <w:rPr>
          <w:highlight w:val="none"/>
        </w:rPr>
      </w:pPr>
      <w:r>
        <w:rPr>
          <w:rFonts w:hint="eastAsia"/>
          <w:highlight w:val="none"/>
        </w:rPr>
        <w:t>1、需要补充的其他内容：见投标人须知前附表。</w:t>
      </w:r>
    </w:p>
    <w:p>
      <w:pPr>
        <w:snapToGrid w:val="0"/>
        <w:ind w:firstLine="420" w:firstLineChars="200"/>
        <w:jc w:val="left"/>
        <w:rPr>
          <w:rFonts w:ascii="华文宋体" w:hAnsi="华文宋体" w:eastAsia="华文宋体"/>
          <w:b/>
          <w:color w:val="000000"/>
          <w:sz w:val="24"/>
          <w:highlight w:val="none"/>
        </w:rPr>
      </w:pPr>
      <w:r>
        <w:rPr>
          <w:rFonts w:hint="eastAsia"/>
          <w:highlight w:val="none"/>
        </w:rPr>
        <w:t>2、</w:t>
      </w:r>
      <w:r>
        <w:rPr>
          <w:rFonts w:hint="eastAsia" w:ascii="华文宋体" w:hAnsi="华文宋体" w:eastAsia="华文宋体"/>
          <w:b/>
          <w:color w:val="000000"/>
          <w:sz w:val="24"/>
          <w:highlight w:val="none"/>
        </w:rPr>
        <w:t>投标确认函</w:t>
      </w:r>
    </w:p>
    <w:p>
      <w:pPr>
        <w:snapToGrid w:val="0"/>
        <w:ind w:firstLine="480" w:firstLineChars="200"/>
        <w:jc w:val="center"/>
        <w:rPr>
          <w:rFonts w:ascii="华文宋体" w:hAnsi="华文宋体" w:eastAsia="华文宋体"/>
          <w:b/>
          <w:color w:val="000000"/>
          <w:sz w:val="24"/>
        </w:rPr>
      </w:pPr>
    </w:p>
    <w:p>
      <w:pPr>
        <w:snapToGrid w:val="0"/>
        <w:ind w:firstLine="480" w:firstLineChars="200"/>
        <w:rPr>
          <w:rFonts w:ascii="华文宋体" w:hAnsi="华文宋体" w:eastAsia="华文宋体"/>
          <w:color w:val="000000"/>
          <w:sz w:val="24"/>
        </w:rPr>
      </w:pPr>
      <w:r>
        <w:rPr>
          <w:rFonts w:hint="eastAsia" w:ascii="华文宋体" w:hAnsi="华文宋体" w:eastAsia="华文宋体"/>
          <w:color w:val="000000"/>
          <w:sz w:val="24"/>
        </w:rPr>
        <w:t>泰州职业技术学院：</w:t>
      </w:r>
    </w:p>
    <w:p>
      <w:pPr>
        <w:snapToGrid w:val="0"/>
        <w:ind w:firstLine="960" w:firstLineChars="400"/>
        <w:rPr>
          <w:rFonts w:ascii="华文宋体" w:hAnsi="华文宋体" w:eastAsia="华文宋体"/>
          <w:color w:val="000000"/>
          <w:sz w:val="24"/>
        </w:rPr>
      </w:pPr>
      <w:r>
        <w:rPr>
          <w:rFonts w:hint="eastAsia" w:ascii="华文宋体" w:hAnsi="华文宋体" w:eastAsia="华文宋体"/>
          <w:color w:val="000000"/>
          <w:sz w:val="24"/>
        </w:rPr>
        <w:t>我单位已下载了贵单位</w:t>
      </w:r>
      <w:r>
        <w:rPr>
          <w:rFonts w:hint="eastAsia" w:asciiTheme="minorEastAsia" w:hAnsiTheme="minorEastAsia" w:eastAsiaTheme="minorEastAsia" w:cstheme="minorEastAsia"/>
          <w:b/>
          <w:bCs/>
          <w:kern w:val="0"/>
          <w:sz w:val="44"/>
          <w:szCs w:val="44"/>
          <w:highlight w:val="none"/>
          <w:u w:val="single"/>
        </w:rPr>
        <w:t>泰州职业技术学院医学院外墙维修工程</w:t>
      </w:r>
      <w:r>
        <w:rPr>
          <w:rFonts w:hint="eastAsia" w:ascii="华文宋体" w:hAnsi="华文宋体" w:eastAsia="华文宋体"/>
          <w:color w:val="000000"/>
          <w:sz w:val="24"/>
        </w:rPr>
        <w:t>项目的招标文件，经我单位研究，决定准时参加本项目的采购活动。</w:t>
      </w:r>
    </w:p>
    <w:p>
      <w:pPr>
        <w:snapToGrid w:val="0"/>
        <w:ind w:left="424" w:leftChars="200" w:hanging="4" w:hangingChars="2"/>
        <w:rPr>
          <w:rFonts w:ascii="华文宋体" w:hAnsi="华文宋体" w:eastAsia="华文宋体"/>
          <w:color w:val="000000"/>
          <w:sz w:val="24"/>
        </w:rPr>
      </w:pPr>
      <w:r>
        <w:rPr>
          <w:rFonts w:hint="eastAsia" w:ascii="华文宋体" w:hAnsi="华文宋体" w:eastAsia="华文宋体"/>
          <w:color w:val="000000"/>
          <w:sz w:val="24"/>
        </w:rPr>
        <w:t>我单位名称：</w:t>
      </w:r>
      <w:r>
        <w:rPr>
          <w:rFonts w:hint="eastAsia" w:ascii="华文宋体" w:hAnsi="华文宋体" w:eastAsia="华文宋体"/>
          <w:color w:val="000000"/>
          <w:sz w:val="24"/>
          <w:u w:val="single"/>
        </w:rPr>
        <w:t xml:space="preserve"> </w:t>
      </w:r>
      <w:r>
        <w:rPr>
          <w:rFonts w:ascii="华文宋体" w:hAnsi="华文宋体" w:eastAsia="华文宋体"/>
          <w:color w:val="000000"/>
          <w:sz w:val="24"/>
          <w:u w:val="single"/>
        </w:rPr>
        <w:t xml:space="preserve">                                     </w:t>
      </w:r>
      <w:r>
        <w:rPr>
          <w:rFonts w:hint="eastAsia" w:ascii="华文宋体" w:hAnsi="华文宋体" w:eastAsia="华文宋体"/>
          <w:color w:val="000000"/>
          <w:sz w:val="24"/>
          <w:u w:val="single"/>
        </w:rPr>
        <w:t>；</w:t>
      </w:r>
    </w:p>
    <w:p>
      <w:pPr>
        <w:snapToGrid w:val="0"/>
        <w:ind w:left="424" w:leftChars="200" w:hanging="4" w:hangingChars="2"/>
        <w:rPr>
          <w:rFonts w:ascii="华文宋体" w:hAnsi="华文宋体" w:eastAsia="华文宋体"/>
          <w:color w:val="000000"/>
          <w:sz w:val="24"/>
        </w:rPr>
      </w:pPr>
      <w:r>
        <w:rPr>
          <w:rFonts w:hint="eastAsia" w:ascii="华文宋体" w:hAnsi="华文宋体" w:eastAsia="华文宋体"/>
          <w:color w:val="000000"/>
          <w:sz w:val="24"/>
        </w:rPr>
        <w:t xml:space="preserve">联 </w:t>
      </w:r>
      <w:r>
        <w:rPr>
          <w:rFonts w:ascii="华文宋体" w:hAnsi="华文宋体" w:eastAsia="华文宋体"/>
          <w:color w:val="000000"/>
          <w:sz w:val="24"/>
        </w:rPr>
        <w:t xml:space="preserve"> </w:t>
      </w:r>
      <w:r>
        <w:rPr>
          <w:rFonts w:hint="eastAsia" w:ascii="华文宋体" w:hAnsi="华文宋体" w:eastAsia="华文宋体"/>
          <w:color w:val="000000"/>
          <w:sz w:val="24"/>
        </w:rPr>
        <w:t xml:space="preserve">系 </w:t>
      </w:r>
      <w:r>
        <w:rPr>
          <w:rFonts w:ascii="华文宋体" w:hAnsi="华文宋体" w:eastAsia="华文宋体"/>
          <w:color w:val="000000"/>
          <w:sz w:val="24"/>
        </w:rPr>
        <w:t xml:space="preserve"> </w:t>
      </w:r>
      <w:r>
        <w:rPr>
          <w:rFonts w:hint="eastAsia" w:ascii="华文宋体" w:hAnsi="华文宋体" w:eastAsia="华文宋体"/>
          <w:color w:val="000000"/>
          <w:sz w:val="24"/>
        </w:rPr>
        <w:t>人：</w:t>
      </w:r>
      <w:r>
        <w:rPr>
          <w:rFonts w:hint="eastAsia" w:ascii="华文宋体" w:hAnsi="华文宋体" w:eastAsia="华文宋体"/>
          <w:color w:val="000000"/>
          <w:sz w:val="24"/>
          <w:u w:val="single"/>
        </w:rPr>
        <w:t xml:space="preserve"> </w:t>
      </w:r>
      <w:r>
        <w:rPr>
          <w:rFonts w:ascii="华文宋体" w:hAnsi="华文宋体" w:eastAsia="华文宋体"/>
          <w:color w:val="000000"/>
          <w:sz w:val="24"/>
          <w:u w:val="single"/>
        </w:rPr>
        <w:t xml:space="preserve">                                     </w:t>
      </w:r>
      <w:r>
        <w:rPr>
          <w:rFonts w:hint="eastAsia" w:ascii="华文宋体" w:hAnsi="华文宋体" w:eastAsia="华文宋体"/>
          <w:color w:val="000000"/>
          <w:sz w:val="24"/>
          <w:u w:val="single"/>
        </w:rPr>
        <w:t>；</w:t>
      </w:r>
    </w:p>
    <w:p>
      <w:pPr>
        <w:snapToGrid w:val="0"/>
        <w:ind w:left="424" w:leftChars="200" w:hanging="4" w:hangingChars="2"/>
        <w:rPr>
          <w:rFonts w:ascii="华文宋体" w:hAnsi="华文宋体" w:eastAsia="华文宋体"/>
          <w:color w:val="000000"/>
          <w:sz w:val="24"/>
        </w:rPr>
      </w:pPr>
      <w:r>
        <w:rPr>
          <w:rFonts w:hint="eastAsia" w:ascii="华文宋体" w:hAnsi="华文宋体" w:eastAsia="华文宋体"/>
          <w:color w:val="000000"/>
          <w:sz w:val="24"/>
        </w:rPr>
        <w:t xml:space="preserve">手 </w:t>
      </w:r>
      <w:r>
        <w:rPr>
          <w:rFonts w:ascii="华文宋体" w:hAnsi="华文宋体" w:eastAsia="华文宋体"/>
          <w:color w:val="000000"/>
          <w:sz w:val="24"/>
        </w:rPr>
        <w:t xml:space="preserve">     </w:t>
      </w:r>
      <w:r>
        <w:rPr>
          <w:rFonts w:hint="eastAsia" w:ascii="华文宋体" w:hAnsi="华文宋体" w:eastAsia="华文宋体"/>
          <w:color w:val="000000"/>
          <w:sz w:val="24"/>
        </w:rPr>
        <w:t>机：</w:t>
      </w:r>
      <w:r>
        <w:rPr>
          <w:rFonts w:hint="eastAsia" w:ascii="华文宋体" w:hAnsi="华文宋体" w:eastAsia="华文宋体"/>
          <w:color w:val="000000"/>
          <w:sz w:val="24"/>
          <w:u w:val="single"/>
        </w:rPr>
        <w:t xml:space="preserve"> </w:t>
      </w:r>
      <w:r>
        <w:rPr>
          <w:rFonts w:ascii="华文宋体" w:hAnsi="华文宋体" w:eastAsia="华文宋体"/>
          <w:color w:val="000000"/>
          <w:sz w:val="24"/>
          <w:u w:val="single"/>
        </w:rPr>
        <w:t xml:space="preserve">                                     </w:t>
      </w:r>
      <w:r>
        <w:rPr>
          <w:rFonts w:hint="eastAsia" w:ascii="华文宋体" w:hAnsi="华文宋体" w:eastAsia="华文宋体"/>
          <w:color w:val="000000"/>
          <w:sz w:val="24"/>
          <w:u w:val="single"/>
        </w:rPr>
        <w:t>；</w:t>
      </w:r>
    </w:p>
    <w:p>
      <w:pPr>
        <w:snapToGrid w:val="0"/>
        <w:ind w:left="424" w:leftChars="200" w:hanging="4" w:hangingChars="2"/>
        <w:rPr>
          <w:rFonts w:ascii="华文宋体" w:hAnsi="华文宋体" w:eastAsia="华文宋体"/>
          <w:color w:val="000000"/>
          <w:sz w:val="24"/>
        </w:rPr>
      </w:pPr>
      <w:r>
        <w:rPr>
          <w:rFonts w:hint="eastAsia" w:ascii="华文宋体" w:hAnsi="华文宋体" w:eastAsia="华文宋体"/>
          <w:color w:val="000000"/>
          <w:sz w:val="24"/>
        </w:rPr>
        <w:t xml:space="preserve">邮  </w:t>
      </w:r>
      <w:r>
        <w:rPr>
          <w:rFonts w:ascii="华文宋体" w:hAnsi="华文宋体" w:eastAsia="华文宋体"/>
          <w:color w:val="000000"/>
          <w:sz w:val="24"/>
        </w:rPr>
        <w:t xml:space="preserve">   </w:t>
      </w:r>
      <w:r>
        <w:rPr>
          <w:rFonts w:hint="eastAsia" w:ascii="华文宋体" w:hAnsi="华文宋体" w:eastAsia="华文宋体"/>
          <w:color w:val="000000"/>
          <w:sz w:val="24"/>
        </w:rPr>
        <w:t>箱：</w:t>
      </w:r>
      <w:r>
        <w:rPr>
          <w:rFonts w:hint="eastAsia" w:ascii="华文宋体" w:hAnsi="华文宋体" w:eastAsia="华文宋体"/>
          <w:color w:val="000000"/>
          <w:sz w:val="24"/>
          <w:u w:val="single"/>
        </w:rPr>
        <w:t xml:space="preserve"> </w:t>
      </w:r>
      <w:r>
        <w:rPr>
          <w:rFonts w:ascii="华文宋体" w:hAnsi="华文宋体" w:eastAsia="华文宋体"/>
          <w:color w:val="000000"/>
          <w:sz w:val="24"/>
          <w:u w:val="single"/>
        </w:rPr>
        <w:t xml:space="preserve">                                     </w:t>
      </w:r>
      <w:r>
        <w:rPr>
          <w:rFonts w:hint="eastAsia" w:ascii="华文宋体" w:hAnsi="华文宋体" w:eastAsia="华文宋体"/>
          <w:color w:val="000000"/>
          <w:sz w:val="24"/>
          <w:u w:val="single"/>
        </w:rPr>
        <w:t>；</w:t>
      </w:r>
    </w:p>
    <w:p>
      <w:pPr>
        <w:snapToGrid w:val="0"/>
        <w:ind w:left="424" w:leftChars="200" w:hanging="4" w:hangingChars="2"/>
        <w:rPr>
          <w:rFonts w:ascii="华文宋体" w:hAnsi="华文宋体" w:eastAsia="华文宋体"/>
          <w:color w:val="000000"/>
          <w:sz w:val="24"/>
        </w:rPr>
      </w:pPr>
      <w:r>
        <w:rPr>
          <w:rFonts w:hint="eastAsia" w:ascii="华文宋体" w:hAnsi="华文宋体" w:eastAsia="华文宋体"/>
          <w:color w:val="000000"/>
          <w:sz w:val="24"/>
        </w:rPr>
        <w:t>单 位（盖章）：</w:t>
      </w:r>
      <w:r>
        <w:rPr>
          <w:rFonts w:hint="eastAsia" w:ascii="华文宋体" w:hAnsi="华文宋体" w:eastAsia="华文宋体"/>
          <w:color w:val="000000"/>
          <w:sz w:val="24"/>
          <w:u w:val="single"/>
        </w:rPr>
        <w:t xml:space="preserve"> </w:t>
      </w:r>
      <w:r>
        <w:rPr>
          <w:rFonts w:ascii="华文宋体" w:hAnsi="华文宋体" w:eastAsia="华文宋体"/>
          <w:color w:val="000000"/>
          <w:sz w:val="24"/>
          <w:u w:val="single"/>
        </w:rPr>
        <w:t xml:space="preserve">                                     </w:t>
      </w:r>
      <w:r>
        <w:rPr>
          <w:rFonts w:hint="eastAsia" w:ascii="华文宋体" w:hAnsi="华文宋体" w:eastAsia="华文宋体"/>
          <w:color w:val="000000"/>
          <w:sz w:val="24"/>
          <w:u w:val="single"/>
        </w:rPr>
        <w:t>；</w:t>
      </w:r>
    </w:p>
    <w:p>
      <w:r>
        <w:rPr>
          <w:rFonts w:ascii="华文宋体" w:hAnsi="华文宋体" w:eastAsia="华文宋体"/>
          <w:color w:val="000000"/>
          <w:sz w:val="24"/>
        </w:rPr>
        <w:t xml:space="preserve"> </w:t>
      </w:r>
      <w:r>
        <w:rPr>
          <w:rFonts w:ascii="华文宋体" w:hAnsi="华文宋体" w:eastAsia="华文宋体"/>
          <w:color w:val="000000"/>
          <w:sz w:val="24"/>
          <w:u w:val="single"/>
        </w:rPr>
        <w:t xml:space="preserve">            </w:t>
      </w:r>
      <w:r>
        <w:rPr>
          <w:rFonts w:hint="eastAsia" w:ascii="华文宋体" w:hAnsi="华文宋体" w:eastAsia="华文宋体"/>
          <w:color w:val="000000"/>
          <w:sz w:val="24"/>
        </w:rPr>
        <w:t>年</w:t>
      </w:r>
      <w:r>
        <w:rPr>
          <w:rFonts w:ascii="华文宋体" w:hAnsi="华文宋体" w:eastAsia="华文宋体"/>
          <w:color w:val="000000"/>
          <w:sz w:val="24"/>
        </w:rPr>
        <w:t xml:space="preserve"> </w:t>
      </w:r>
      <w:r>
        <w:rPr>
          <w:rFonts w:ascii="华文宋体" w:hAnsi="华文宋体" w:eastAsia="华文宋体"/>
          <w:color w:val="000000"/>
          <w:sz w:val="24"/>
          <w:u w:val="single"/>
        </w:rPr>
        <w:t xml:space="preserve">            </w:t>
      </w:r>
      <w:r>
        <w:rPr>
          <w:rFonts w:hint="eastAsia" w:ascii="华文宋体" w:hAnsi="华文宋体" w:eastAsia="华文宋体"/>
          <w:color w:val="000000"/>
          <w:sz w:val="24"/>
        </w:rPr>
        <w:t>月</w:t>
      </w:r>
      <w:r>
        <w:rPr>
          <w:rFonts w:ascii="华文宋体" w:hAnsi="华文宋体" w:eastAsia="华文宋体"/>
          <w:color w:val="000000"/>
          <w:sz w:val="24"/>
        </w:rPr>
        <w:t xml:space="preserve"> </w:t>
      </w:r>
      <w:r>
        <w:rPr>
          <w:rFonts w:ascii="华文宋体" w:hAnsi="华文宋体" w:eastAsia="华文宋体"/>
          <w:color w:val="000000"/>
          <w:sz w:val="24"/>
          <w:u w:val="single"/>
        </w:rPr>
        <w:t xml:space="preserve">            </w:t>
      </w:r>
      <w:r>
        <w:rPr>
          <w:rFonts w:hint="eastAsia" w:ascii="华文宋体" w:hAnsi="华文宋体" w:eastAsia="华文宋体"/>
          <w:color w:val="000000"/>
          <w:sz w:val="24"/>
        </w:rPr>
        <w:t>日</w:t>
      </w:r>
    </w:p>
    <w:p>
      <w:pPr>
        <w:pStyle w:val="37"/>
        <w:spacing w:before="0"/>
        <w:jc w:val="both"/>
        <w:outlineLvl w:val="0"/>
      </w:pPr>
    </w:p>
    <w:p>
      <w:pPr>
        <w:pStyle w:val="2"/>
      </w:pPr>
    </w:p>
    <w:p>
      <w:bookmarkStart w:id="146" w:name="_Toc275956121"/>
      <w:bookmarkStart w:id="147" w:name="_Toc275956132"/>
    </w:p>
    <w:p/>
    <w:p/>
    <w:p/>
    <w:bookmarkEnd w:id="146"/>
    <w:p>
      <w:pPr>
        <w:tabs>
          <w:tab w:val="left" w:pos="10953"/>
        </w:tabs>
        <w:spacing w:line="288" w:lineRule="auto"/>
        <w:ind w:firstLine="643" w:firstLineChars="200"/>
        <w:jc w:val="center"/>
        <w:textAlignment w:val="baseline"/>
        <w:rPr>
          <w:rStyle w:val="43"/>
          <w:rFonts w:ascii="宋体" w:hAnsi="宋体"/>
          <w:b/>
          <w:bCs/>
          <w:sz w:val="32"/>
          <w:szCs w:val="32"/>
        </w:rPr>
      </w:pPr>
      <w:bookmarkStart w:id="148" w:name="_Toc241459646"/>
      <w:bookmarkStart w:id="149" w:name="_Toc241484542"/>
    </w:p>
    <w:p>
      <w:pPr>
        <w:tabs>
          <w:tab w:val="left" w:pos="10953"/>
        </w:tabs>
        <w:spacing w:line="288" w:lineRule="auto"/>
        <w:ind w:firstLine="643" w:firstLineChars="200"/>
        <w:jc w:val="center"/>
        <w:textAlignment w:val="baseline"/>
        <w:rPr>
          <w:rStyle w:val="43"/>
          <w:rFonts w:ascii="宋体" w:hAnsi="宋体"/>
          <w:b/>
          <w:bCs/>
          <w:sz w:val="32"/>
          <w:szCs w:val="32"/>
        </w:rPr>
      </w:pPr>
    </w:p>
    <w:p>
      <w:pPr>
        <w:tabs>
          <w:tab w:val="left" w:pos="10953"/>
        </w:tabs>
        <w:spacing w:line="288" w:lineRule="auto"/>
        <w:ind w:firstLine="643" w:firstLineChars="200"/>
        <w:jc w:val="center"/>
        <w:textAlignment w:val="baseline"/>
        <w:rPr>
          <w:rStyle w:val="43"/>
          <w:rFonts w:ascii="宋体" w:hAnsi="宋体"/>
          <w:b/>
          <w:bCs/>
          <w:sz w:val="32"/>
          <w:szCs w:val="32"/>
        </w:rPr>
      </w:pPr>
    </w:p>
    <w:bookmarkEnd w:id="147"/>
    <w:bookmarkEnd w:id="148"/>
    <w:bookmarkEnd w:id="149"/>
    <w:p>
      <w:pPr>
        <w:pStyle w:val="4"/>
        <w:pageBreakBefore/>
      </w:pPr>
      <w:bookmarkStart w:id="150" w:name="_Toc275956142"/>
      <w:r>
        <w:rPr>
          <w:rFonts w:hint="eastAsia"/>
        </w:rPr>
        <w:t>第三章评标办法（经评审的最低投标价法）</w:t>
      </w:r>
    </w:p>
    <w:p>
      <w:pPr>
        <w:pStyle w:val="5"/>
        <w:spacing w:line="320" w:lineRule="exact"/>
      </w:pPr>
      <w:bookmarkStart w:id="151" w:name="_评标办法前附表"/>
      <w:bookmarkEnd w:id="151"/>
      <w:bookmarkStart w:id="152" w:name="_Toc275956122"/>
      <w:bookmarkStart w:id="153" w:name="_Toc241459640"/>
      <w:bookmarkStart w:id="154" w:name="_Toc179632606"/>
      <w:bookmarkStart w:id="155" w:name="_Toc152045588"/>
      <w:bookmarkStart w:id="156" w:name="_Toc152042365"/>
      <w:bookmarkStart w:id="157" w:name="_Toc144974555"/>
      <w:bookmarkStart w:id="158" w:name="_Toc241484536"/>
      <w:r>
        <w:rPr>
          <w:rFonts w:hint="eastAsia"/>
        </w:rPr>
        <w:t>评标办法前附表</w:t>
      </w:r>
      <w:bookmarkEnd w:id="152"/>
      <w:bookmarkEnd w:id="153"/>
      <w:bookmarkEnd w:id="154"/>
      <w:bookmarkEnd w:id="155"/>
      <w:bookmarkEnd w:id="156"/>
      <w:bookmarkEnd w:id="157"/>
      <w:bookmarkEnd w:id="158"/>
    </w:p>
    <w:p/>
    <w:tbl>
      <w:tblPr>
        <w:tblStyle w:val="19"/>
        <w:tblW w:w="8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066"/>
        <w:gridCol w:w="816"/>
        <w:gridCol w:w="1260"/>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813" w:type="dxa"/>
            <w:gridSpan w:val="2"/>
            <w:vAlign w:val="center"/>
          </w:tcPr>
          <w:p>
            <w:pPr>
              <w:jc w:val="center"/>
              <w:rPr>
                <w:b/>
              </w:rPr>
            </w:pPr>
            <w:r>
              <w:rPr>
                <w:rFonts w:hint="eastAsia"/>
                <w:b/>
              </w:rPr>
              <w:t>条款号</w:t>
            </w:r>
          </w:p>
        </w:tc>
        <w:tc>
          <w:tcPr>
            <w:tcW w:w="2076" w:type="dxa"/>
            <w:gridSpan w:val="2"/>
            <w:vAlign w:val="center"/>
          </w:tcPr>
          <w:p>
            <w:pPr>
              <w:jc w:val="center"/>
              <w:rPr>
                <w:b/>
              </w:rPr>
            </w:pPr>
            <w:r>
              <w:rPr>
                <w:rFonts w:hint="eastAsia"/>
                <w:b/>
              </w:rPr>
              <w:t>评审因素</w:t>
            </w:r>
          </w:p>
        </w:tc>
        <w:tc>
          <w:tcPr>
            <w:tcW w:w="4815" w:type="dxa"/>
            <w:vAlign w:val="center"/>
          </w:tcPr>
          <w:p>
            <w:pPr>
              <w:jc w:val="center"/>
              <w:rPr>
                <w:b/>
              </w:rPr>
            </w:pPr>
            <w:r>
              <w:rPr>
                <w:rFonts w:hint="eastAsia"/>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restart"/>
            <w:vAlign w:val="center"/>
          </w:tcPr>
          <w:p>
            <w:bookmarkStart w:id="159" w:name="_2.1.1_1"/>
            <w:bookmarkEnd w:id="159"/>
            <w:r>
              <w:t>2.1.1</w:t>
            </w:r>
          </w:p>
        </w:tc>
        <w:tc>
          <w:tcPr>
            <w:tcW w:w="1066" w:type="dxa"/>
            <w:vMerge w:val="restart"/>
            <w:vAlign w:val="center"/>
          </w:tcPr>
          <w:p>
            <w:pPr>
              <w:rPr>
                <w:b/>
              </w:rPr>
            </w:pPr>
            <w:r>
              <w:rPr>
                <w:rFonts w:hint="eastAsia"/>
                <w:b/>
              </w:rPr>
              <w:t>形式评审标准</w:t>
            </w:r>
          </w:p>
        </w:tc>
        <w:tc>
          <w:tcPr>
            <w:tcW w:w="2076" w:type="dxa"/>
            <w:gridSpan w:val="2"/>
            <w:vAlign w:val="center"/>
          </w:tcPr>
          <w:p>
            <w:r>
              <w:rPr>
                <w:rFonts w:hint="eastAsia"/>
              </w:rPr>
              <w:t>投标人名称</w:t>
            </w:r>
          </w:p>
        </w:tc>
        <w:tc>
          <w:tcPr>
            <w:tcW w:w="4815" w:type="dxa"/>
            <w:vAlign w:val="center"/>
          </w:tcPr>
          <w:p>
            <w:r>
              <w:rPr>
                <w:rFonts w:hint="eastAsia"/>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vMerge w:val="continue"/>
            <w:vAlign w:val="center"/>
          </w:tcPr>
          <w:p>
            <w:pPr>
              <w:widowControl/>
              <w:jc w:val="left"/>
              <w:rPr>
                <w:b/>
              </w:rPr>
            </w:pPr>
          </w:p>
        </w:tc>
        <w:tc>
          <w:tcPr>
            <w:tcW w:w="2076" w:type="dxa"/>
            <w:gridSpan w:val="2"/>
            <w:vAlign w:val="center"/>
          </w:tcPr>
          <w:p>
            <w:r>
              <w:rPr>
                <w:rFonts w:hint="eastAsia"/>
              </w:rPr>
              <w:t>投标文件签字盖章</w:t>
            </w:r>
          </w:p>
        </w:tc>
        <w:tc>
          <w:tcPr>
            <w:tcW w:w="4815" w:type="dxa"/>
            <w:vAlign w:val="center"/>
          </w:tcPr>
          <w:p>
            <w:r>
              <w:rPr>
                <w:rFonts w:hint="eastAsia" w:ascii="宋体" w:hAnsi="宋体" w:cs="Arial"/>
                <w:szCs w:val="21"/>
              </w:rPr>
              <w:t>符合</w:t>
            </w:r>
            <w:r>
              <w:rPr>
                <w:rFonts w:hint="eastAsia"/>
              </w:rPr>
              <w:t>第二章</w:t>
            </w:r>
            <w:r>
              <w:rPr>
                <w:rFonts w:hint="eastAsia" w:ascii="宋体" w:hAnsi="宋体" w:cs="Arial"/>
                <w:szCs w:val="21"/>
                <w:u w:val="single"/>
              </w:rPr>
              <w:t>投标人须知前附表</w:t>
            </w:r>
            <w:r>
              <w:rPr>
                <w:rFonts w:ascii="宋体" w:hAnsi="宋体" w:cs="Arial"/>
                <w:szCs w:val="21"/>
                <w:u w:val="single"/>
              </w:rPr>
              <w:t>3.7.3</w:t>
            </w:r>
            <w:r>
              <w:rPr>
                <w:rFonts w:hint="eastAsia" w:ascii="宋体" w:hAnsi="宋体" w:cs="Arial"/>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vMerge w:val="continue"/>
            <w:vAlign w:val="center"/>
          </w:tcPr>
          <w:p>
            <w:pPr>
              <w:widowControl/>
              <w:jc w:val="left"/>
              <w:rPr>
                <w:b/>
              </w:rPr>
            </w:pPr>
          </w:p>
        </w:tc>
        <w:tc>
          <w:tcPr>
            <w:tcW w:w="2076" w:type="dxa"/>
            <w:gridSpan w:val="2"/>
            <w:vAlign w:val="center"/>
          </w:tcPr>
          <w:p>
            <w:r>
              <w:rPr>
                <w:rFonts w:hint="eastAsia"/>
              </w:rPr>
              <w:t>投标文件格式</w:t>
            </w:r>
          </w:p>
        </w:tc>
        <w:tc>
          <w:tcPr>
            <w:tcW w:w="4815" w:type="dxa"/>
            <w:vAlign w:val="center"/>
          </w:tcPr>
          <w:p>
            <w:r>
              <w:rPr>
                <w:rFonts w:hint="eastAsia"/>
              </w:rPr>
              <w:t>符合第五章</w:t>
            </w:r>
            <w:r>
              <w:t>“</w:t>
            </w:r>
            <w:r>
              <w:fldChar w:fldCharType="begin"/>
            </w:r>
            <w:r>
              <w:instrText xml:space="preserve"> HYPERLINK "file:///H:\\泰州招标文件范本\\泰州市房屋建筑和市政工程施工2016.4.docx" \l "_第八章__投标文件格式" </w:instrText>
            </w:r>
            <w:r>
              <w:fldChar w:fldCharType="separate"/>
            </w:r>
            <w:r>
              <w:rPr>
                <w:rStyle w:val="22"/>
                <w:rFonts w:hint="eastAsia"/>
                <w:color w:val="auto"/>
              </w:rPr>
              <w:t>投标文件格式</w:t>
            </w:r>
            <w:r>
              <w:rPr>
                <w:rStyle w:val="22"/>
                <w:rFonts w:hint="eastAsia"/>
                <w:color w:val="auto"/>
              </w:rPr>
              <w:fldChar w:fldCharType="end"/>
            </w:r>
            <w:r>
              <w:t>”</w:t>
            </w:r>
            <w:r>
              <w:rPr>
                <w:rFonts w:hint="eastAsia"/>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vMerge w:val="continue"/>
            <w:vAlign w:val="center"/>
          </w:tcPr>
          <w:p>
            <w:pPr>
              <w:widowControl/>
              <w:jc w:val="left"/>
              <w:rPr>
                <w:b/>
              </w:rPr>
            </w:pPr>
          </w:p>
        </w:tc>
        <w:tc>
          <w:tcPr>
            <w:tcW w:w="2076" w:type="dxa"/>
            <w:gridSpan w:val="2"/>
            <w:vAlign w:val="center"/>
          </w:tcPr>
          <w:p>
            <w:r>
              <w:rPr>
                <w:rFonts w:hint="eastAsia"/>
              </w:rPr>
              <w:t>联合体投标人</w:t>
            </w:r>
          </w:p>
        </w:tc>
        <w:tc>
          <w:tcPr>
            <w:tcW w:w="4815" w:type="dxa"/>
            <w:vAlign w:val="center"/>
          </w:tcPr>
          <w:p>
            <w:r>
              <w:rPr>
                <w:rFonts w:hint="eastAsia"/>
              </w:rPr>
              <w:t>提交联合体协议书，并明确联合体牵头人（如有）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vMerge w:val="continue"/>
            <w:vAlign w:val="center"/>
          </w:tcPr>
          <w:p>
            <w:pPr>
              <w:widowControl/>
              <w:jc w:val="left"/>
              <w:rPr>
                <w:b/>
              </w:rPr>
            </w:pPr>
          </w:p>
        </w:tc>
        <w:tc>
          <w:tcPr>
            <w:tcW w:w="2076" w:type="dxa"/>
            <w:gridSpan w:val="2"/>
            <w:vAlign w:val="center"/>
          </w:tcPr>
          <w:p>
            <w:r>
              <w:rPr>
                <w:rFonts w:hint="eastAsia"/>
              </w:rPr>
              <w:t>报价唯一</w:t>
            </w:r>
          </w:p>
        </w:tc>
        <w:tc>
          <w:tcPr>
            <w:tcW w:w="4815" w:type="dxa"/>
            <w:vAlign w:val="center"/>
          </w:tcPr>
          <w:p>
            <w:r>
              <w:rPr>
                <w:rFonts w:hint="eastAsia"/>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vMerge w:val="continue"/>
            <w:vAlign w:val="center"/>
          </w:tcPr>
          <w:p>
            <w:pPr>
              <w:widowControl/>
              <w:jc w:val="left"/>
              <w:rPr>
                <w:b/>
              </w:rPr>
            </w:pPr>
          </w:p>
        </w:tc>
        <w:tc>
          <w:tcPr>
            <w:tcW w:w="2076" w:type="dxa"/>
            <w:gridSpan w:val="2"/>
            <w:vAlign w:val="center"/>
          </w:tcPr>
          <w:p>
            <w:r>
              <w:t>……</w:t>
            </w:r>
          </w:p>
        </w:tc>
        <w:tc>
          <w:tcPr>
            <w:tcW w:w="4815" w:type="dxa"/>
            <w:vAlign w:val="center"/>
          </w:tcPr>
          <w:p>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restart"/>
            <w:vAlign w:val="center"/>
          </w:tcPr>
          <w:p>
            <w:bookmarkStart w:id="160" w:name="_2.1.2_1"/>
            <w:bookmarkEnd w:id="160"/>
            <w:r>
              <w:t>2.1.2</w:t>
            </w:r>
          </w:p>
        </w:tc>
        <w:tc>
          <w:tcPr>
            <w:tcW w:w="1066" w:type="dxa"/>
            <w:vMerge w:val="restart"/>
            <w:vAlign w:val="center"/>
          </w:tcPr>
          <w:p>
            <w:pPr>
              <w:rPr>
                <w:b/>
              </w:rPr>
            </w:pPr>
            <w:r>
              <w:rPr>
                <w:rFonts w:hint="eastAsia"/>
                <w:b/>
              </w:rPr>
              <w:t>资格评审标准及资格后审</w:t>
            </w:r>
          </w:p>
        </w:tc>
        <w:tc>
          <w:tcPr>
            <w:tcW w:w="2076" w:type="dxa"/>
            <w:gridSpan w:val="2"/>
            <w:vAlign w:val="center"/>
          </w:tcPr>
          <w:p>
            <w:r>
              <w:rPr>
                <w:rFonts w:hint="eastAsia"/>
              </w:rPr>
              <w:t>营业执照</w:t>
            </w:r>
          </w:p>
        </w:tc>
        <w:tc>
          <w:tcPr>
            <w:tcW w:w="4815" w:type="dxa"/>
            <w:vAlign w:val="center"/>
          </w:tcPr>
          <w:p>
            <w:r>
              <w:rPr>
                <w:rFonts w:hint="eastAsia"/>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vMerge w:val="continue"/>
            <w:vAlign w:val="center"/>
          </w:tcPr>
          <w:p>
            <w:pPr>
              <w:widowControl/>
              <w:jc w:val="left"/>
              <w:rPr>
                <w:b/>
              </w:rPr>
            </w:pPr>
          </w:p>
        </w:tc>
        <w:tc>
          <w:tcPr>
            <w:tcW w:w="2076" w:type="dxa"/>
            <w:gridSpan w:val="2"/>
          </w:tcPr>
          <w:p>
            <w:r>
              <w:rPr>
                <w:rFonts w:hint="eastAsia"/>
              </w:rPr>
              <w:t>安全生产许可证</w:t>
            </w:r>
          </w:p>
        </w:tc>
        <w:tc>
          <w:tcPr>
            <w:tcW w:w="4815" w:type="dxa"/>
          </w:tcPr>
          <w:p>
            <w:r>
              <w:rPr>
                <w:rFonts w:hint="eastAsia"/>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vMerge w:val="continue"/>
            <w:vAlign w:val="center"/>
          </w:tcPr>
          <w:p>
            <w:pPr>
              <w:widowControl/>
              <w:jc w:val="left"/>
              <w:rPr>
                <w:b/>
              </w:rPr>
            </w:pPr>
          </w:p>
        </w:tc>
        <w:tc>
          <w:tcPr>
            <w:tcW w:w="2076" w:type="dxa"/>
            <w:gridSpan w:val="2"/>
            <w:vAlign w:val="center"/>
          </w:tcPr>
          <w:p>
            <w:r>
              <w:rPr>
                <w:rFonts w:hint="eastAsia"/>
              </w:rPr>
              <w:t>资质等级</w:t>
            </w:r>
          </w:p>
        </w:tc>
        <w:tc>
          <w:tcPr>
            <w:tcW w:w="4815" w:type="dxa"/>
            <w:vAlign w:val="center"/>
          </w:tcPr>
          <w:p>
            <w:r>
              <w:rPr>
                <w:rFonts w:hint="eastAsia"/>
              </w:rPr>
              <w:t>符合第二章“</w:t>
            </w:r>
            <w:r>
              <w:fldChar w:fldCharType="begin"/>
            </w:r>
            <w:r>
              <w:instrText xml:space="preserve"> HYPERLINK "file:///H:\\泰州招标文件范本\\泰州市房屋建筑和市政工程施工2016.4.docx" \l "_投标人资格要求" </w:instrText>
            </w:r>
            <w:r>
              <w:fldChar w:fldCharType="separate"/>
            </w:r>
            <w:r>
              <w:rPr>
                <w:rStyle w:val="22"/>
                <w:rFonts w:hint="eastAsia"/>
                <w:color w:val="auto"/>
              </w:rPr>
              <w:t>投标人须知”第</w:t>
            </w:r>
            <w:r>
              <w:rPr>
                <w:rStyle w:val="22"/>
                <w:color w:val="auto"/>
              </w:rPr>
              <w:t xml:space="preserve"> 1.4.1</w:t>
            </w:r>
            <w:r>
              <w:rPr>
                <w:rStyle w:val="22"/>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vMerge w:val="continue"/>
            <w:vAlign w:val="center"/>
          </w:tcPr>
          <w:p>
            <w:pPr>
              <w:widowControl/>
              <w:jc w:val="left"/>
              <w:rPr>
                <w:b/>
              </w:rPr>
            </w:pPr>
          </w:p>
        </w:tc>
        <w:tc>
          <w:tcPr>
            <w:tcW w:w="2076" w:type="dxa"/>
            <w:gridSpan w:val="2"/>
            <w:vAlign w:val="center"/>
          </w:tcPr>
          <w:p>
            <w:r>
              <w:rPr>
                <w:rFonts w:hint="eastAsia"/>
              </w:rPr>
              <w:t>企业基本存款账户</w:t>
            </w:r>
          </w:p>
          <w:p>
            <w:r>
              <w:rPr>
                <w:rFonts w:hint="eastAsia"/>
              </w:rPr>
              <w:t>开户许可证</w:t>
            </w:r>
          </w:p>
        </w:tc>
        <w:tc>
          <w:tcPr>
            <w:tcW w:w="4815" w:type="dxa"/>
            <w:vAlign w:val="center"/>
          </w:tcPr>
          <w:p>
            <w:r>
              <w:rPr>
                <w:rFonts w:hint="eastAsia"/>
              </w:rPr>
              <w:t>具备有效的企业基本存款账户开户许可证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vMerge w:val="continue"/>
            <w:vAlign w:val="center"/>
          </w:tcPr>
          <w:p>
            <w:pPr>
              <w:widowControl/>
              <w:jc w:val="left"/>
              <w:rPr>
                <w:b/>
              </w:rPr>
            </w:pPr>
          </w:p>
        </w:tc>
        <w:tc>
          <w:tcPr>
            <w:tcW w:w="2076" w:type="dxa"/>
            <w:gridSpan w:val="2"/>
            <w:vAlign w:val="center"/>
          </w:tcPr>
          <w:p>
            <w:r>
              <w:rPr>
                <w:rFonts w:hint="eastAsia"/>
              </w:rPr>
              <w:t>类似项目业绩</w:t>
            </w:r>
          </w:p>
        </w:tc>
        <w:tc>
          <w:tcPr>
            <w:tcW w:w="4815" w:type="dxa"/>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"_投标人资格要求" </w:instrText>
            </w:r>
            <w:r>
              <w:fldChar w:fldCharType="separate"/>
            </w:r>
            <w:r>
              <w:rPr>
                <w:rStyle w:val="22"/>
                <w:color w:val="auto"/>
              </w:rPr>
              <w:t>1.4.1</w:t>
            </w:r>
            <w:r>
              <w:rPr>
                <w:rStyle w:val="22"/>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vMerge w:val="continue"/>
            <w:vAlign w:val="center"/>
          </w:tcPr>
          <w:p>
            <w:pPr>
              <w:widowControl/>
              <w:jc w:val="left"/>
              <w:rPr>
                <w:b/>
              </w:rPr>
            </w:pPr>
          </w:p>
        </w:tc>
        <w:tc>
          <w:tcPr>
            <w:tcW w:w="2076" w:type="dxa"/>
            <w:gridSpan w:val="2"/>
            <w:vAlign w:val="center"/>
          </w:tcPr>
          <w:p>
            <w:r>
              <w:rPr>
                <w:rFonts w:hint="eastAsia"/>
              </w:rPr>
              <w:t>信誉</w:t>
            </w:r>
          </w:p>
        </w:tc>
        <w:tc>
          <w:tcPr>
            <w:tcW w:w="4815" w:type="dxa"/>
          </w:tcPr>
          <w:p>
            <w:r>
              <w:rPr>
                <w:rFonts w:hint="eastAsia"/>
              </w:rPr>
              <w:t>符合第二章“</w:t>
            </w:r>
            <w:r>
              <w:fldChar w:fldCharType="begin"/>
            </w:r>
            <w:r>
              <w:instrText xml:space="preserve"> HYPERLINK "file:///H:\\泰州招标文件范本\\泰州市房屋建筑和市政工程施工2016.4.docx" \l "_投标人资格要求" </w:instrText>
            </w:r>
            <w:r>
              <w:fldChar w:fldCharType="separate"/>
            </w:r>
            <w:r>
              <w:rPr>
                <w:rStyle w:val="22"/>
                <w:rFonts w:hint="eastAsia"/>
                <w:color w:val="auto"/>
              </w:rPr>
              <w:t>投标人须知”第</w:t>
            </w:r>
            <w:r>
              <w:rPr>
                <w:rStyle w:val="22"/>
                <w:color w:val="auto"/>
              </w:rPr>
              <w:t xml:space="preserve"> 1.4.1</w:t>
            </w:r>
            <w:r>
              <w:rPr>
                <w:rStyle w:val="22"/>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vMerge w:val="continue"/>
            <w:vAlign w:val="center"/>
          </w:tcPr>
          <w:p>
            <w:pPr>
              <w:widowControl/>
              <w:jc w:val="left"/>
              <w:rPr>
                <w:b/>
              </w:rPr>
            </w:pPr>
          </w:p>
        </w:tc>
        <w:tc>
          <w:tcPr>
            <w:tcW w:w="2076" w:type="dxa"/>
            <w:gridSpan w:val="2"/>
            <w:vAlign w:val="center"/>
          </w:tcPr>
          <w:p>
            <w:r>
              <w:rPr>
                <w:rFonts w:hint="eastAsia"/>
              </w:rPr>
              <w:t>项目经理</w:t>
            </w:r>
          </w:p>
        </w:tc>
        <w:tc>
          <w:tcPr>
            <w:tcW w:w="4815" w:type="dxa"/>
            <w:vAlign w:val="center"/>
          </w:tcPr>
          <w:p>
            <w:r>
              <w:rPr>
                <w:rFonts w:hint="eastAsia"/>
              </w:rPr>
              <w:t>符合第二章“</w:t>
            </w:r>
            <w:r>
              <w:fldChar w:fldCharType="begin"/>
            </w:r>
            <w:r>
              <w:instrText xml:space="preserve"> HYPERLINK "file:///H:\\泰州招标文件范本\\泰州市房屋建筑和市政工程施工2016.4.docx" \l "_投标人资格要求" </w:instrText>
            </w:r>
            <w:r>
              <w:fldChar w:fldCharType="separate"/>
            </w:r>
            <w:r>
              <w:rPr>
                <w:rStyle w:val="22"/>
                <w:rFonts w:hint="eastAsia"/>
                <w:color w:val="auto"/>
              </w:rPr>
              <w:t>投标人须知”第</w:t>
            </w:r>
            <w:r>
              <w:rPr>
                <w:rStyle w:val="22"/>
                <w:color w:val="auto"/>
              </w:rPr>
              <w:t xml:space="preserve"> 1.4.1</w:t>
            </w:r>
            <w:r>
              <w:rPr>
                <w:rStyle w:val="22"/>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vMerge w:val="continue"/>
            <w:vAlign w:val="center"/>
          </w:tcPr>
          <w:p>
            <w:pPr>
              <w:widowControl/>
              <w:jc w:val="left"/>
              <w:rPr>
                <w:b/>
              </w:rPr>
            </w:pPr>
          </w:p>
        </w:tc>
        <w:tc>
          <w:tcPr>
            <w:tcW w:w="2076" w:type="dxa"/>
            <w:gridSpan w:val="2"/>
            <w:vAlign w:val="center"/>
          </w:tcPr>
          <w:p>
            <w:r>
              <w:rPr>
                <w:rFonts w:hint="eastAsia"/>
              </w:rPr>
              <w:t>其他要求</w:t>
            </w:r>
          </w:p>
        </w:tc>
        <w:tc>
          <w:tcPr>
            <w:tcW w:w="4815" w:type="dxa"/>
            <w:vAlign w:val="center"/>
          </w:tcPr>
          <w:p>
            <w:r>
              <w:rPr>
                <w:rFonts w:hint="eastAsia"/>
              </w:rPr>
              <w:t>符合第二章“</w:t>
            </w:r>
            <w:r>
              <w:fldChar w:fldCharType="begin"/>
            </w:r>
            <w:r>
              <w:instrText xml:space="preserve"> HYPERLINK "file:///H:\\泰州招标文件范本\\泰州市房屋建筑和市政工程施工2016.4.docx" \l "_投标人资格要求" </w:instrText>
            </w:r>
            <w:r>
              <w:fldChar w:fldCharType="separate"/>
            </w:r>
            <w:r>
              <w:rPr>
                <w:rStyle w:val="22"/>
                <w:rFonts w:hint="eastAsia"/>
                <w:color w:val="auto"/>
              </w:rPr>
              <w:t>投标人须知”第</w:t>
            </w:r>
            <w:r>
              <w:rPr>
                <w:rStyle w:val="22"/>
                <w:color w:val="auto"/>
              </w:rPr>
              <w:t xml:space="preserve"> 1.4.1</w:t>
            </w:r>
            <w:r>
              <w:rPr>
                <w:rStyle w:val="22"/>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vMerge w:val="continue"/>
            <w:vAlign w:val="center"/>
          </w:tcPr>
          <w:p>
            <w:pPr>
              <w:widowControl/>
              <w:jc w:val="left"/>
              <w:rPr>
                <w:b/>
              </w:rPr>
            </w:pPr>
          </w:p>
        </w:tc>
        <w:tc>
          <w:tcPr>
            <w:tcW w:w="2076" w:type="dxa"/>
            <w:gridSpan w:val="2"/>
            <w:vAlign w:val="center"/>
          </w:tcPr>
          <w:p>
            <w:r>
              <w:rPr>
                <w:rFonts w:hint="eastAsia"/>
              </w:rPr>
              <w:t>联合体投标人</w:t>
            </w:r>
          </w:p>
        </w:tc>
        <w:tc>
          <w:tcPr>
            <w:tcW w:w="4815" w:type="dxa"/>
            <w:vAlign w:val="center"/>
          </w:tcPr>
          <w:p>
            <w:r>
              <w:rPr>
                <w:rFonts w:hint="eastAsia"/>
              </w:rPr>
              <w:t>符合第二章“</w:t>
            </w:r>
            <w:r>
              <w:rPr>
                <w:rFonts w:hint="eastAsia"/>
                <w:u w:val="single"/>
              </w:rPr>
              <w:t>投标人须知”第</w:t>
            </w:r>
            <w:r>
              <w:rPr>
                <w:u w:val="single"/>
              </w:rPr>
              <w:t xml:space="preserve"> 1.4.2</w:t>
            </w:r>
            <w:r>
              <w:rPr>
                <w:rFonts w:hint="eastAsia"/>
              </w:rPr>
              <w:t>项规定（如有）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vMerge w:val="continue"/>
            <w:vAlign w:val="center"/>
          </w:tcPr>
          <w:p>
            <w:pPr>
              <w:widowControl/>
              <w:jc w:val="left"/>
              <w:rPr>
                <w:b/>
              </w:rPr>
            </w:pPr>
          </w:p>
        </w:tc>
        <w:tc>
          <w:tcPr>
            <w:tcW w:w="2076" w:type="dxa"/>
            <w:gridSpan w:val="2"/>
            <w:vAlign w:val="center"/>
          </w:tcPr>
          <w:p>
            <w:r>
              <w:t>……</w:t>
            </w:r>
          </w:p>
        </w:tc>
        <w:tc>
          <w:tcPr>
            <w:tcW w:w="4815" w:type="dxa"/>
            <w:vAlign w:val="center"/>
          </w:tcPr>
          <w:p>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restart"/>
            <w:vAlign w:val="center"/>
          </w:tcPr>
          <w:p>
            <w:bookmarkStart w:id="161" w:name="_2.1.3_1"/>
            <w:bookmarkEnd w:id="161"/>
            <w:r>
              <w:t>2.1.3</w:t>
            </w:r>
          </w:p>
        </w:tc>
        <w:tc>
          <w:tcPr>
            <w:tcW w:w="1066" w:type="dxa"/>
            <w:vMerge w:val="restart"/>
            <w:vAlign w:val="center"/>
          </w:tcPr>
          <w:p>
            <w:pPr>
              <w:rPr>
                <w:b/>
              </w:rPr>
            </w:pPr>
            <w:r>
              <w:rPr>
                <w:rFonts w:hint="eastAsia"/>
                <w:b/>
              </w:rPr>
              <w:t>响应性</w:t>
            </w:r>
          </w:p>
          <w:p>
            <w:r>
              <w:rPr>
                <w:rFonts w:hint="eastAsia"/>
                <w:b/>
              </w:rPr>
              <w:t>评审标准</w:t>
            </w:r>
          </w:p>
        </w:tc>
        <w:tc>
          <w:tcPr>
            <w:tcW w:w="2076" w:type="dxa"/>
            <w:gridSpan w:val="2"/>
            <w:vAlign w:val="center"/>
          </w:tcPr>
          <w:p>
            <w:r>
              <w:rPr>
                <w:rFonts w:hint="eastAsia"/>
              </w:rPr>
              <w:t>投标内容</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"_招标范围、计划工期和质量要求" </w:instrText>
            </w:r>
            <w:r>
              <w:fldChar w:fldCharType="separate"/>
            </w:r>
            <w:r>
              <w:rPr>
                <w:rStyle w:val="22"/>
                <w:color w:val="auto"/>
              </w:rPr>
              <w:t>1.3.1</w:t>
            </w:r>
            <w:r>
              <w:rPr>
                <w:rStyle w:val="22"/>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vMerge w:val="continue"/>
            <w:vAlign w:val="center"/>
          </w:tcPr>
          <w:p>
            <w:pPr>
              <w:widowControl/>
              <w:jc w:val="left"/>
            </w:pPr>
          </w:p>
        </w:tc>
        <w:tc>
          <w:tcPr>
            <w:tcW w:w="2076" w:type="dxa"/>
            <w:gridSpan w:val="2"/>
            <w:vAlign w:val="center"/>
          </w:tcPr>
          <w:p>
            <w:r>
              <w:rPr>
                <w:rFonts w:hint="eastAsia"/>
              </w:rPr>
              <w:t>工期</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"_招标范围、计划工期和质量要求" </w:instrText>
            </w:r>
            <w:r>
              <w:fldChar w:fldCharType="separate"/>
            </w:r>
            <w:r>
              <w:rPr>
                <w:rStyle w:val="22"/>
                <w:color w:val="auto"/>
              </w:rPr>
              <w:t>1.3.2</w:t>
            </w:r>
            <w:r>
              <w:rPr>
                <w:rStyle w:val="22"/>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vMerge w:val="continue"/>
            <w:vAlign w:val="center"/>
          </w:tcPr>
          <w:p>
            <w:pPr>
              <w:widowControl/>
              <w:jc w:val="left"/>
            </w:pPr>
          </w:p>
        </w:tc>
        <w:tc>
          <w:tcPr>
            <w:tcW w:w="2076" w:type="dxa"/>
            <w:gridSpan w:val="2"/>
            <w:vAlign w:val="center"/>
          </w:tcPr>
          <w:p>
            <w:r>
              <w:rPr>
                <w:rFonts w:hint="eastAsia"/>
              </w:rPr>
              <w:t>工程质量</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"_招标范围、计划工期和质量要求" </w:instrText>
            </w:r>
            <w:r>
              <w:fldChar w:fldCharType="separate"/>
            </w:r>
            <w:r>
              <w:rPr>
                <w:rStyle w:val="22"/>
                <w:color w:val="auto"/>
              </w:rPr>
              <w:t>1.3.3</w:t>
            </w:r>
            <w:r>
              <w:rPr>
                <w:rStyle w:val="22"/>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vMerge w:val="continue"/>
            <w:vAlign w:val="center"/>
          </w:tcPr>
          <w:p>
            <w:pPr>
              <w:widowControl/>
              <w:jc w:val="left"/>
            </w:pPr>
          </w:p>
        </w:tc>
        <w:tc>
          <w:tcPr>
            <w:tcW w:w="2076" w:type="dxa"/>
            <w:gridSpan w:val="2"/>
            <w:vAlign w:val="center"/>
          </w:tcPr>
          <w:p>
            <w:r>
              <w:rPr>
                <w:rFonts w:hint="eastAsia"/>
              </w:rPr>
              <w:t>投标有效期</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"_投标有效期" </w:instrText>
            </w:r>
            <w:r>
              <w:fldChar w:fldCharType="separate"/>
            </w:r>
            <w:r>
              <w:rPr>
                <w:rStyle w:val="22"/>
                <w:color w:val="auto"/>
              </w:rPr>
              <w:t>3.3.1</w:t>
            </w:r>
            <w:r>
              <w:rPr>
                <w:rStyle w:val="22"/>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vMerge w:val="continue"/>
            <w:vAlign w:val="center"/>
          </w:tcPr>
          <w:p>
            <w:pPr>
              <w:widowControl/>
              <w:jc w:val="left"/>
            </w:pPr>
          </w:p>
        </w:tc>
        <w:tc>
          <w:tcPr>
            <w:tcW w:w="2076" w:type="dxa"/>
            <w:gridSpan w:val="2"/>
            <w:vAlign w:val="center"/>
          </w:tcPr>
          <w:p>
            <w:r>
              <w:rPr>
                <w:rFonts w:hint="eastAsia"/>
              </w:rPr>
              <w:t>投标保证金</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"_投标担保" </w:instrText>
            </w:r>
            <w:r>
              <w:fldChar w:fldCharType="separate"/>
            </w:r>
            <w:r>
              <w:rPr>
                <w:rStyle w:val="22"/>
                <w:color w:val="auto"/>
              </w:rPr>
              <w:t>3.4.1</w:t>
            </w:r>
            <w:r>
              <w:rPr>
                <w:rStyle w:val="22"/>
                <w:color w:val="auto"/>
              </w:rPr>
              <w:fldChar w:fldCharType="end"/>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vMerge w:val="continue"/>
            <w:vAlign w:val="center"/>
          </w:tcPr>
          <w:p>
            <w:pPr>
              <w:widowControl/>
              <w:jc w:val="left"/>
            </w:pPr>
          </w:p>
        </w:tc>
        <w:tc>
          <w:tcPr>
            <w:tcW w:w="2076" w:type="dxa"/>
            <w:gridSpan w:val="2"/>
            <w:vAlign w:val="center"/>
          </w:tcPr>
          <w:p>
            <w:r>
              <w:rPr>
                <w:rFonts w:hint="eastAsia"/>
              </w:rPr>
              <w:t>权利义务</w:t>
            </w:r>
          </w:p>
        </w:tc>
        <w:tc>
          <w:tcPr>
            <w:tcW w:w="4815" w:type="dxa"/>
            <w:vAlign w:val="center"/>
          </w:tcPr>
          <w:p>
            <w:r>
              <w:rPr>
                <w:rFonts w:hint="eastAsia"/>
              </w:rPr>
              <w:t>符合第四章</w:t>
            </w:r>
            <w:r>
              <w:t>“</w:t>
            </w:r>
            <w:r>
              <w:fldChar w:fldCharType="begin"/>
            </w:r>
            <w:r>
              <w:instrText xml:space="preserve"> HYPERLINK "file:///H:\\泰州招标文件范本\\泰州市房屋建筑和市政工程施工2016.4.docx" \l "_第四章_合同条款及格式" </w:instrText>
            </w:r>
            <w:r>
              <w:fldChar w:fldCharType="separate"/>
            </w:r>
            <w:r>
              <w:rPr>
                <w:rStyle w:val="22"/>
                <w:rFonts w:hint="eastAsia"/>
                <w:color w:val="auto"/>
              </w:rPr>
              <w:t>合同条款及格式</w:t>
            </w:r>
            <w:r>
              <w:rPr>
                <w:rStyle w:val="22"/>
                <w:rFonts w:hint="eastAsia"/>
                <w:color w:val="auto"/>
              </w:rPr>
              <w:fldChar w:fldCharType="end"/>
            </w:r>
            <w:r>
              <w:t>”</w:t>
            </w:r>
            <w:r>
              <w:rPr>
                <w:rFonts w:hint="eastAsia"/>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vMerge w:val="continue"/>
            <w:vAlign w:val="center"/>
          </w:tcPr>
          <w:p>
            <w:pPr>
              <w:widowControl/>
              <w:jc w:val="left"/>
            </w:pPr>
          </w:p>
        </w:tc>
        <w:tc>
          <w:tcPr>
            <w:tcW w:w="2076" w:type="dxa"/>
            <w:gridSpan w:val="2"/>
            <w:vAlign w:val="center"/>
          </w:tcPr>
          <w:p>
            <w:r>
              <w:rPr>
                <w:rFonts w:hint="eastAsia"/>
              </w:rPr>
              <w:t>技术标准和要求</w:t>
            </w:r>
          </w:p>
        </w:tc>
        <w:tc>
          <w:tcPr>
            <w:tcW w:w="4815" w:type="dxa"/>
            <w:vAlign w:val="center"/>
          </w:tcPr>
          <w:p>
            <w:r>
              <w:rPr>
                <w:rFonts w:hint="eastAsia"/>
              </w:rPr>
              <w:t>符合第七章“</w:t>
            </w:r>
            <w:r>
              <w:fldChar w:fldCharType="begin"/>
            </w:r>
            <w:r>
              <w:instrText xml:space="preserve"> HYPERLINK "file:///H:\\泰州招标文件范本\\泰州市房屋建筑和市政工程施工2016.4.docx" \l "_第七章_技术标准和要求" </w:instrText>
            </w:r>
            <w:r>
              <w:fldChar w:fldCharType="separate"/>
            </w:r>
            <w:r>
              <w:rPr>
                <w:rStyle w:val="22"/>
                <w:rFonts w:hint="eastAsia"/>
                <w:color w:val="auto"/>
              </w:rPr>
              <w:t>技术标准和要求</w:t>
            </w:r>
            <w:r>
              <w:rPr>
                <w:rStyle w:val="22"/>
                <w:rFonts w:hint="eastAsia"/>
                <w:color w:val="auto"/>
              </w:rPr>
              <w:fldChar w:fldCharType="end"/>
            </w:r>
            <w:r>
              <w:rPr>
                <w:rFonts w:hint="eastAsia"/>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vMerge w:val="continue"/>
            <w:vAlign w:val="center"/>
          </w:tcPr>
          <w:p>
            <w:pPr>
              <w:widowControl/>
              <w:jc w:val="left"/>
            </w:pPr>
          </w:p>
        </w:tc>
        <w:tc>
          <w:tcPr>
            <w:tcW w:w="2076" w:type="dxa"/>
            <w:gridSpan w:val="2"/>
            <w:vAlign w:val="center"/>
          </w:tcPr>
          <w:p>
            <w:r>
              <w:rPr>
                <w:rFonts w:hint="eastAsia"/>
              </w:rPr>
              <w:t>投标价格</w:t>
            </w:r>
          </w:p>
        </w:tc>
        <w:tc>
          <w:tcPr>
            <w:tcW w:w="4815" w:type="dxa"/>
            <w:vAlign w:val="center"/>
          </w:tcPr>
          <w:p>
            <w:pPr>
              <w:spacing w:line="300" w:lineRule="exact"/>
            </w:pPr>
            <w:r>
              <w:t>1.</w:t>
            </w:r>
            <w:r>
              <w:rPr>
                <w:rFonts w:hint="eastAsia"/>
              </w:rPr>
              <w:t>投标总价低于（含等于）第二章</w:t>
            </w:r>
            <w:r>
              <w:fldChar w:fldCharType="begin"/>
            </w:r>
            <w:r>
              <w:instrText xml:space="preserve"> HYPERLINK "file:///H:\\泰州招标文件范本\\泰州市房屋建筑和市政工程施工2016.4.docx" \l "_10.2" </w:instrText>
            </w:r>
            <w:r>
              <w:fldChar w:fldCharType="separate"/>
            </w:r>
            <w:r>
              <w:rPr>
                <w:rStyle w:val="22"/>
                <w:rFonts w:hint="eastAsia"/>
                <w:color w:val="auto"/>
              </w:rPr>
              <w:t>投标人须知前附表第</w:t>
            </w:r>
            <w:r>
              <w:rPr>
                <w:rStyle w:val="22"/>
                <w:color w:val="auto"/>
              </w:rPr>
              <w:t>10.2</w:t>
            </w:r>
            <w:r>
              <w:rPr>
                <w:rStyle w:val="22"/>
                <w:rFonts w:hint="eastAsia"/>
                <w:color w:val="auto"/>
              </w:rPr>
              <w:t>项</w:t>
            </w:r>
            <w:r>
              <w:rPr>
                <w:rStyle w:val="22"/>
                <w:rFonts w:hint="eastAsia"/>
                <w:color w:val="auto"/>
              </w:rPr>
              <w:fldChar w:fldCharType="end"/>
            </w:r>
            <w:r>
              <w:rPr>
                <w:rFonts w:hint="eastAsia"/>
              </w:rPr>
              <w:t>载明的</w:t>
            </w:r>
            <w:r>
              <w:t>招标人期望值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747" w:type="dxa"/>
            <w:vMerge w:val="continue"/>
            <w:vAlign w:val="center"/>
          </w:tcPr>
          <w:p>
            <w:pPr>
              <w:widowControl/>
              <w:jc w:val="left"/>
            </w:pPr>
          </w:p>
        </w:tc>
        <w:tc>
          <w:tcPr>
            <w:tcW w:w="1066" w:type="dxa"/>
            <w:vMerge w:val="continue"/>
            <w:vAlign w:val="center"/>
          </w:tcPr>
          <w:p>
            <w:pPr>
              <w:widowControl/>
              <w:jc w:val="left"/>
            </w:pPr>
          </w:p>
        </w:tc>
        <w:tc>
          <w:tcPr>
            <w:tcW w:w="2076" w:type="dxa"/>
            <w:gridSpan w:val="2"/>
            <w:vAlign w:val="center"/>
          </w:tcPr>
          <w:p>
            <w:r>
              <w:rPr>
                <w:rFonts w:hint="eastAsia"/>
              </w:rPr>
              <w:t>分包计划</w:t>
            </w:r>
          </w:p>
        </w:tc>
        <w:tc>
          <w:tcPr>
            <w:tcW w:w="4815" w:type="dxa"/>
            <w:vAlign w:val="center"/>
          </w:tcPr>
          <w:p>
            <w:r>
              <w:rPr>
                <w:rFonts w:hint="eastAsia"/>
              </w:rPr>
              <w:t>符合第二章“</w:t>
            </w:r>
            <w:r>
              <w:rPr>
                <w:rFonts w:hint="eastAsia"/>
                <w:u w:val="single"/>
              </w:rPr>
              <w:t>投标人须知”第</w:t>
            </w:r>
            <w:r>
              <w:fldChar w:fldCharType="begin"/>
            </w:r>
            <w:r>
              <w:instrText xml:space="preserve"> HYPERLINK "file:///H:\\泰州招标文件范本\\泰州市房屋建筑和市政工程施工2016.4.docx" \l "_分__包" </w:instrText>
            </w:r>
            <w:r>
              <w:fldChar w:fldCharType="separate"/>
            </w:r>
            <w:r>
              <w:rPr>
                <w:rStyle w:val="22"/>
                <w:color w:val="auto"/>
              </w:rPr>
              <w:t>1.11</w:t>
            </w:r>
            <w:r>
              <w:rPr>
                <w:rStyle w:val="22"/>
                <w:rFonts w:hint="eastAsia"/>
                <w:color w:val="auto"/>
              </w:rPr>
              <w:t>项</w:t>
            </w:r>
            <w:r>
              <w:rPr>
                <w:rStyle w:val="22"/>
                <w:rFonts w:hint="eastAsia"/>
                <w:color w:val="auto"/>
              </w:rPr>
              <w:fldChar w:fldCharType="end"/>
            </w:r>
            <w:r>
              <w:rPr>
                <w:rFonts w:hint="eastAsia"/>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747" w:type="dxa"/>
            <w:vAlign w:val="center"/>
          </w:tcPr>
          <w:p>
            <w:bookmarkStart w:id="162" w:name="_2.1.4"/>
            <w:bookmarkEnd w:id="162"/>
            <w:r>
              <w:t>2.1.4</w:t>
            </w:r>
          </w:p>
        </w:tc>
        <w:tc>
          <w:tcPr>
            <w:tcW w:w="1066" w:type="dxa"/>
            <w:vAlign w:val="center"/>
          </w:tcPr>
          <w:p>
            <w:r>
              <w:rPr>
                <w:rFonts w:hint="eastAsia"/>
                <w:b/>
              </w:rPr>
              <w:t>施工组织设计和项目管理机构评审标准</w:t>
            </w:r>
          </w:p>
        </w:tc>
        <w:tc>
          <w:tcPr>
            <w:tcW w:w="6891" w:type="dxa"/>
            <w:gridSpan w:val="3"/>
            <w:vAlign w:val="center"/>
          </w:tcPr>
          <w:p>
            <w:r>
              <w:rPr>
                <w:rFonts w:hint="eastAsia"/>
              </w:rPr>
              <w:t>本项目无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704"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813" w:type="dxa"/>
            <w:gridSpan w:val="2"/>
            <w:vAlign w:val="center"/>
          </w:tcPr>
          <w:p>
            <w:r>
              <w:rPr>
                <w:rFonts w:hint="eastAsia"/>
              </w:rPr>
              <w:t>条款号</w:t>
            </w:r>
          </w:p>
        </w:tc>
        <w:tc>
          <w:tcPr>
            <w:tcW w:w="2076" w:type="dxa"/>
            <w:gridSpan w:val="2"/>
            <w:vAlign w:val="center"/>
          </w:tcPr>
          <w:p>
            <w:r>
              <w:rPr>
                <w:rFonts w:hint="eastAsia"/>
              </w:rPr>
              <w:t>条款内容</w:t>
            </w:r>
          </w:p>
        </w:tc>
        <w:tc>
          <w:tcPr>
            <w:tcW w:w="4815" w:type="dxa"/>
            <w:vAlign w:val="center"/>
          </w:tcPr>
          <w:p>
            <w:r>
              <w:rPr>
                <w:rFonts w:hint="eastAsia"/>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1813" w:type="dxa"/>
            <w:gridSpan w:val="2"/>
            <w:vAlign w:val="center"/>
          </w:tcPr>
          <w:p>
            <w:bookmarkStart w:id="163" w:name="_2.2"/>
            <w:bookmarkEnd w:id="163"/>
            <w:r>
              <w:t>2.2.1</w:t>
            </w:r>
          </w:p>
        </w:tc>
        <w:tc>
          <w:tcPr>
            <w:tcW w:w="2076" w:type="dxa"/>
            <w:gridSpan w:val="2"/>
            <w:vAlign w:val="center"/>
          </w:tcPr>
          <w:p>
            <w:r>
              <w:rPr>
                <w:rFonts w:hint="eastAsia"/>
              </w:rPr>
              <w:t>分值构成</w:t>
            </w:r>
          </w:p>
          <w:p>
            <w:r>
              <w:t>(</w:t>
            </w:r>
            <w:r>
              <w:rPr>
                <w:rFonts w:hint="eastAsia"/>
              </w:rPr>
              <w:t>总分</w:t>
            </w:r>
            <w:r>
              <w:t>100</w:t>
            </w:r>
            <w:r>
              <w:rPr>
                <w:rFonts w:hint="eastAsia"/>
              </w:rPr>
              <w:t>分</w:t>
            </w:r>
            <w:r>
              <w:t>)</w:t>
            </w:r>
          </w:p>
        </w:tc>
        <w:tc>
          <w:tcPr>
            <w:tcW w:w="4815" w:type="dxa"/>
            <w:vAlign w:val="center"/>
          </w:tcPr>
          <w:p>
            <w:pPr>
              <w:spacing w:line="360" w:lineRule="exact"/>
            </w:pPr>
            <w:r>
              <w:rPr>
                <w:rFonts w:hint="eastAsia"/>
              </w:rPr>
              <w:t>投标报价：</w:t>
            </w:r>
            <w:r>
              <w:rPr>
                <w:rFonts w:hint="eastAsia"/>
                <w:u w:val="single"/>
              </w:rPr>
              <w:t xml:space="preserve">100  </w:t>
            </w:r>
            <w:r>
              <w:rPr>
                <w:rFonts w:hint="eastAsia"/>
              </w:rPr>
              <w:t>分</w:t>
            </w:r>
          </w:p>
          <w:p>
            <w:pPr>
              <w:spacing w:line="360" w:lineRule="exact"/>
            </w:pPr>
            <w:r>
              <w:rPr>
                <w:rFonts w:hint="eastAsia"/>
              </w:rPr>
              <w:t>投标文件算术错误</w:t>
            </w:r>
            <w:r>
              <w:rPr>
                <w:u w:val="single"/>
              </w:rPr>
              <w:t xml:space="preserve"> </w:t>
            </w:r>
            <w:r>
              <w:rPr>
                <w:rFonts w:hint="eastAsia"/>
                <w:u w:val="single"/>
              </w:rPr>
              <w:t>0</w:t>
            </w:r>
            <w:r>
              <w:rPr>
                <w:u w:val="single"/>
              </w:rPr>
              <w:t xml:space="preserve"> </w:t>
            </w:r>
            <w:r>
              <w:rPr>
                <w:rFonts w:hint="eastAsia"/>
              </w:rPr>
              <w:t>分</w:t>
            </w:r>
          </w:p>
          <w:p>
            <w:pPr>
              <w:spacing w:line="360" w:lineRule="exact"/>
            </w:pPr>
            <w:r>
              <w:rPr>
                <w:rFonts w:hint="eastAsia"/>
              </w:rPr>
              <w:t>细微偏差：</w:t>
            </w:r>
            <w:r>
              <w:rPr>
                <w:rFonts w:hint="eastAsia"/>
                <w:u w:val="single"/>
              </w:rPr>
              <w:t>0</w:t>
            </w:r>
            <w:r>
              <w:rPr>
                <w:u w:val="single"/>
              </w:rPr>
              <w:t xml:space="preserve">  </w:t>
            </w:r>
            <w:r>
              <w:rPr>
                <w:rFonts w:hint="eastAsia"/>
              </w:rPr>
              <w:t>分</w:t>
            </w:r>
          </w:p>
          <w:p>
            <w:pPr>
              <w:spacing w:line="360" w:lineRule="exact"/>
            </w:pPr>
            <w:r>
              <w:rPr>
                <w:rFonts w:hint="eastAsia"/>
              </w:rPr>
              <w:t>报价偏离：</w:t>
            </w:r>
            <w:r>
              <w:rPr>
                <w:u w:val="single"/>
              </w:rPr>
              <w:t xml:space="preserve">  </w:t>
            </w:r>
            <w:r>
              <w:rPr>
                <w:rFonts w:hint="eastAsia"/>
                <w:u w:val="single"/>
              </w:rPr>
              <w:t>0</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1813" w:type="dxa"/>
            <w:gridSpan w:val="2"/>
            <w:vAlign w:val="center"/>
          </w:tcPr>
          <w:p>
            <w:r>
              <w:t>2.2.2</w:t>
            </w:r>
          </w:p>
        </w:tc>
        <w:tc>
          <w:tcPr>
            <w:tcW w:w="2076" w:type="dxa"/>
            <w:gridSpan w:val="2"/>
            <w:vAlign w:val="center"/>
          </w:tcPr>
          <w:p>
            <w:r>
              <w:rPr>
                <w:rFonts w:hint="eastAsia"/>
              </w:rPr>
              <w:t>评标基准价计算方法</w:t>
            </w:r>
          </w:p>
        </w:tc>
        <w:tc>
          <w:tcPr>
            <w:tcW w:w="4815" w:type="dxa"/>
            <w:vAlign w:val="center"/>
          </w:tcPr>
          <w:p>
            <w:pPr>
              <w:rPr>
                <w:b/>
                <w:highlight w:val="none"/>
              </w:rPr>
            </w:pPr>
            <w:r>
              <w:rPr>
                <w:rFonts w:hint="eastAsia"/>
                <w:b/>
                <w:highlight w:val="none"/>
              </w:rPr>
              <w:t>以有效投标文件的投标报价</w:t>
            </w:r>
            <w:r>
              <w:rPr>
                <w:b/>
                <w:highlight w:val="none"/>
              </w:rPr>
              <w:t>的</w:t>
            </w:r>
            <w:r>
              <w:rPr>
                <w:rFonts w:hint="eastAsia"/>
                <w:b/>
                <w:highlight w:val="none"/>
              </w:rPr>
              <w:t>最</w:t>
            </w:r>
            <w:r>
              <w:rPr>
                <w:b/>
                <w:highlight w:val="none"/>
              </w:rPr>
              <w:t>低值为</w:t>
            </w:r>
            <w:r>
              <w:rPr>
                <w:rFonts w:hint="eastAsia"/>
                <w:b/>
                <w:highlight w:val="none"/>
              </w:rPr>
              <w:t>评标基准价。</w:t>
            </w:r>
          </w:p>
          <w:p>
            <w:pPr>
              <w:rPr>
                <w:b/>
              </w:rPr>
            </w:pPr>
            <w:r>
              <w:rPr>
                <w:rFonts w:hint="eastAsia"/>
                <w:b/>
              </w:rPr>
              <w:t>说明：</w:t>
            </w:r>
          </w:p>
          <w:p>
            <w:pPr>
              <w:numPr>
                <w:ilvl w:val="0"/>
                <w:numId w:val="1"/>
              </w:numPr>
            </w:pPr>
            <w:r>
              <w:rPr>
                <w:rFonts w:hint="eastAsia"/>
              </w:rPr>
              <w:t>投标报价指经澄清、补正和修正算术计算错误的报价；</w:t>
            </w:r>
          </w:p>
          <w:p>
            <w:r>
              <w:rPr>
                <w:rFonts w:hint="eastAsia"/>
              </w:rPr>
              <w:t>2</w:t>
            </w:r>
            <w:r>
              <w:t>.</w:t>
            </w:r>
            <w:r>
              <w:rPr>
                <w:rFonts w:hint="eastAsia"/>
              </w:rPr>
              <w:t>有效投标文件是指未被评标委员会判定为无效标的投标文件。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704" w:type="dxa"/>
            <w:gridSpan w:val="5"/>
            <w:vAlign w:val="center"/>
          </w:tcPr>
          <w:p>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7" w:type="dxa"/>
            <w:vAlign w:val="center"/>
          </w:tcPr>
          <w:p>
            <w:r>
              <w:t>1</w:t>
            </w:r>
          </w:p>
        </w:tc>
        <w:tc>
          <w:tcPr>
            <w:tcW w:w="1882" w:type="dxa"/>
            <w:gridSpan w:val="2"/>
            <w:vAlign w:val="center"/>
          </w:tcPr>
          <w:p>
            <w:pPr>
              <w:rPr>
                <w:b/>
              </w:rPr>
            </w:pPr>
            <w:r>
              <w:rPr>
                <w:rFonts w:hint="eastAsia"/>
                <w:b/>
              </w:rPr>
              <w:t>评标程序</w:t>
            </w:r>
          </w:p>
        </w:tc>
        <w:tc>
          <w:tcPr>
            <w:tcW w:w="6075" w:type="dxa"/>
            <w:gridSpan w:val="2"/>
            <w:vAlign w:val="center"/>
          </w:tcPr>
          <w:p>
            <w:r>
              <w:rPr>
                <w:rFonts w:hint="eastAsia"/>
              </w:rPr>
              <w:t>详见</w:t>
            </w:r>
            <w:r>
              <w:fldChar w:fldCharType="begin"/>
            </w:r>
            <w:r>
              <w:instrText xml:space="preserve"> HYPERLINK "file:///H:\\泰州招标文件范本\\泰州市房屋建筑和市政工程施工2016.4.docx" \l "_附件A：评标详细程序。" </w:instrText>
            </w:r>
            <w:r>
              <w:fldChar w:fldCharType="separate"/>
            </w:r>
            <w:r>
              <w:rPr>
                <w:rStyle w:val="22"/>
                <w:rFonts w:hint="eastAsia"/>
                <w:color w:val="auto"/>
              </w:rPr>
              <w:t>本章附件</w:t>
            </w:r>
            <w:r>
              <w:rPr>
                <w:rStyle w:val="22"/>
                <w:color w:val="auto"/>
              </w:rPr>
              <w:t>A</w:t>
            </w:r>
            <w:r>
              <w:rPr>
                <w:rStyle w:val="22"/>
                <w:color w:val="auto"/>
              </w:rPr>
              <w:fldChar w:fldCharType="end"/>
            </w:r>
            <w:r>
              <w:rPr>
                <w:rFonts w:hint="eastAsia"/>
              </w:rPr>
              <w:t>：评标详细程序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7" w:type="dxa"/>
            <w:vAlign w:val="center"/>
          </w:tcPr>
          <w:p>
            <w:r>
              <w:t>2</w:t>
            </w:r>
          </w:p>
        </w:tc>
        <w:tc>
          <w:tcPr>
            <w:tcW w:w="1882" w:type="dxa"/>
            <w:gridSpan w:val="2"/>
            <w:vAlign w:val="center"/>
          </w:tcPr>
          <w:p>
            <w:pPr>
              <w:rPr>
                <w:b/>
              </w:rPr>
            </w:pPr>
            <w:r>
              <w:rPr>
                <w:rFonts w:hint="eastAsia"/>
                <w:b/>
              </w:rPr>
              <w:t>否决投标条件</w:t>
            </w:r>
          </w:p>
        </w:tc>
        <w:tc>
          <w:tcPr>
            <w:tcW w:w="6075" w:type="dxa"/>
            <w:gridSpan w:val="2"/>
            <w:vAlign w:val="center"/>
          </w:tcPr>
          <w:p>
            <w:r>
              <w:rPr>
                <w:rFonts w:hint="eastAsia"/>
              </w:rPr>
              <w:t>详见</w:t>
            </w:r>
            <w:r>
              <w:fldChar w:fldCharType="begin"/>
            </w:r>
            <w:r>
              <w:instrText xml:space="preserve"> HYPERLINK "file:///H:\\泰州招标文件范本\\泰州市房屋建筑和市政工程施工2016.4.docx" \l "_附件B：废标条件" </w:instrText>
            </w:r>
            <w:r>
              <w:fldChar w:fldCharType="separate"/>
            </w:r>
            <w:r>
              <w:rPr>
                <w:rStyle w:val="22"/>
                <w:rFonts w:hint="eastAsia"/>
                <w:color w:val="auto"/>
              </w:rPr>
              <w:t>本章附件</w:t>
            </w:r>
            <w:r>
              <w:rPr>
                <w:rStyle w:val="22"/>
                <w:color w:val="auto"/>
              </w:rPr>
              <w:t>B</w:t>
            </w:r>
            <w:r>
              <w:rPr>
                <w:rStyle w:val="22"/>
                <w:color w:val="auto"/>
              </w:rPr>
              <w:fldChar w:fldCharType="end"/>
            </w:r>
            <w:r>
              <w:rPr>
                <w:rFonts w:hint="eastAsia"/>
              </w:rPr>
              <w:t>：否决投标条件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7" w:type="dxa"/>
            <w:vAlign w:val="center"/>
          </w:tcPr>
          <w:p>
            <w:r>
              <w:t>3</w:t>
            </w:r>
          </w:p>
        </w:tc>
        <w:tc>
          <w:tcPr>
            <w:tcW w:w="1882" w:type="dxa"/>
            <w:gridSpan w:val="2"/>
            <w:vAlign w:val="center"/>
          </w:tcPr>
          <w:p>
            <w:pPr>
              <w:rPr>
                <w:b/>
              </w:rPr>
            </w:pPr>
            <w:r>
              <w:rPr>
                <w:rFonts w:hint="eastAsia"/>
                <w:b/>
              </w:rPr>
              <w:t>判断投标报价是否低于其成本</w:t>
            </w:r>
          </w:p>
        </w:tc>
        <w:tc>
          <w:tcPr>
            <w:tcW w:w="6075" w:type="dxa"/>
            <w:gridSpan w:val="2"/>
            <w:vAlign w:val="center"/>
          </w:tcPr>
          <w:p>
            <w:r>
              <w:rPr>
                <w:rFonts w:hint="eastAsia"/>
              </w:rPr>
              <w:t>详见</w:t>
            </w:r>
            <w:r>
              <w:rPr>
                <w:rFonts w:hint="eastAsia"/>
                <w:u w:val="single"/>
              </w:rPr>
              <w:t>本章附件</w:t>
            </w:r>
            <w:r>
              <w:rPr>
                <w:u w:val="single"/>
              </w:rPr>
              <w:t>C</w:t>
            </w:r>
            <w:r>
              <w:rPr>
                <w:rFonts w:hint="eastAsia"/>
              </w:rPr>
              <w:t>：投标人成本评审办法</w:t>
            </w:r>
          </w:p>
        </w:tc>
      </w:tr>
    </w:tbl>
    <w:p/>
    <w:p>
      <w:r>
        <w:rPr>
          <w:kern w:val="0"/>
        </w:rPr>
        <w:br w:type="page"/>
      </w:r>
    </w:p>
    <w:p>
      <w:pPr>
        <w:pStyle w:val="5"/>
        <w:spacing w:line="320" w:lineRule="exact"/>
      </w:pPr>
      <w:bookmarkStart w:id="164" w:name="_Toc275956123"/>
      <w:r>
        <w:rPr>
          <w:rFonts w:cs="TimesNewRomanPSMT"/>
        </w:rPr>
        <w:t xml:space="preserve">1. </w:t>
      </w:r>
      <w:r>
        <w:rPr>
          <w:rFonts w:hint="eastAsia"/>
        </w:rPr>
        <w:t>评标方法</w:t>
      </w:r>
      <w:bookmarkEnd w:id="164"/>
    </w:p>
    <w:p>
      <w:pPr>
        <w:autoSpaceDE w:val="0"/>
        <w:autoSpaceDN w:val="0"/>
        <w:adjustRightInd w:val="0"/>
        <w:spacing w:line="320" w:lineRule="exact"/>
        <w:ind w:firstLine="420" w:firstLineChars="200"/>
        <w:jc w:val="left"/>
        <w:rPr>
          <w:rFonts w:ascii="宋体" w:cs="仿宋_GB2312"/>
          <w:kern w:val="0"/>
          <w:szCs w:val="21"/>
        </w:rPr>
      </w:pPr>
      <w:r>
        <w:rPr>
          <w:rFonts w:hint="eastAsia" w:ascii="宋体" w:hAnsi="宋体" w:cs="仿宋_GB2312"/>
          <w:kern w:val="0"/>
          <w:szCs w:val="21"/>
        </w:rPr>
        <w:t>本次评标，采用</w:t>
      </w:r>
      <w:r>
        <w:rPr>
          <w:rFonts w:hint="eastAsia"/>
        </w:rPr>
        <w:t>经评审的最低投标价法</w:t>
      </w:r>
      <w:r>
        <w:rPr>
          <w:rFonts w:hint="eastAsia" w:ascii="宋体" w:hAnsi="宋体" w:cs="仿宋_GB2312"/>
          <w:kern w:val="0"/>
          <w:szCs w:val="21"/>
        </w:rPr>
        <w:t>。评标委员会对满足招标文件实质性要求的投标文件进行评审。根据本章第</w:t>
      </w:r>
      <w:r>
        <w:rPr>
          <w:rFonts w:ascii="宋体" w:hAnsi="宋体" w:cs="TimesNewRomanPSMT"/>
          <w:kern w:val="0"/>
          <w:szCs w:val="21"/>
        </w:rPr>
        <w:t xml:space="preserve">2.2 </w:t>
      </w:r>
      <w:r>
        <w:rPr>
          <w:rFonts w:hint="eastAsia" w:ascii="宋体" w:hAnsi="宋体" w:cs="仿宋_GB2312"/>
          <w:kern w:val="0"/>
          <w:szCs w:val="21"/>
        </w:rPr>
        <w:t>款规定的评分标准进行评审，并按排名顺序推荐中标候选人，或根据招标人授权直接确定中标人，但投标报价低于其成本的除外。投标报价相等的，由招标人自行确定或通过抽签活动确定，抽签活动基本程序如下：</w:t>
      </w:r>
    </w:p>
    <w:p>
      <w:pPr>
        <w:numPr>
          <w:ilvl w:val="0"/>
          <w:numId w:val="2"/>
        </w:numPr>
        <w:autoSpaceDE w:val="0"/>
        <w:autoSpaceDN w:val="0"/>
        <w:adjustRightInd w:val="0"/>
        <w:spacing w:line="320" w:lineRule="exact"/>
        <w:ind w:firstLine="420" w:firstLineChars="200"/>
        <w:jc w:val="left"/>
      </w:pPr>
      <w:r>
        <w:rPr>
          <w:rFonts w:hint="eastAsia"/>
        </w:rPr>
        <w:t>招标人沟通后，投标报价相同的名次并列投标人在规定时间至告知地点参加抽签活动。</w:t>
      </w:r>
    </w:p>
    <w:p>
      <w:pPr>
        <w:numPr>
          <w:ilvl w:val="0"/>
          <w:numId w:val="2"/>
        </w:numPr>
        <w:autoSpaceDE w:val="0"/>
        <w:autoSpaceDN w:val="0"/>
        <w:adjustRightInd w:val="0"/>
        <w:spacing w:line="320" w:lineRule="exact"/>
        <w:ind w:firstLine="420" w:firstLineChars="200"/>
        <w:jc w:val="left"/>
      </w:pPr>
      <w:r>
        <w:rPr>
          <w:rFonts w:hint="eastAsia"/>
        </w:rPr>
        <w:t>投标人的委托代理人</w:t>
      </w:r>
      <w:r>
        <w:t>(</w:t>
      </w:r>
      <w:r>
        <w:rPr>
          <w:rFonts w:hint="eastAsia"/>
        </w:rPr>
        <w:t>须有法定代表人的授权委托书</w:t>
      </w:r>
      <w:r>
        <w:t>)</w:t>
      </w:r>
      <w:r>
        <w:rPr>
          <w:rFonts w:hint="eastAsia"/>
        </w:rPr>
        <w:t>应携带本人第二代居民身份证参加抽签活动。未在规定时间内按时参加抽签活动的，视为自动放弃且认可抽签结果。事后，招标人拒绝其对抽签活动提出的异议。</w:t>
      </w:r>
    </w:p>
    <w:p>
      <w:pPr>
        <w:numPr>
          <w:ilvl w:val="0"/>
          <w:numId w:val="2"/>
        </w:numPr>
        <w:autoSpaceDE w:val="0"/>
        <w:autoSpaceDN w:val="0"/>
        <w:adjustRightInd w:val="0"/>
        <w:spacing w:line="320" w:lineRule="exact"/>
        <w:ind w:firstLine="420" w:firstLineChars="200"/>
        <w:jc w:val="left"/>
      </w:pPr>
      <w:r>
        <w:rPr>
          <w:rFonts w:hint="eastAsia"/>
        </w:rPr>
        <w:t>抽签方式：</w:t>
      </w:r>
    </w:p>
    <w:p>
      <w:pPr>
        <w:pStyle w:val="38"/>
        <w:numPr>
          <w:ilvl w:val="0"/>
          <w:numId w:val="3"/>
        </w:numPr>
        <w:autoSpaceDE w:val="0"/>
        <w:autoSpaceDN w:val="0"/>
        <w:adjustRightInd w:val="0"/>
        <w:spacing w:line="320" w:lineRule="exact"/>
        <w:ind w:firstLineChars="0"/>
        <w:jc w:val="left"/>
        <w:rPr>
          <w:rFonts w:hAnsi="宋体"/>
          <w:szCs w:val="21"/>
        </w:rPr>
      </w:pPr>
      <w:r>
        <w:rPr>
          <w:rFonts w:hint="eastAsia"/>
        </w:rPr>
        <w:t>投标人</w:t>
      </w:r>
      <w:r>
        <w:rPr>
          <w:rFonts w:hint="eastAsia" w:hAnsi="宋体"/>
          <w:szCs w:val="21"/>
        </w:rPr>
        <w:t>按照递交标文件的先后顺序依次抽取球号，抽取的球号分别对应各投标人。</w:t>
      </w:r>
    </w:p>
    <w:p>
      <w:pPr>
        <w:numPr>
          <w:ilvl w:val="0"/>
          <w:numId w:val="3"/>
        </w:numPr>
        <w:autoSpaceDE w:val="0"/>
        <w:autoSpaceDN w:val="0"/>
        <w:adjustRightInd w:val="0"/>
        <w:spacing w:line="320" w:lineRule="exact"/>
        <w:ind w:firstLine="420" w:firstLineChars="200"/>
        <w:jc w:val="left"/>
        <w:rPr>
          <w:rFonts w:ascii="宋体" w:cs="仿宋_GB2312"/>
          <w:kern w:val="0"/>
          <w:szCs w:val="21"/>
        </w:rPr>
      </w:pPr>
      <w:r>
        <w:rPr>
          <w:rFonts w:hint="eastAsia" w:ascii="宋体" w:hAnsi="宋体" w:cs="仿宋_GB2312"/>
          <w:kern w:val="0"/>
          <w:szCs w:val="21"/>
        </w:rPr>
        <w:t>招标人代表抽取标号球。第一个抽取到的号球所标球号对应的投标人为第一中标候选人，第二个抽取到的号球所标球号对应的投标人为第二中标候选人，第三个抽取到的号球所标球号对应的投标人为第三中标候选人。</w:t>
      </w:r>
    </w:p>
    <w:p>
      <w:pPr>
        <w:autoSpaceDE w:val="0"/>
        <w:autoSpaceDN w:val="0"/>
        <w:adjustRightInd w:val="0"/>
        <w:spacing w:line="320" w:lineRule="exact"/>
        <w:ind w:firstLine="420"/>
        <w:jc w:val="left"/>
        <w:rPr>
          <w:rFonts w:ascii="宋体" w:cs="仿宋_GB2312"/>
          <w:kern w:val="0"/>
          <w:szCs w:val="21"/>
        </w:rPr>
      </w:pPr>
      <w:r>
        <w:rPr>
          <w:rFonts w:ascii="宋体" w:hAnsi="宋体" w:cs="仿宋_GB2312"/>
          <w:kern w:val="0"/>
          <w:szCs w:val="21"/>
        </w:rPr>
        <w:t>4</w:t>
      </w:r>
      <w:r>
        <w:rPr>
          <w:rFonts w:hint="eastAsia" w:ascii="宋体" w:hAnsi="宋体" w:cs="仿宋_GB2312"/>
          <w:kern w:val="0"/>
          <w:szCs w:val="21"/>
        </w:rPr>
        <w:t>、抽签活动参加人员有异议的，应在抽签活动现场提出，招标人应予以答复并记录。</w:t>
      </w:r>
    </w:p>
    <w:p>
      <w:pPr>
        <w:autoSpaceDE w:val="0"/>
        <w:autoSpaceDN w:val="0"/>
        <w:adjustRightInd w:val="0"/>
        <w:spacing w:line="320" w:lineRule="exact"/>
        <w:ind w:firstLine="420"/>
        <w:jc w:val="left"/>
      </w:pPr>
      <w:r>
        <w:rPr>
          <w:rFonts w:ascii="宋体" w:hAnsi="宋体" w:cs="仿宋_GB2312"/>
          <w:kern w:val="0"/>
          <w:szCs w:val="21"/>
        </w:rPr>
        <w:t>5</w:t>
      </w:r>
      <w:r>
        <w:rPr>
          <w:rFonts w:hint="eastAsia" w:ascii="宋体" w:hAnsi="宋体" w:cs="仿宋_GB2312"/>
          <w:kern w:val="0"/>
          <w:szCs w:val="21"/>
        </w:rPr>
        <w:t>、参加抽签活动各方代表签字确认抽签结果。</w:t>
      </w:r>
      <w:r>
        <w:rPr>
          <w:rFonts w:hint="eastAsia"/>
        </w:rPr>
        <w:t>无正当理由拒绝签字确认抽签结果的，视为认可抽签结果。事后，招标人拒绝其对抽签活动提出的异议。</w:t>
      </w:r>
    </w:p>
    <w:p>
      <w:pPr>
        <w:pStyle w:val="5"/>
        <w:spacing w:line="320" w:lineRule="exact"/>
      </w:pPr>
      <w:bookmarkStart w:id="165" w:name="_Toc275956124"/>
      <w:r>
        <w:rPr>
          <w:rFonts w:cs="TimesNewRomanPSMT"/>
        </w:rPr>
        <w:t xml:space="preserve">2. </w:t>
      </w:r>
      <w:r>
        <w:rPr>
          <w:rFonts w:hint="eastAsia"/>
        </w:rPr>
        <w:t>评审标准</w:t>
      </w:r>
      <w:bookmarkEnd w:id="165"/>
    </w:p>
    <w:p>
      <w:pPr>
        <w:pStyle w:val="6"/>
        <w:spacing w:line="320" w:lineRule="exact"/>
      </w:pPr>
      <w:r>
        <w:rPr>
          <w:rFonts w:cs="TimesNewRomanPSMT"/>
        </w:rPr>
        <w:t xml:space="preserve">2.1 </w:t>
      </w:r>
      <w:r>
        <w:rPr>
          <w:rFonts w:hint="eastAsia"/>
        </w:rPr>
        <w:t>初步评审标准</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2.1.1 </w:t>
      </w:r>
      <w:r>
        <w:rPr>
          <w:rFonts w:hint="eastAsia" w:ascii="宋体" w:hAnsi="宋体" w:cs="仿宋_GB2312"/>
          <w:kern w:val="0"/>
          <w:szCs w:val="21"/>
        </w:rPr>
        <w:t>形式评审标准：见</w:t>
      </w:r>
      <w:r>
        <w:fldChar w:fldCharType="begin"/>
      </w:r>
      <w:r>
        <w:instrText xml:space="preserve"> HYPERLINK "file:///H:\\泰州招标文件范本\\泰州市房屋建筑和市政工程施工2016.4.docx" \l "_2.1.1_1" </w:instrText>
      </w:r>
      <w:r>
        <w:fldChar w:fldCharType="separate"/>
      </w:r>
      <w:r>
        <w:rPr>
          <w:rStyle w:val="22"/>
          <w:rFonts w:hint="eastAsia" w:ascii="宋体" w:hAnsi="宋体" w:cs="仿宋_GB2312"/>
          <w:color w:val="auto"/>
          <w:szCs w:val="21"/>
        </w:rPr>
        <w:t>评标办法前附表</w:t>
      </w:r>
      <w:r>
        <w:rPr>
          <w:rStyle w:val="22"/>
          <w:rFonts w:ascii="宋体" w:hAnsi="宋体" w:cs="仿宋_GB2312"/>
          <w:color w:val="auto"/>
          <w:szCs w:val="21"/>
        </w:rPr>
        <w:t>2.1.1</w:t>
      </w:r>
      <w:r>
        <w:rPr>
          <w:rStyle w:val="22"/>
          <w:rFonts w:hint="eastAsia" w:ascii="宋体" w:hAnsi="宋体" w:cs="仿宋_GB2312"/>
          <w:color w:val="auto"/>
          <w:szCs w:val="21"/>
        </w:rPr>
        <w:t>项</w:t>
      </w:r>
      <w:r>
        <w:rPr>
          <w:rStyle w:val="22"/>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2.1.2 </w:t>
      </w:r>
      <w:r>
        <w:rPr>
          <w:rFonts w:hint="eastAsia" w:ascii="宋体" w:hAnsi="宋体" w:cs="仿宋_GB2312"/>
          <w:kern w:val="0"/>
          <w:szCs w:val="21"/>
        </w:rPr>
        <w:t>资格评审标准：见</w:t>
      </w:r>
      <w:r>
        <w:fldChar w:fldCharType="begin"/>
      </w:r>
      <w:r>
        <w:instrText xml:space="preserve"> HYPERLINK "file:///H:\\泰州招标文件范本\\泰州市房屋建筑和市政工程施工2016.4.docx" \l "_2.1.2_1" </w:instrText>
      </w:r>
      <w:r>
        <w:fldChar w:fldCharType="separate"/>
      </w:r>
      <w:r>
        <w:rPr>
          <w:rStyle w:val="22"/>
          <w:rFonts w:hint="eastAsia" w:ascii="宋体" w:hAnsi="宋体" w:cs="仿宋_GB2312"/>
          <w:color w:val="auto"/>
          <w:szCs w:val="21"/>
        </w:rPr>
        <w:t>评标办法前附表</w:t>
      </w:r>
      <w:r>
        <w:rPr>
          <w:rStyle w:val="22"/>
          <w:rFonts w:ascii="宋体" w:hAnsi="宋体" w:cs="仿宋_GB2312"/>
          <w:color w:val="auto"/>
          <w:szCs w:val="21"/>
        </w:rPr>
        <w:t>2.1.2</w:t>
      </w:r>
      <w:r>
        <w:rPr>
          <w:rStyle w:val="22"/>
          <w:rFonts w:hint="eastAsia" w:ascii="宋体" w:hAnsi="宋体" w:cs="仿宋_GB2312"/>
          <w:color w:val="auto"/>
          <w:szCs w:val="21"/>
        </w:rPr>
        <w:t>项</w:t>
      </w:r>
      <w:r>
        <w:rPr>
          <w:rStyle w:val="22"/>
          <w:rFonts w:hint="eastAsia" w:ascii="宋体" w:hAnsi="宋体" w:cs="仿宋_GB2312"/>
          <w:color w:val="auto"/>
          <w:szCs w:val="21"/>
        </w:rPr>
        <w:fldChar w:fldCharType="end"/>
      </w:r>
      <w:r>
        <w:rPr>
          <w:rFonts w:hint="eastAsia" w:ascii="宋体" w:hAnsi="宋体" w:cs="仿宋_GB2312"/>
          <w:kern w:val="0"/>
          <w:szCs w:val="21"/>
        </w:rPr>
        <w:t>（适用于资格后审的）。</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2.1.2 </w:t>
      </w:r>
      <w:r>
        <w:rPr>
          <w:rFonts w:hint="eastAsia" w:ascii="宋体" w:hAnsi="宋体" w:cs="仿宋_GB2312"/>
          <w:kern w:val="0"/>
          <w:szCs w:val="21"/>
        </w:rPr>
        <w:t>资格评审标准：见本标段资格预审文件第三章“资格审查办法”详细审查标准（适用于已进行资格预审的）。</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2.1.3 </w:t>
      </w:r>
      <w:r>
        <w:rPr>
          <w:rFonts w:hint="eastAsia" w:ascii="宋体" w:hAnsi="宋体" w:cs="仿宋_GB2312"/>
          <w:kern w:val="0"/>
          <w:szCs w:val="21"/>
        </w:rPr>
        <w:t>响应性评审标准：见</w:t>
      </w:r>
      <w:r>
        <w:fldChar w:fldCharType="begin"/>
      </w:r>
      <w:r>
        <w:instrText xml:space="preserve"> HYPERLINK "file:///H:\\泰州招标文件范本\\泰州市房屋建筑和市政工程施工2016.4.docx" \l "_2.1.3_1" </w:instrText>
      </w:r>
      <w:r>
        <w:fldChar w:fldCharType="separate"/>
      </w:r>
      <w:r>
        <w:rPr>
          <w:rStyle w:val="22"/>
          <w:rFonts w:hint="eastAsia" w:ascii="宋体" w:hAnsi="宋体" w:cs="仿宋_GB2312"/>
          <w:color w:val="auto"/>
          <w:szCs w:val="21"/>
        </w:rPr>
        <w:t>评标办法前附表</w:t>
      </w:r>
      <w:r>
        <w:rPr>
          <w:rStyle w:val="22"/>
          <w:rFonts w:ascii="宋体" w:hAnsi="宋体" w:cs="仿宋_GB2312"/>
          <w:color w:val="auto"/>
          <w:szCs w:val="21"/>
        </w:rPr>
        <w:t>2.1.3</w:t>
      </w:r>
      <w:r>
        <w:rPr>
          <w:rStyle w:val="22"/>
          <w:rFonts w:hint="eastAsia" w:ascii="宋体" w:hAnsi="宋体" w:cs="仿宋_GB2312"/>
          <w:color w:val="auto"/>
          <w:szCs w:val="21"/>
        </w:rPr>
        <w:t>项</w:t>
      </w:r>
      <w:r>
        <w:rPr>
          <w:rStyle w:val="22"/>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2.1.4 </w:t>
      </w:r>
      <w:r>
        <w:rPr>
          <w:rFonts w:hint="eastAsia" w:ascii="宋体" w:hAnsi="宋体" w:cs="仿宋_GB2312"/>
          <w:kern w:val="0"/>
          <w:szCs w:val="21"/>
        </w:rPr>
        <w:t>施工组织设计和项目管理机构评审标准：见</w:t>
      </w:r>
      <w:r>
        <w:fldChar w:fldCharType="begin"/>
      </w:r>
      <w:r>
        <w:instrText xml:space="preserve"> HYPERLINK "file:///H:\\泰州招标文件范本\\泰州市房屋建筑和市政工程施工2016.4.docx" \l "_2.1.4" </w:instrText>
      </w:r>
      <w:r>
        <w:fldChar w:fldCharType="separate"/>
      </w:r>
      <w:r>
        <w:rPr>
          <w:rStyle w:val="22"/>
          <w:rFonts w:hint="eastAsia" w:ascii="宋体" w:hAnsi="宋体" w:cs="仿宋_GB2312"/>
          <w:color w:val="auto"/>
          <w:szCs w:val="21"/>
        </w:rPr>
        <w:t>评标办法前附表</w:t>
      </w:r>
      <w:r>
        <w:rPr>
          <w:rStyle w:val="22"/>
          <w:rFonts w:ascii="宋体" w:hAnsi="宋体" w:cs="仿宋_GB2312"/>
          <w:color w:val="auto"/>
          <w:szCs w:val="21"/>
        </w:rPr>
        <w:t>2.1.4</w:t>
      </w:r>
      <w:r>
        <w:rPr>
          <w:rStyle w:val="22"/>
          <w:rFonts w:hint="eastAsia" w:ascii="宋体" w:hAnsi="宋体" w:cs="仿宋_GB2312"/>
          <w:color w:val="auto"/>
          <w:szCs w:val="21"/>
        </w:rPr>
        <w:t>项</w:t>
      </w:r>
      <w:r>
        <w:rPr>
          <w:rStyle w:val="22"/>
          <w:rFonts w:hint="eastAsia" w:ascii="宋体" w:hAnsi="宋体" w:cs="仿宋_GB2312"/>
          <w:color w:val="auto"/>
          <w:szCs w:val="21"/>
        </w:rPr>
        <w:fldChar w:fldCharType="end"/>
      </w:r>
      <w:r>
        <w:rPr>
          <w:rFonts w:hint="eastAsia" w:ascii="宋体" w:hAnsi="宋体" w:cs="仿宋_GB2312"/>
          <w:kern w:val="0"/>
          <w:szCs w:val="21"/>
        </w:rPr>
        <w:t>。</w:t>
      </w:r>
    </w:p>
    <w:p>
      <w:pPr>
        <w:pStyle w:val="6"/>
        <w:spacing w:line="320" w:lineRule="exact"/>
      </w:pPr>
      <w:r>
        <w:rPr>
          <w:rFonts w:cs="TimesNewRomanPSMT"/>
        </w:rPr>
        <w:t xml:space="preserve">2.2 </w:t>
      </w:r>
      <w:r>
        <w:rPr>
          <w:rFonts w:hint="eastAsia"/>
        </w:rPr>
        <w:t>分值构成与评分标准</w:t>
      </w:r>
    </w:p>
    <w:p>
      <w:pPr>
        <w:autoSpaceDE w:val="0"/>
        <w:autoSpaceDN w:val="0"/>
        <w:adjustRightInd w:val="0"/>
        <w:spacing w:line="320" w:lineRule="exact"/>
        <w:jc w:val="left"/>
        <w:rPr>
          <w:rFonts w:ascii="宋体" w:cs="黑体"/>
          <w:kern w:val="0"/>
          <w:szCs w:val="21"/>
        </w:rPr>
      </w:pPr>
      <w:r>
        <w:rPr>
          <w:rFonts w:ascii="宋体" w:hAnsi="宋体" w:cs="TimesNewRomanPSMT"/>
          <w:kern w:val="0"/>
          <w:szCs w:val="21"/>
        </w:rPr>
        <w:t xml:space="preserve">2.2.1 </w:t>
      </w:r>
      <w:r>
        <w:rPr>
          <w:rFonts w:hint="eastAsia" w:ascii="宋体" w:hAnsi="宋体" w:cs="黑体"/>
          <w:kern w:val="0"/>
          <w:szCs w:val="21"/>
        </w:rPr>
        <w:t>分值构成：</w:t>
      </w:r>
      <w:r>
        <w:rPr>
          <w:rFonts w:hint="eastAsia" w:ascii="宋体" w:hAnsi="宋体" w:cs="仿宋_GB2312"/>
          <w:kern w:val="0"/>
          <w:szCs w:val="21"/>
        </w:rPr>
        <w:t>见</w:t>
      </w:r>
      <w:r>
        <w:fldChar w:fldCharType="begin"/>
      </w:r>
      <w:r>
        <w:instrText xml:space="preserve"> HYPERLINK "file:///H:\\泰州招标文件范本\\泰州市房屋建筑和市政工程施工2016.4.docx" \l "_2.2.1" </w:instrText>
      </w:r>
      <w:r>
        <w:fldChar w:fldCharType="separate"/>
      </w:r>
      <w:r>
        <w:rPr>
          <w:rStyle w:val="22"/>
          <w:rFonts w:hint="eastAsia" w:ascii="宋体" w:hAnsi="宋体" w:cs="仿宋_GB2312"/>
          <w:color w:val="auto"/>
          <w:szCs w:val="21"/>
        </w:rPr>
        <w:t>评标办法前附表</w:t>
      </w:r>
      <w:r>
        <w:rPr>
          <w:rStyle w:val="22"/>
          <w:rFonts w:ascii="宋体" w:hAnsi="宋体" w:cs="仿宋_GB2312"/>
          <w:color w:val="auto"/>
          <w:szCs w:val="21"/>
        </w:rPr>
        <w:t>2.2.1</w:t>
      </w:r>
      <w:r>
        <w:rPr>
          <w:rStyle w:val="22"/>
          <w:rFonts w:hint="eastAsia" w:ascii="宋体" w:hAnsi="宋体" w:cs="仿宋_GB2312"/>
          <w:color w:val="auto"/>
          <w:szCs w:val="21"/>
        </w:rPr>
        <w:t>项</w:t>
      </w:r>
      <w:r>
        <w:rPr>
          <w:rStyle w:val="22"/>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spacing w:line="320" w:lineRule="exact"/>
        <w:jc w:val="left"/>
        <w:rPr>
          <w:rFonts w:ascii="宋体" w:cs="黑体"/>
          <w:kern w:val="0"/>
          <w:szCs w:val="21"/>
        </w:rPr>
      </w:pPr>
      <w:r>
        <w:rPr>
          <w:rFonts w:ascii="宋体" w:hAnsi="宋体" w:cs="TimesNewRomanPSMT"/>
          <w:kern w:val="0"/>
          <w:szCs w:val="21"/>
        </w:rPr>
        <w:t xml:space="preserve">2.2.2 </w:t>
      </w:r>
      <w:r>
        <w:rPr>
          <w:rFonts w:hint="eastAsia" w:ascii="宋体" w:hAnsi="宋体" w:cs="黑体"/>
          <w:kern w:val="0"/>
          <w:szCs w:val="21"/>
        </w:rPr>
        <w:t>评标基准价计算方法：</w:t>
      </w:r>
      <w:r>
        <w:rPr>
          <w:rFonts w:hint="eastAsia" w:ascii="宋体" w:hAnsi="宋体" w:cs="仿宋_GB2312"/>
          <w:kern w:val="0"/>
          <w:szCs w:val="21"/>
        </w:rPr>
        <w:t>见</w:t>
      </w:r>
      <w:r>
        <w:fldChar w:fldCharType="begin"/>
      </w:r>
      <w:r>
        <w:instrText xml:space="preserve"> HYPERLINK "file:///H:\\泰州招标文件范本\\泰州市房屋建筑和市政工程施工2016.4.docx" \l "_2.2.2" </w:instrText>
      </w:r>
      <w:r>
        <w:fldChar w:fldCharType="separate"/>
      </w:r>
      <w:r>
        <w:rPr>
          <w:rStyle w:val="22"/>
          <w:rFonts w:hint="eastAsia" w:ascii="宋体" w:hAnsi="宋体" w:cs="仿宋_GB2312"/>
          <w:color w:val="auto"/>
          <w:szCs w:val="21"/>
        </w:rPr>
        <w:t>评标办法前附表</w:t>
      </w:r>
      <w:r>
        <w:rPr>
          <w:rStyle w:val="22"/>
          <w:rFonts w:ascii="宋体" w:hAnsi="宋体" w:cs="仿宋_GB2312"/>
          <w:color w:val="auto"/>
          <w:szCs w:val="21"/>
        </w:rPr>
        <w:t>2.2.2</w:t>
      </w:r>
      <w:r>
        <w:rPr>
          <w:rStyle w:val="22"/>
          <w:rFonts w:hint="eastAsia" w:ascii="宋体" w:hAnsi="宋体" w:cs="仿宋_GB2312"/>
          <w:color w:val="auto"/>
          <w:szCs w:val="21"/>
        </w:rPr>
        <w:t>项</w:t>
      </w:r>
      <w:r>
        <w:rPr>
          <w:rStyle w:val="22"/>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spacing w:line="320" w:lineRule="exact"/>
        <w:jc w:val="left"/>
        <w:rPr>
          <w:rFonts w:ascii="宋体" w:cs="仿宋_GB2312"/>
          <w:b/>
          <w:kern w:val="0"/>
          <w:sz w:val="36"/>
          <w:szCs w:val="36"/>
        </w:rPr>
      </w:pPr>
      <w:r>
        <w:rPr>
          <w:rFonts w:ascii="宋体" w:hAnsi="宋体" w:cs="TimesNewRomanPSMT"/>
          <w:kern w:val="0"/>
          <w:szCs w:val="21"/>
        </w:rPr>
        <w:t xml:space="preserve">2.2.3 </w:t>
      </w:r>
      <w:r>
        <w:rPr>
          <w:rFonts w:hint="eastAsia" w:ascii="宋体" w:hAnsi="宋体" w:cs="仿宋_GB2312"/>
          <w:kern w:val="0"/>
          <w:szCs w:val="21"/>
        </w:rPr>
        <w:t>投标报价的偏差率计算公式：见</w:t>
      </w:r>
      <w:r>
        <w:fldChar w:fldCharType="begin"/>
      </w:r>
      <w:r>
        <w:instrText xml:space="preserve"> HYPERLINK "file:///H:\\泰州招标文件范本\\泰州市房屋建筑和市政工程施工2016.4.docx" \l "_2.2.3" </w:instrText>
      </w:r>
      <w:r>
        <w:fldChar w:fldCharType="separate"/>
      </w:r>
      <w:r>
        <w:rPr>
          <w:rStyle w:val="22"/>
          <w:rFonts w:hint="eastAsia" w:ascii="宋体" w:hAnsi="宋体" w:cs="仿宋_GB2312"/>
          <w:color w:val="auto"/>
          <w:szCs w:val="21"/>
        </w:rPr>
        <w:t>评标办法前附表</w:t>
      </w:r>
      <w:r>
        <w:rPr>
          <w:rStyle w:val="22"/>
          <w:rFonts w:ascii="宋体" w:hAnsi="宋体" w:cs="仿宋_GB2312"/>
          <w:color w:val="auto"/>
          <w:szCs w:val="21"/>
        </w:rPr>
        <w:t>2.2.3</w:t>
      </w:r>
      <w:r>
        <w:rPr>
          <w:rStyle w:val="22"/>
          <w:rFonts w:hint="eastAsia" w:ascii="宋体" w:hAnsi="宋体" w:cs="仿宋_GB2312"/>
          <w:color w:val="auto"/>
          <w:szCs w:val="21"/>
        </w:rPr>
        <w:t>项</w:t>
      </w:r>
      <w:r>
        <w:rPr>
          <w:rStyle w:val="22"/>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spacing w:line="320" w:lineRule="exact"/>
        <w:jc w:val="left"/>
        <w:rPr>
          <w:rFonts w:ascii="宋体" w:cs="黑体"/>
          <w:kern w:val="0"/>
          <w:szCs w:val="21"/>
        </w:rPr>
      </w:pPr>
      <w:r>
        <w:rPr>
          <w:rFonts w:ascii="宋体" w:hAnsi="宋体" w:cs="TimesNewRomanPSMT"/>
          <w:kern w:val="0"/>
          <w:szCs w:val="21"/>
        </w:rPr>
        <w:t xml:space="preserve">2.2.4 </w:t>
      </w:r>
      <w:r>
        <w:rPr>
          <w:rFonts w:hint="eastAsia" w:ascii="宋体" w:hAnsi="宋体" w:cs="黑体"/>
          <w:kern w:val="0"/>
          <w:szCs w:val="21"/>
        </w:rPr>
        <w:t>评分标准</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）投标报价评分标准：见</w:t>
      </w:r>
      <w:r>
        <w:fldChar w:fldCharType="begin"/>
      </w:r>
      <w:r>
        <w:instrText xml:space="preserve"> HYPERLINK "file:///H:\\泰州招标文件范本\\泰州市房屋建筑和市政工程施工2016.4.docx" \l "_2.2.4(3)" </w:instrText>
      </w:r>
      <w:r>
        <w:fldChar w:fldCharType="separate"/>
      </w:r>
      <w:r>
        <w:rPr>
          <w:rStyle w:val="22"/>
          <w:rFonts w:hint="eastAsia" w:ascii="宋体" w:hAnsi="宋体" w:cs="仿宋_GB2312"/>
          <w:color w:val="auto"/>
          <w:szCs w:val="21"/>
        </w:rPr>
        <w:t>评标办法前附表</w:t>
      </w:r>
      <w:r>
        <w:rPr>
          <w:rStyle w:val="22"/>
          <w:rFonts w:ascii="宋体" w:hAnsi="宋体" w:cs="仿宋_GB2312"/>
          <w:color w:val="auto"/>
          <w:szCs w:val="21"/>
        </w:rPr>
        <w:t>2.2.4</w:t>
      </w:r>
      <w:r>
        <w:rPr>
          <w:rStyle w:val="22"/>
          <w:rFonts w:hint="eastAsia" w:ascii="宋体" w:hAnsi="宋体" w:cs="仿宋_GB2312"/>
          <w:color w:val="auto"/>
          <w:szCs w:val="21"/>
        </w:rPr>
        <w:t>项（</w:t>
      </w:r>
      <w:r>
        <w:rPr>
          <w:rStyle w:val="22"/>
          <w:rFonts w:ascii="宋体" w:hAnsi="宋体" w:cs="仿宋_GB2312"/>
          <w:color w:val="auto"/>
          <w:szCs w:val="21"/>
        </w:rPr>
        <w:t>1</w:t>
      </w:r>
      <w:r>
        <w:rPr>
          <w:rStyle w:val="22"/>
          <w:rFonts w:hint="eastAsia" w:ascii="宋体" w:hAnsi="宋体" w:cs="仿宋_GB2312"/>
          <w:color w:val="auto"/>
          <w:szCs w:val="21"/>
        </w:rPr>
        <w:t>）</w:t>
      </w:r>
      <w:r>
        <w:rPr>
          <w:rStyle w:val="22"/>
          <w:rFonts w:hint="eastAsia" w:ascii="宋体" w:hAnsi="宋体" w:cs="仿宋_GB2312"/>
          <w:color w:val="auto"/>
          <w:szCs w:val="21"/>
        </w:rPr>
        <w:fldChar w:fldCharType="end"/>
      </w:r>
      <w:r>
        <w:rPr>
          <w:rFonts w:hint="eastAsia" w:ascii="宋体" w:hAnsi="宋体" w:cs="仿宋_GB2312"/>
          <w:kern w:val="0"/>
          <w:szCs w:val="21"/>
        </w:rPr>
        <w:t>；</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）其他因素评分标准：见</w:t>
      </w:r>
      <w:r>
        <w:fldChar w:fldCharType="begin"/>
      </w:r>
      <w:r>
        <w:instrText xml:space="preserve"> HYPERLINK "file:///H:\\泰州招标文件范本\\泰州市房屋建筑和市政工程施工2016.4.docx" \l "_2.2.4(4)" </w:instrText>
      </w:r>
      <w:r>
        <w:fldChar w:fldCharType="separate"/>
      </w:r>
      <w:r>
        <w:rPr>
          <w:rStyle w:val="22"/>
          <w:rFonts w:hint="eastAsia" w:ascii="宋体" w:hAnsi="宋体" w:cs="仿宋_GB2312"/>
          <w:color w:val="auto"/>
          <w:szCs w:val="21"/>
        </w:rPr>
        <w:t>评标办法前附表</w:t>
      </w:r>
      <w:r>
        <w:rPr>
          <w:rStyle w:val="22"/>
          <w:rFonts w:ascii="宋体" w:hAnsi="宋体" w:cs="仿宋_GB2312"/>
          <w:color w:val="auto"/>
          <w:szCs w:val="21"/>
        </w:rPr>
        <w:t>2.2.4</w:t>
      </w:r>
      <w:r>
        <w:rPr>
          <w:rStyle w:val="22"/>
          <w:rFonts w:hint="eastAsia" w:ascii="宋体" w:hAnsi="宋体" w:cs="仿宋_GB2312"/>
          <w:color w:val="auto"/>
          <w:szCs w:val="21"/>
        </w:rPr>
        <w:t>项（</w:t>
      </w:r>
      <w:r>
        <w:rPr>
          <w:rStyle w:val="22"/>
          <w:rFonts w:ascii="宋体" w:hAnsi="宋体" w:cs="仿宋_GB2312"/>
          <w:color w:val="auto"/>
          <w:szCs w:val="21"/>
        </w:rPr>
        <w:t>2</w:t>
      </w:r>
      <w:r>
        <w:rPr>
          <w:rStyle w:val="22"/>
          <w:rFonts w:hint="eastAsia" w:ascii="宋体" w:hAnsi="宋体" w:cs="仿宋_GB2312"/>
          <w:color w:val="auto"/>
          <w:szCs w:val="21"/>
        </w:rPr>
        <w:t>）</w:t>
      </w:r>
      <w:r>
        <w:rPr>
          <w:rStyle w:val="22"/>
          <w:rFonts w:hint="eastAsia" w:ascii="宋体" w:hAnsi="宋体" w:cs="仿宋_GB2312"/>
          <w:color w:val="auto"/>
          <w:szCs w:val="21"/>
        </w:rPr>
        <w:fldChar w:fldCharType="end"/>
      </w:r>
      <w:r>
        <w:rPr>
          <w:rFonts w:hint="eastAsia" w:ascii="宋体" w:hAnsi="宋体" w:cs="仿宋_GB2312"/>
          <w:kern w:val="0"/>
          <w:szCs w:val="21"/>
        </w:rPr>
        <w:t>。</w:t>
      </w:r>
    </w:p>
    <w:p>
      <w:pPr>
        <w:pStyle w:val="5"/>
        <w:spacing w:line="320" w:lineRule="exact"/>
      </w:pPr>
      <w:bookmarkStart w:id="166" w:name="_2.2_详细评审标准"/>
      <w:bookmarkEnd w:id="166"/>
      <w:bookmarkStart w:id="167" w:name="_Toc275956125"/>
      <w:r>
        <w:rPr>
          <w:rFonts w:cs="TimesNewRomanPSMT"/>
        </w:rPr>
        <w:t xml:space="preserve">3. </w:t>
      </w:r>
      <w:r>
        <w:rPr>
          <w:rFonts w:hint="eastAsia"/>
        </w:rPr>
        <w:t>评标程序</w:t>
      </w:r>
      <w:bookmarkEnd w:id="167"/>
    </w:p>
    <w:p>
      <w:pPr>
        <w:pStyle w:val="6"/>
        <w:spacing w:line="320" w:lineRule="exact"/>
      </w:pPr>
      <w:bookmarkStart w:id="168" w:name="_3.1_评标准备"/>
      <w:bookmarkEnd w:id="168"/>
      <w:r>
        <w:rPr>
          <w:rFonts w:cs="TimesNewRomanPSMT"/>
        </w:rPr>
        <w:t xml:space="preserve">3.1 </w:t>
      </w:r>
      <w:r>
        <w:rPr>
          <w:rFonts w:hint="eastAsia"/>
        </w:rPr>
        <w:t>评标准备</w:t>
      </w:r>
    </w:p>
    <w:p>
      <w:pPr>
        <w:autoSpaceDE w:val="0"/>
        <w:autoSpaceDN w:val="0"/>
        <w:adjustRightInd w:val="0"/>
        <w:spacing w:line="320" w:lineRule="exact"/>
        <w:jc w:val="left"/>
        <w:rPr>
          <w:rFonts w:ascii="宋体" w:cs="TimesNewRomanPSMT"/>
          <w:kern w:val="0"/>
          <w:szCs w:val="21"/>
        </w:rPr>
      </w:pPr>
      <w:r>
        <w:rPr>
          <w:rFonts w:ascii="宋体" w:hAnsi="宋体" w:cs="TimesNewRomanPSMT"/>
          <w:kern w:val="0"/>
          <w:szCs w:val="21"/>
        </w:rPr>
        <w:t xml:space="preserve">3.1.1 </w:t>
      </w:r>
      <w:r>
        <w:rPr>
          <w:rFonts w:hint="eastAsia" w:ascii="宋体" w:hAnsi="宋体" w:cs="TimesNewRomanPSMT"/>
          <w:kern w:val="0"/>
          <w:szCs w:val="21"/>
        </w:rPr>
        <w:t>评标委员会由招标人依法组建。评标委员会负责人由评标委员会成员推举产生。评标委员会成员应遵守有关法律、法规、规章，遵守评标纪律和其他评标有关规定。</w:t>
      </w:r>
    </w:p>
    <w:p>
      <w:pPr>
        <w:autoSpaceDE w:val="0"/>
        <w:autoSpaceDN w:val="0"/>
        <w:adjustRightInd w:val="0"/>
        <w:spacing w:line="320" w:lineRule="exact"/>
        <w:jc w:val="left"/>
        <w:rPr>
          <w:rFonts w:ascii="宋体" w:cs="TimesNewRomanPSMT"/>
          <w:kern w:val="0"/>
          <w:szCs w:val="21"/>
        </w:rPr>
      </w:pPr>
      <w:r>
        <w:rPr>
          <w:rFonts w:ascii="宋体" w:hAnsi="宋体" w:cs="TimesNewRomanPSMT"/>
          <w:kern w:val="0"/>
          <w:szCs w:val="21"/>
        </w:rPr>
        <w:t xml:space="preserve">3.1.2 </w:t>
      </w:r>
      <w:r>
        <w:rPr>
          <w:rFonts w:hint="eastAsia" w:ascii="宋体" w:hAnsi="宋体" w:cs="TimesNewRomanPSMT"/>
          <w:kern w:val="0"/>
          <w:szCs w:val="21"/>
        </w:rPr>
        <w:t>招标人应向评标委员会提供与评标有关的工程项目信息和资料，所提供的资料和信息不得带有不公正、影响或排斥某些投标人的情况。</w:t>
      </w:r>
    </w:p>
    <w:p>
      <w:pPr>
        <w:autoSpaceDE w:val="0"/>
        <w:autoSpaceDN w:val="0"/>
        <w:adjustRightInd w:val="0"/>
        <w:spacing w:line="320" w:lineRule="exact"/>
        <w:jc w:val="left"/>
        <w:rPr>
          <w:rFonts w:ascii="宋体" w:cs="TimesNewRomanPSMT"/>
          <w:kern w:val="0"/>
          <w:szCs w:val="21"/>
        </w:rPr>
      </w:pPr>
      <w:r>
        <w:rPr>
          <w:rFonts w:ascii="宋体" w:hAnsi="宋体" w:cs="TimesNewRomanPSMT"/>
          <w:kern w:val="0"/>
          <w:szCs w:val="21"/>
        </w:rPr>
        <w:t xml:space="preserve">3.1.3 </w:t>
      </w:r>
      <w:r>
        <w:rPr>
          <w:rFonts w:hint="eastAsia" w:ascii="宋体" w:hAnsi="宋体" w:cs="TimesNewRomanPSMT"/>
          <w:kern w:val="0"/>
          <w:szCs w:val="21"/>
        </w:rPr>
        <w:t>评标委员会成员应独立研读招标文件。对招标文件中存在的问题的处理应由评标委员会讨论决定。评标委员会可要求招标人对招标文件的内容作必要的澄清、说明，但澄清、说明不得改变招标文件的实质内容。</w:t>
      </w:r>
    </w:p>
    <w:p>
      <w:pPr>
        <w:pStyle w:val="6"/>
        <w:spacing w:line="320" w:lineRule="exact"/>
        <w:rPr>
          <w:rFonts w:cs="黑体"/>
        </w:rPr>
      </w:pPr>
      <w:bookmarkStart w:id="169" w:name="_3.2_初步评审"/>
      <w:bookmarkEnd w:id="169"/>
      <w:r>
        <w:t xml:space="preserve">3.2 </w:t>
      </w:r>
      <w:r>
        <w:rPr>
          <w:rFonts w:hint="eastAsia"/>
        </w:rPr>
        <w:t>初步评审</w:t>
      </w:r>
    </w:p>
    <w:p>
      <w:pPr>
        <w:autoSpaceDE w:val="0"/>
        <w:autoSpaceDN w:val="0"/>
        <w:adjustRightInd w:val="0"/>
        <w:spacing w:line="320" w:lineRule="exact"/>
        <w:jc w:val="left"/>
        <w:rPr>
          <w:rFonts w:ascii="宋体" w:cs="仿宋_GB2312"/>
          <w:kern w:val="0"/>
          <w:szCs w:val="21"/>
        </w:rPr>
      </w:pPr>
      <w:r>
        <w:rPr>
          <w:rFonts w:ascii="宋体" w:hAnsi="宋体" w:cs="仿宋_GB2312"/>
          <w:kern w:val="0"/>
          <w:szCs w:val="21"/>
        </w:rPr>
        <w:t xml:space="preserve">3.2.1 </w:t>
      </w:r>
      <w:r>
        <w:rPr>
          <w:rFonts w:hint="eastAsia" w:ascii="宋体" w:hAnsi="宋体" w:cs="仿宋_GB2312"/>
          <w:kern w:val="0"/>
          <w:szCs w:val="21"/>
        </w:rPr>
        <w:t>评标委员会与投标人资料进行核对。评标委员会依据本章第</w:t>
      </w:r>
      <w:r>
        <w:rPr>
          <w:rFonts w:ascii="宋体" w:hAnsi="宋体" w:cs="TimesNewRomanPSMT"/>
          <w:kern w:val="0"/>
          <w:szCs w:val="21"/>
        </w:rPr>
        <w:t xml:space="preserve">2.1 </w:t>
      </w:r>
      <w:r>
        <w:rPr>
          <w:rFonts w:hint="eastAsia" w:ascii="宋体" w:hAnsi="宋体" w:cs="仿宋_GB2312"/>
          <w:kern w:val="0"/>
          <w:szCs w:val="21"/>
        </w:rPr>
        <w:t>款规定的标准对投标文件进行初步评审。有一项不符合评审标准的，作否决投标处理。（适用于未进行资格预审的）</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3.2.2</w:t>
      </w:r>
      <w:r>
        <w:rPr>
          <w:rFonts w:hint="eastAsia" w:ascii="宋体" w:hAnsi="宋体" w:cs="仿宋_GB2312"/>
          <w:kern w:val="0"/>
          <w:szCs w:val="21"/>
        </w:rPr>
        <w:t>评标委员会依据本章第</w:t>
      </w:r>
      <w:r>
        <w:rPr>
          <w:rFonts w:ascii="宋体" w:hAnsi="宋体" w:cs="TimesNewRomanPSMT"/>
          <w:kern w:val="0"/>
          <w:szCs w:val="21"/>
        </w:rPr>
        <w:t xml:space="preserve">2.1.1 </w:t>
      </w:r>
      <w:r>
        <w:rPr>
          <w:rFonts w:hint="eastAsia" w:ascii="宋体" w:hAnsi="宋体" w:cs="仿宋_GB2312"/>
          <w:kern w:val="0"/>
          <w:szCs w:val="21"/>
        </w:rPr>
        <w:t>项、第</w:t>
      </w:r>
      <w:r>
        <w:rPr>
          <w:rFonts w:ascii="宋体" w:hAnsi="宋体" w:cs="TimesNewRomanPSMT"/>
          <w:kern w:val="0"/>
          <w:szCs w:val="21"/>
        </w:rPr>
        <w:t xml:space="preserve">2.1.3 </w:t>
      </w:r>
      <w:r>
        <w:rPr>
          <w:rFonts w:hint="eastAsia" w:ascii="宋体" w:hAnsi="宋体" w:cs="仿宋_GB2312"/>
          <w:kern w:val="0"/>
          <w:szCs w:val="21"/>
        </w:rPr>
        <w:t>项、第</w:t>
      </w:r>
      <w:r>
        <w:rPr>
          <w:rFonts w:ascii="宋体" w:hAnsi="宋体" w:cs="TimesNewRomanPSMT"/>
          <w:kern w:val="0"/>
          <w:szCs w:val="21"/>
        </w:rPr>
        <w:t xml:space="preserve">2.1.4 </w:t>
      </w:r>
      <w:r>
        <w:rPr>
          <w:rFonts w:hint="eastAsia" w:ascii="宋体" w:hAnsi="宋体" w:cs="仿宋_GB2312"/>
          <w:kern w:val="0"/>
          <w:szCs w:val="21"/>
        </w:rPr>
        <w:t>项规定的标准对投标文件进行初步评审。有一项不符合评审标准的，作否决投标处理。当投标人资格预审申请文件的内容发生重大变化时，评标委员会依据本章第</w:t>
      </w:r>
      <w:r>
        <w:rPr>
          <w:rFonts w:ascii="宋体" w:hAnsi="宋体" w:cs="TimesNewRomanPSMT"/>
          <w:kern w:val="0"/>
          <w:szCs w:val="21"/>
        </w:rPr>
        <w:t xml:space="preserve">2.1.2 </w:t>
      </w:r>
      <w:r>
        <w:rPr>
          <w:rFonts w:hint="eastAsia" w:ascii="宋体" w:hAnsi="宋体" w:cs="仿宋_GB2312"/>
          <w:kern w:val="0"/>
          <w:szCs w:val="21"/>
        </w:rPr>
        <w:t>项规定的标准对其更新资料进行评审（适用于已进行资格预审的）。</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3.2.3 </w:t>
      </w:r>
      <w:r>
        <w:rPr>
          <w:rFonts w:hint="eastAsia" w:ascii="宋体" w:hAnsi="宋体" w:cs="仿宋_GB2312"/>
          <w:kern w:val="0"/>
          <w:szCs w:val="21"/>
        </w:rPr>
        <w:t>投标人有以下情形之一的，其</w:t>
      </w:r>
      <w:r>
        <w:rPr>
          <w:rFonts w:hint="eastAsia" w:ascii="宋体" w:hAnsi="宋体" w:cs="仿宋_GB2312"/>
          <w:b/>
          <w:bCs/>
          <w:kern w:val="0"/>
          <w:szCs w:val="21"/>
        </w:rPr>
        <w:t>投标作否决投标处理</w:t>
      </w:r>
      <w:r>
        <w:rPr>
          <w:rFonts w:hint="eastAsia" w:ascii="宋体" w:hAnsi="宋体" w:cs="仿宋_GB2312"/>
          <w:kern w:val="0"/>
          <w:szCs w:val="21"/>
        </w:rPr>
        <w:t>：</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）第二章</w:t>
      </w:r>
      <w:r>
        <w:fldChar w:fldCharType="begin"/>
      </w:r>
      <w:r>
        <w:instrText xml:space="preserve"> HYPERLINK "file:///H:\\泰州招标文件范本\\泰州市房屋建筑和市政工程施工2016.4.docx" \l "_1.4_投标人资格要求（适用于已进行资格预审的）" </w:instrText>
      </w:r>
      <w:r>
        <w:fldChar w:fldCharType="separate"/>
      </w:r>
      <w:r>
        <w:rPr>
          <w:rStyle w:val="22"/>
          <w:rFonts w:hint="eastAsia" w:ascii="宋体" w:hAnsi="宋体" w:cs="仿宋_GB2312"/>
          <w:color w:val="auto"/>
          <w:szCs w:val="21"/>
        </w:rPr>
        <w:t>投标人须知第</w:t>
      </w:r>
      <w:r>
        <w:rPr>
          <w:rStyle w:val="22"/>
          <w:rFonts w:ascii="宋体" w:hAnsi="宋体" w:cs="TimesNewRomanPSMT"/>
          <w:color w:val="auto"/>
          <w:szCs w:val="21"/>
        </w:rPr>
        <w:t>1.4.1</w:t>
      </w:r>
      <w:r>
        <w:rPr>
          <w:rStyle w:val="22"/>
          <w:rFonts w:hint="eastAsia" w:ascii="宋体" w:hAnsi="宋体" w:cs="仿宋_GB2312"/>
          <w:color w:val="auto"/>
          <w:szCs w:val="21"/>
        </w:rPr>
        <w:t>项</w:t>
      </w:r>
      <w:r>
        <w:rPr>
          <w:rStyle w:val="22"/>
          <w:rFonts w:hint="eastAsia" w:ascii="宋体" w:hAnsi="宋体" w:cs="仿宋_GB2312"/>
          <w:color w:val="auto"/>
          <w:szCs w:val="21"/>
        </w:rPr>
        <w:fldChar w:fldCharType="end"/>
      </w:r>
      <w:r>
        <w:rPr>
          <w:rFonts w:hint="eastAsia" w:ascii="宋体" w:hAnsi="宋体" w:cs="仿宋_GB2312"/>
          <w:kern w:val="0"/>
          <w:szCs w:val="21"/>
        </w:rPr>
        <w:t>规定的任何一种情形的；</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）串通投标或弄虚作假或有其他违法行为的；</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3</w:t>
      </w:r>
      <w:r>
        <w:rPr>
          <w:rFonts w:hint="eastAsia" w:ascii="宋体" w:hAnsi="宋体" w:cs="仿宋_GB2312"/>
          <w:kern w:val="0"/>
          <w:szCs w:val="21"/>
        </w:rPr>
        <w:t>）不按评标委员会要求澄清、说明或补正的。</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3.2.4 </w:t>
      </w:r>
      <w:r>
        <w:rPr>
          <w:rFonts w:hint="eastAsia" w:ascii="宋体" w:hAnsi="宋体" w:cs="仿宋_GB2312"/>
          <w:kern w:val="0"/>
          <w:szCs w:val="21"/>
        </w:rPr>
        <w:t>投标报价有算术错误的，评标委员会按以下原则对投标报价进行修正，如修正后的投标总报价高于招标人设置的最高限价，则应按</w:t>
      </w:r>
      <w:r>
        <w:rPr>
          <w:rFonts w:hint="eastAsia" w:ascii="宋体" w:hAnsi="宋体" w:cs="仿宋_GB2312"/>
          <w:b/>
          <w:bCs/>
          <w:kern w:val="0"/>
          <w:szCs w:val="21"/>
        </w:rPr>
        <w:t>否决投标处理</w:t>
      </w:r>
      <w:r>
        <w:rPr>
          <w:rFonts w:hint="eastAsia" w:ascii="宋体" w:hAnsi="宋体" w:cs="仿宋_GB2312"/>
          <w:kern w:val="0"/>
          <w:szCs w:val="21"/>
        </w:rPr>
        <w:t>。对存在算术性错误的投标报价，经修正后，评标委员会应书面通知投标人确认。修正的价格经投标人确认后具有约束力。投标人不接受修正价格的，其投标作</w:t>
      </w:r>
      <w:r>
        <w:rPr>
          <w:rFonts w:hint="eastAsia" w:ascii="宋体" w:hAnsi="宋体" w:cs="仿宋_GB2312"/>
          <w:b/>
          <w:bCs/>
          <w:kern w:val="0"/>
          <w:szCs w:val="21"/>
        </w:rPr>
        <w:t>否决投标处理</w:t>
      </w:r>
      <w:r>
        <w:rPr>
          <w:rFonts w:hint="eastAsia" w:ascii="宋体" w:hAnsi="宋体" w:cs="仿宋_GB2312"/>
          <w:kern w:val="0"/>
          <w:szCs w:val="21"/>
        </w:rPr>
        <w:t>。</w:t>
      </w:r>
    </w:p>
    <w:p>
      <w:pPr>
        <w:autoSpaceDE w:val="0"/>
        <w:autoSpaceDN w:val="0"/>
        <w:adjustRightInd w:val="0"/>
        <w:spacing w:line="320" w:lineRule="exact"/>
        <w:ind w:firstLine="210" w:firstLineChars="10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）投标文件中的大写金额与小写金额不一致的，以大写金额为准；</w:t>
      </w:r>
    </w:p>
    <w:p>
      <w:pPr>
        <w:autoSpaceDE w:val="0"/>
        <w:autoSpaceDN w:val="0"/>
        <w:adjustRightInd w:val="0"/>
        <w:spacing w:line="320" w:lineRule="exact"/>
        <w:ind w:firstLine="210" w:firstLineChars="100"/>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）总价金额与依据单价计算出的结果不一致的，以单价金额为准修正总价，但单价金额小数点有明显错误的除外。</w:t>
      </w:r>
    </w:p>
    <w:p>
      <w:pPr>
        <w:pStyle w:val="6"/>
        <w:spacing w:line="320" w:lineRule="exact"/>
      </w:pPr>
      <w:bookmarkStart w:id="170" w:name="_3.3_详细评审"/>
      <w:bookmarkEnd w:id="170"/>
      <w:r>
        <w:rPr>
          <w:rFonts w:cs="TimesNewRomanPSMT"/>
        </w:rPr>
        <w:t xml:space="preserve">3.3 </w:t>
      </w:r>
      <w:r>
        <w:rPr>
          <w:rFonts w:hint="eastAsia"/>
        </w:rPr>
        <w:t>详细评审</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3.3.1 </w:t>
      </w:r>
      <w:r>
        <w:rPr>
          <w:rFonts w:hint="eastAsia" w:ascii="宋体" w:hAnsi="宋体" w:cs="仿宋_GB2312"/>
          <w:kern w:val="0"/>
          <w:szCs w:val="21"/>
        </w:rPr>
        <w:t>评标委员会发现投标人的报价明显低于其他投标报价，或者在设有标底（招标控制价）时明显低于标底（招标控制价），使得其投标报价可能低于其成本的，应当根据本章节附件</w:t>
      </w:r>
      <w:r>
        <w:rPr>
          <w:rFonts w:ascii="宋体" w:hAnsi="宋体" w:cs="仿宋_GB2312"/>
          <w:kern w:val="0"/>
          <w:szCs w:val="21"/>
        </w:rPr>
        <w:t>C</w:t>
      </w:r>
      <w:r>
        <w:rPr>
          <w:rFonts w:hint="eastAsia" w:ascii="宋体" w:hAnsi="宋体" w:cs="仿宋_GB2312"/>
          <w:kern w:val="0"/>
          <w:szCs w:val="21"/>
        </w:rPr>
        <w:t>中规定的程序、标准和方法</w:t>
      </w:r>
      <w:r>
        <w:rPr>
          <w:rFonts w:ascii="宋体" w:cs="仿宋_GB2312"/>
          <w:kern w:val="0"/>
          <w:szCs w:val="21"/>
        </w:rPr>
        <w:t>,</w:t>
      </w:r>
      <w:r>
        <w:rPr>
          <w:rFonts w:hint="eastAsia" w:ascii="宋体" w:hAnsi="宋体" w:cs="仿宋_GB2312"/>
          <w:kern w:val="0"/>
          <w:szCs w:val="21"/>
        </w:rPr>
        <w:t>判断投标报价是否低于其成本。由评标委员会认定投标人以低于成本竞标的</w:t>
      </w:r>
      <w:r>
        <w:rPr>
          <w:rFonts w:ascii="宋体" w:cs="仿宋_GB2312"/>
          <w:kern w:val="0"/>
          <w:szCs w:val="21"/>
        </w:rPr>
        <w:t>,</w:t>
      </w:r>
      <w:r>
        <w:rPr>
          <w:rFonts w:hint="eastAsia" w:ascii="宋体" w:hAnsi="宋体" w:cs="仿宋_GB2312"/>
          <w:kern w:val="0"/>
          <w:szCs w:val="21"/>
        </w:rPr>
        <w:t>其投标作</w:t>
      </w:r>
      <w:r>
        <w:rPr>
          <w:rFonts w:hint="eastAsia" w:ascii="宋体" w:hAnsi="宋体" w:cs="仿宋_GB2312"/>
          <w:b/>
          <w:bCs/>
          <w:kern w:val="0"/>
          <w:szCs w:val="21"/>
        </w:rPr>
        <w:t>否决投标处理</w:t>
      </w:r>
      <w:r>
        <w:rPr>
          <w:rFonts w:hint="eastAsia" w:ascii="宋体" w:hAnsi="宋体" w:cs="仿宋_GB2312"/>
          <w:kern w:val="0"/>
          <w:szCs w:val="21"/>
        </w:rPr>
        <w:t>。</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3.3.2 </w:t>
      </w:r>
      <w:r>
        <w:rPr>
          <w:rFonts w:hint="eastAsia" w:ascii="宋体" w:hAnsi="宋体" w:cs="仿宋_GB2312"/>
          <w:kern w:val="0"/>
          <w:szCs w:val="21"/>
        </w:rPr>
        <w:t>评标委员会按</w:t>
      </w:r>
      <w:r>
        <w:fldChar w:fldCharType="begin"/>
      </w:r>
      <w:r>
        <w:instrText xml:space="preserve"> HYPERLINK "file:///H:\\泰州招标文件范本\\泰州市房屋建筑和市政工程施工2016.4.docx" \l "_2.2.1" </w:instrText>
      </w:r>
      <w:r>
        <w:fldChar w:fldCharType="separate"/>
      </w:r>
      <w:r>
        <w:rPr>
          <w:rStyle w:val="22"/>
          <w:rFonts w:hint="eastAsia" w:ascii="宋体" w:hAnsi="宋体" w:cs="仿宋_GB2312"/>
          <w:color w:val="auto"/>
          <w:szCs w:val="21"/>
        </w:rPr>
        <w:t>本章第</w:t>
      </w:r>
      <w:r>
        <w:rPr>
          <w:rStyle w:val="22"/>
          <w:rFonts w:ascii="宋体" w:hAnsi="宋体" w:cs="TimesNewRomanPSMT"/>
          <w:color w:val="auto"/>
          <w:szCs w:val="21"/>
        </w:rPr>
        <w:t xml:space="preserve">2.2 </w:t>
      </w:r>
      <w:r>
        <w:rPr>
          <w:rStyle w:val="22"/>
          <w:rFonts w:hint="eastAsia" w:ascii="宋体" w:hAnsi="宋体" w:cs="仿宋_GB2312"/>
          <w:color w:val="auto"/>
          <w:szCs w:val="21"/>
        </w:rPr>
        <w:t>款</w:t>
      </w:r>
      <w:r>
        <w:rPr>
          <w:rStyle w:val="22"/>
          <w:rFonts w:hint="eastAsia" w:ascii="宋体" w:hAnsi="宋体" w:cs="仿宋_GB2312"/>
          <w:color w:val="auto"/>
          <w:szCs w:val="21"/>
        </w:rPr>
        <w:fldChar w:fldCharType="end"/>
      </w:r>
      <w:r>
        <w:rPr>
          <w:rFonts w:hint="eastAsia" w:ascii="宋体" w:hAnsi="宋体" w:cs="仿宋_GB2312"/>
          <w:kern w:val="0"/>
          <w:szCs w:val="21"/>
        </w:rPr>
        <w:t>规定的量化因素和分值进行打分，并计算出综合评估得分。</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）按本章第</w:t>
      </w:r>
      <w:r>
        <w:fldChar w:fldCharType="begin"/>
      </w:r>
      <w:r>
        <w:instrText xml:space="preserve"> HYPERLINK "file:///H:\\泰州招标文件范本\\泰州市房屋建筑和市政工程施工2016.4.docx" \l "_2.2.4(3)" </w:instrText>
      </w:r>
      <w:r>
        <w:fldChar w:fldCharType="separate"/>
      </w:r>
      <w:r>
        <w:rPr>
          <w:rStyle w:val="22"/>
          <w:rFonts w:ascii="宋体" w:hAnsi="宋体" w:cs="TimesNewRomanPSMT"/>
          <w:color w:val="auto"/>
          <w:szCs w:val="21"/>
        </w:rPr>
        <w:t>2.2.4</w:t>
      </w:r>
      <w:r>
        <w:rPr>
          <w:rStyle w:val="22"/>
          <w:rFonts w:hint="eastAsia" w:ascii="宋体" w:hAnsi="宋体" w:cs="仿宋_GB2312"/>
          <w:color w:val="auto"/>
          <w:szCs w:val="21"/>
        </w:rPr>
        <w:t>（</w:t>
      </w:r>
      <w:r>
        <w:rPr>
          <w:rStyle w:val="22"/>
          <w:rFonts w:ascii="宋体" w:hAnsi="宋体" w:cs="TimesNewRomanPSMT"/>
          <w:color w:val="auto"/>
          <w:szCs w:val="21"/>
        </w:rPr>
        <w:t>1</w:t>
      </w:r>
      <w:r>
        <w:rPr>
          <w:rStyle w:val="22"/>
          <w:rFonts w:hint="eastAsia" w:ascii="宋体" w:hAnsi="宋体" w:cs="仿宋_GB2312"/>
          <w:color w:val="auto"/>
          <w:szCs w:val="21"/>
        </w:rPr>
        <w:t>）</w:t>
      </w:r>
      <w:r>
        <w:rPr>
          <w:rStyle w:val="22"/>
          <w:rFonts w:hint="eastAsia" w:ascii="宋体" w:hAnsi="宋体" w:cs="仿宋_GB2312"/>
          <w:color w:val="auto"/>
          <w:szCs w:val="21"/>
        </w:rPr>
        <w:fldChar w:fldCharType="end"/>
      </w:r>
      <w:r>
        <w:rPr>
          <w:rFonts w:hint="eastAsia" w:ascii="宋体" w:hAnsi="宋体" w:cs="仿宋_GB2312"/>
          <w:kern w:val="0"/>
          <w:szCs w:val="21"/>
        </w:rPr>
        <w:t>目规定的评审因素和分值对投标报价计算出得分</w:t>
      </w:r>
      <w:r>
        <w:rPr>
          <w:rFonts w:ascii="宋体" w:hAnsi="宋体" w:cs="TimesNewRomanPSMT"/>
          <w:kern w:val="0"/>
          <w:szCs w:val="21"/>
        </w:rPr>
        <w:t>A</w:t>
      </w:r>
      <w:r>
        <w:rPr>
          <w:rFonts w:hint="eastAsia" w:ascii="宋体" w:hAnsi="宋体" w:cs="仿宋_GB2312"/>
          <w:kern w:val="0"/>
          <w:szCs w:val="21"/>
        </w:rPr>
        <w:t>；</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）按本章第</w:t>
      </w:r>
      <w:r>
        <w:fldChar w:fldCharType="begin"/>
      </w:r>
      <w:r>
        <w:instrText xml:space="preserve"> HYPERLINK "file:///H:\\泰州招标文件范本\\泰州市房屋建筑和市政工程施工2016.4.docx" \l "_2.2.4(4)" </w:instrText>
      </w:r>
      <w:r>
        <w:fldChar w:fldCharType="separate"/>
      </w:r>
      <w:r>
        <w:rPr>
          <w:rStyle w:val="22"/>
          <w:rFonts w:ascii="宋体" w:hAnsi="宋体" w:cs="TimesNewRomanPSMT"/>
          <w:color w:val="auto"/>
          <w:szCs w:val="21"/>
        </w:rPr>
        <w:t>2.2.4</w:t>
      </w:r>
      <w:r>
        <w:rPr>
          <w:rStyle w:val="22"/>
          <w:rFonts w:hint="eastAsia" w:ascii="宋体" w:hAnsi="宋体" w:cs="仿宋_GB2312"/>
          <w:color w:val="auto"/>
          <w:szCs w:val="21"/>
        </w:rPr>
        <w:t>（</w:t>
      </w:r>
      <w:r>
        <w:rPr>
          <w:rStyle w:val="22"/>
          <w:rFonts w:ascii="宋体" w:hAnsi="宋体" w:cs="TimesNewRomanPSMT"/>
          <w:color w:val="auto"/>
          <w:szCs w:val="21"/>
        </w:rPr>
        <w:t>2</w:t>
      </w:r>
      <w:r>
        <w:rPr>
          <w:rStyle w:val="22"/>
          <w:rFonts w:hint="eastAsia" w:ascii="宋体" w:hAnsi="宋体" w:cs="仿宋_GB2312"/>
          <w:color w:val="auto"/>
          <w:szCs w:val="21"/>
        </w:rPr>
        <w:t>）</w:t>
      </w:r>
      <w:r>
        <w:rPr>
          <w:rStyle w:val="22"/>
          <w:rFonts w:hint="eastAsia" w:ascii="宋体" w:hAnsi="宋体" w:cs="仿宋_GB2312"/>
          <w:color w:val="auto"/>
          <w:szCs w:val="21"/>
        </w:rPr>
        <w:fldChar w:fldCharType="end"/>
      </w:r>
      <w:r>
        <w:rPr>
          <w:rFonts w:hint="eastAsia" w:ascii="宋体" w:hAnsi="宋体" w:cs="仿宋_GB2312"/>
          <w:kern w:val="0"/>
          <w:szCs w:val="21"/>
        </w:rPr>
        <w:t>目规定的评审因素和分值对其他部分计算出得分</w:t>
      </w:r>
      <w:r>
        <w:rPr>
          <w:rFonts w:ascii="宋体" w:hAnsi="宋体" w:cs="TimesNewRomanPSMT"/>
          <w:kern w:val="0"/>
          <w:szCs w:val="21"/>
        </w:rPr>
        <w:t>B</w:t>
      </w:r>
      <w:r>
        <w:rPr>
          <w:rFonts w:hint="eastAsia" w:ascii="宋体" w:hAnsi="宋体" w:cs="仿宋_GB2312"/>
          <w:kern w:val="0"/>
          <w:szCs w:val="21"/>
        </w:rPr>
        <w:t>。</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3.3.3 </w:t>
      </w:r>
      <w:r>
        <w:rPr>
          <w:rFonts w:hint="eastAsia" w:ascii="宋体" w:hAnsi="宋体" w:cs="仿宋_GB2312"/>
          <w:kern w:val="0"/>
          <w:szCs w:val="21"/>
        </w:rPr>
        <w:t>评分分值计算应保留小数点后两位，小数点后第三位“四舍五入”。</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3.3.4 </w:t>
      </w:r>
      <w:r>
        <w:rPr>
          <w:rFonts w:hint="eastAsia" w:ascii="宋体" w:hAnsi="宋体" w:cs="仿宋_GB2312"/>
          <w:kern w:val="0"/>
          <w:szCs w:val="21"/>
        </w:rPr>
        <w:t>投标人得分</w:t>
      </w:r>
      <w:r>
        <w:rPr>
          <w:rFonts w:ascii="宋体" w:hAnsi="宋体" w:cs="TimesNewRomanPSMT"/>
          <w:kern w:val="0"/>
          <w:szCs w:val="21"/>
        </w:rPr>
        <w:t>=A+B</w:t>
      </w:r>
      <w:r>
        <w:rPr>
          <w:rFonts w:hint="eastAsia" w:ascii="宋体" w:hAnsi="宋体" w:cs="仿宋_GB2312"/>
          <w:kern w:val="0"/>
          <w:szCs w:val="21"/>
        </w:rPr>
        <w:t>。</w:t>
      </w:r>
    </w:p>
    <w:p>
      <w:pPr>
        <w:pStyle w:val="6"/>
        <w:spacing w:line="320" w:lineRule="exact"/>
      </w:pPr>
      <w:bookmarkStart w:id="171" w:name="_3.4_投标文件的澄清和补正"/>
      <w:bookmarkEnd w:id="171"/>
      <w:r>
        <w:rPr>
          <w:rFonts w:cs="TimesNewRomanPSMT"/>
        </w:rPr>
        <w:t xml:space="preserve">3.4 </w:t>
      </w:r>
      <w:r>
        <w:rPr>
          <w:rFonts w:hint="eastAsia"/>
        </w:rPr>
        <w:t>投标文件的澄清和补正</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3.4.1 </w:t>
      </w:r>
      <w:r>
        <w:rPr>
          <w:rFonts w:hint="eastAsia" w:ascii="宋体" w:hAnsi="宋体" w:cs="仿宋_GB2312"/>
          <w:kern w:val="0"/>
          <w:szCs w:val="21"/>
        </w:rPr>
        <w:t>在评标过程中，评标委员会可以书面形式要求投标人对所提交的投标文件中不明确的内容进行书面澄清或说明，或者对细微偏差进行补正。评标委员会不接受投标人主动提出的澄清、说明或补正。</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3.4.2 </w:t>
      </w:r>
      <w:r>
        <w:rPr>
          <w:rFonts w:hint="eastAsia" w:ascii="宋体" w:hAnsi="宋体" w:cs="仿宋_GB2312"/>
          <w:kern w:val="0"/>
          <w:szCs w:val="21"/>
        </w:rPr>
        <w:t>澄清、说明和补正不得改变投标文件的实质性内容（算术性错误修正的除外）。投</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标人的书面澄清、说明和补正属于投标文件的组成部分。</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3.4.3 </w:t>
      </w:r>
      <w:r>
        <w:rPr>
          <w:rFonts w:hint="eastAsia" w:ascii="宋体" w:hAnsi="宋体" w:cs="仿宋_GB2312"/>
          <w:kern w:val="0"/>
          <w:szCs w:val="21"/>
        </w:rPr>
        <w:t>评标委员会对投标人提交的澄清、说明或补正有疑问的，可以要求投标人进一步</w:t>
      </w:r>
    </w:p>
    <w:p>
      <w:pPr>
        <w:autoSpaceDE w:val="0"/>
        <w:autoSpaceDN w:val="0"/>
        <w:adjustRightInd w:val="0"/>
        <w:spacing w:line="320" w:lineRule="exact"/>
        <w:jc w:val="left"/>
        <w:rPr>
          <w:rFonts w:ascii="宋体" w:cs="仿宋_GB2312"/>
          <w:kern w:val="0"/>
          <w:szCs w:val="21"/>
        </w:rPr>
      </w:pPr>
      <w:r>
        <w:rPr>
          <w:rFonts w:hint="eastAsia" w:ascii="宋体" w:hAnsi="宋体" w:cs="仿宋_GB2312"/>
          <w:kern w:val="0"/>
          <w:szCs w:val="21"/>
        </w:rPr>
        <w:t>澄清、说明或补正，直至满足评标委员会的要求。</w:t>
      </w:r>
    </w:p>
    <w:p>
      <w:pPr>
        <w:pStyle w:val="6"/>
        <w:spacing w:line="320" w:lineRule="exact"/>
      </w:pPr>
      <w:r>
        <w:rPr>
          <w:rFonts w:cs="TimesNewRomanPSMT"/>
        </w:rPr>
        <w:t xml:space="preserve">3.5 </w:t>
      </w:r>
      <w:r>
        <w:rPr>
          <w:rFonts w:hint="eastAsia"/>
        </w:rPr>
        <w:t>评标结果</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3.5.1 </w:t>
      </w:r>
      <w:r>
        <w:rPr>
          <w:rFonts w:hint="eastAsia" w:ascii="宋体" w:hAnsi="宋体" w:cs="仿宋_GB2312"/>
          <w:kern w:val="0"/>
          <w:szCs w:val="21"/>
        </w:rPr>
        <w:t>除第二章“投标人须知”前附表授权直接确定中标人外，评标委员会按照得分由高到低的顺序推荐中标候选人。</w:t>
      </w:r>
    </w:p>
    <w:p>
      <w:pPr>
        <w:autoSpaceDE w:val="0"/>
        <w:autoSpaceDN w:val="0"/>
        <w:adjustRightInd w:val="0"/>
        <w:spacing w:line="320" w:lineRule="exact"/>
        <w:jc w:val="left"/>
        <w:rPr>
          <w:rFonts w:ascii="宋体" w:cs="仿宋_GB2312"/>
          <w:kern w:val="0"/>
          <w:szCs w:val="21"/>
        </w:rPr>
      </w:pPr>
      <w:r>
        <w:rPr>
          <w:rFonts w:ascii="宋体" w:hAnsi="宋体" w:cs="TimesNewRomanPSMT"/>
          <w:kern w:val="0"/>
          <w:szCs w:val="21"/>
        </w:rPr>
        <w:t xml:space="preserve">3.5.2 </w:t>
      </w:r>
      <w:r>
        <w:rPr>
          <w:rFonts w:hint="eastAsia" w:ascii="宋体" w:hAnsi="宋体" w:cs="仿宋_GB2312"/>
          <w:kern w:val="0"/>
          <w:szCs w:val="21"/>
        </w:rPr>
        <w:t>评标委员会完成评标后，应当向招标人提交书面评标报告。</w:t>
      </w:r>
    </w:p>
    <w:p>
      <w:pPr>
        <w:autoSpaceDE w:val="0"/>
        <w:autoSpaceDN w:val="0"/>
        <w:adjustRightInd w:val="0"/>
        <w:jc w:val="left"/>
        <w:rPr>
          <w:rFonts w:ascii="宋体" w:cs="仿宋_GB2312"/>
          <w:kern w:val="0"/>
          <w:szCs w:val="21"/>
        </w:rPr>
      </w:pPr>
    </w:p>
    <w:p>
      <w:pPr>
        <w:pStyle w:val="2"/>
      </w:pPr>
    </w:p>
    <w:p>
      <w:pPr>
        <w:pStyle w:val="2"/>
      </w:pPr>
    </w:p>
    <w:p>
      <w:pPr>
        <w:pStyle w:val="2"/>
      </w:pPr>
    </w:p>
    <w:p>
      <w:pPr>
        <w:pStyle w:val="5"/>
      </w:pPr>
      <w:bookmarkStart w:id="172" w:name="_Toc275956126"/>
      <w:r>
        <w:rPr>
          <w:rFonts w:hint="eastAsia"/>
        </w:rPr>
        <w:t>附件</w:t>
      </w:r>
      <w:r>
        <w:t>A</w:t>
      </w:r>
      <w:r>
        <w:rPr>
          <w:rFonts w:hint="eastAsia"/>
        </w:rPr>
        <w:t>：评标详细程序</w:t>
      </w:r>
      <w:bookmarkEnd w:id="172"/>
    </w:p>
    <w:p>
      <w:pPr>
        <w:spacing w:after="120" w:afterLines="50"/>
        <w:jc w:val="center"/>
        <w:rPr>
          <w:rFonts w:ascii="黑体" w:hAnsi="宋体" w:eastAsia="黑体" w:cs="Arial"/>
          <w:bCs/>
          <w:sz w:val="28"/>
          <w:szCs w:val="28"/>
        </w:rPr>
      </w:pPr>
      <w:r>
        <w:rPr>
          <w:rFonts w:hint="eastAsia" w:ascii="黑体" w:hAnsi="宋体" w:eastAsia="黑体" w:cs="Arial"/>
          <w:bCs/>
          <w:sz w:val="28"/>
          <w:szCs w:val="28"/>
        </w:rPr>
        <w:t>评标详细程序</w:t>
      </w:r>
    </w:p>
    <w:p>
      <w:pPr>
        <w:pStyle w:val="6"/>
      </w:pPr>
      <w:r>
        <w:t xml:space="preserve">A0. </w:t>
      </w:r>
      <w:r>
        <w:rPr>
          <w:rFonts w:hint="eastAsia"/>
        </w:rPr>
        <w:t>总则</w:t>
      </w:r>
    </w:p>
    <w:p>
      <w:pPr>
        <w:spacing w:after="120" w:afterLines="50"/>
        <w:ind w:firstLine="420" w:firstLineChars="200"/>
        <w:rPr>
          <w:rFonts w:ascii="宋体" w:cs="Arial"/>
          <w:szCs w:val="21"/>
        </w:rPr>
      </w:pPr>
      <w:r>
        <w:rPr>
          <w:rFonts w:hint="eastAsia"/>
        </w:rPr>
        <w:t>本附件是本章“评标办法”的组成部分，是对</w:t>
      </w:r>
      <w:r>
        <w:rPr>
          <w:rFonts w:hint="eastAsia" w:ascii="Arial" w:hAnsi="Arial" w:cs="Arial"/>
          <w:szCs w:val="21"/>
        </w:rPr>
        <w:t>本章第</w:t>
      </w:r>
      <w:r>
        <w:rPr>
          <w:rFonts w:ascii="Arial" w:hAnsi="Arial" w:cs="Arial"/>
          <w:szCs w:val="21"/>
        </w:rPr>
        <w:t>3</w:t>
      </w:r>
      <w:r>
        <w:rPr>
          <w:rFonts w:hint="eastAsia" w:ascii="Arial" w:hAnsi="Arial" w:cs="Arial"/>
          <w:szCs w:val="21"/>
        </w:rPr>
        <w:t>条所规定的评标程序的进一步细化，评标委员会应当按照本附件所规定的详细评审程序开展并完成评标工作。</w:t>
      </w:r>
    </w:p>
    <w:p>
      <w:pPr>
        <w:pStyle w:val="6"/>
      </w:pPr>
      <w:r>
        <w:t xml:space="preserve">A1. </w:t>
      </w:r>
      <w:r>
        <w:rPr>
          <w:rFonts w:hint="eastAsia"/>
        </w:rPr>
        <w:t>基本程序</w:t>
      </w:r>
    </w:p>
    <w:p>
      <w:pPr>
        <w:spacing w:line="320" w:lineRule="exact"/>
      </w:pPr>
      <w:r>
        <w:rPr>
          <w:rFonts w:hint="eastAsia"/>
        </w:rPr>
        <w:t>评标活动将按以下五个步骤进行：</w:t>
      </w:r>
    </w:p>
    <w:p>
      <w:pPr>
        <w:spacing w:line="320" w:lineRule="exact"/>
      </w:pPr>
      <w:r>
        <w:rPr>
          <w:rFonts w:hint="eastAsia"/>
        </w:rPr>
        <w:t>（</w:t>
      </w:r>
      <w:r>
        <w:t>1</w:t>
      </w:r>
      <w:r>
        <w:rPr>
          <w:rFonts w:hint="eastAsia"/>
        </w:rPr>
        <w:t>）评标准备；</w:t>
      </w:r>
    </w:p>
    <w:p>
      <w:pPr>
        <w:spacing w:line="320" w:lineRule="exact"/>
      </w:pPr>
      <w:r>
        <w:rPr>
          <w:rFonts w:hint="eastAsia"/>
        </w:rPr>
        <w:t>（</w:t>
      </w:r>
      <w:r>
        <w:t>2</w:t>
      </w:r>
      <w:r>
        <w:rPr>
          <w:rFonts w:hint="eastAsia"/>
        </w:rPr>
        <w:t>）初步评审；</w:t>
      </w:r>
    </w:p>
    <w:p>
      <w:pPr>
        <w:spacing w:line="320" w:lineRule="exact"/>
      </w:pPr>
      <w:r>
        <w:rPr>
          <w:rFonts w:hint="eastAsia"/>
        </w:rPr>
        <w:t>（</w:t>
      </w:r>
      <w:r>
        <w:t>3</w:t>
      </w:r>
      <w:r>
        <w:rPr>
          <w:rFonts w:hint="eastAsia"/>
        </w:rPr>
        <w:t>）详细评审；</w:t>
      </w:r>
    </w:p>
    <w:p>
      <w:pPr>
        <w:spacing w:line="320" w:lineRule="exact"/>
      </w:pPr>
      <w:r>
        <w:rPr>
          <w:rFonts w:hint="eastAsia"/>
        </w:rPr>
        <w:t>（</w:t>
      </w:r>
      <w:r>
        <w:t>4</w:t>
      </w:r>
      <w:r>
        <w:rPr>
          <w:rFonts w:hint="eastAsia"/>
        </w:rPr>
        <w:t>）澄清、说明和补正；</w:t>
      </w:r>
    </w:p>
    <w:p>
      <w:pPr>
        <w:spacing w:line="320" w:lineRule="exact"/>
      </w:pPr>
      <w:r>
        <w:rPr>
          <w:rFonts w:hint="eastAsia"/>
        </w:rPr>
        <w:t>（</w:t>
      </w:r>
      <w:r>
        <w:t>5</w:t>
      </w:r>
      <w:r>
        <w:rPr>
          <w:rFonts w:hint="eastAsia"/>
        </w:rPr>
        <w:t>）推荐中标候选人或者直接确定中标人及提交评标报告。</w:t>
      </w:r>
    </w:p>
    <w:p>
      <w:pPr>
        <w:pStyle w:val="6"/>
      </w:pPr>
      <w:r>
        <w:t xml:space="preserve">A2. </w:t>
      </w:r>
      <w:r>
        <w:rPr>
          <w:rFonts w:hint="eastAsia"/>
        </w:rPr>
        <w:t>评标准备</w:t>
      </w:r>
    </w:p>
    <w:p>
      <w:pPr>
        <w:rPr>
          <w:b/>
        </w:rPr>
      </w:pPr>
      <w:r>
        <w:rPr>
          <w:b/>
        </w:rPr>
        <w:t>A2.1</w:t>
      </w:r>
      <w:r>
        <w:rPr>
          <w:rFonts w:hint="eastAsia"/>
          <w:b/>
        </w:rPr>
        <w:t>评标委员会成员出示有效证件进行验证或签到</w:t>
      </w:r>
    </w:p>
    <w:p>
      <w:pPr>
        <w:spacing w:line="320" w:lineRule="exact"/>
        <w:ind w:firstLine="315" w:firstLineChars="150"/>
      </w:pPr>
      <w:r>
        <w:rPr>
          <w:rFonts w:hint="eastAsia"/>
        </w:rPr>
        <w:t>评标委员会成员到达评标现场时应在签到表上签到以证明其出席。</w:t>
      </w:r>
    </w:p>
    <w:p>
      <w:pPr>
        <w:rPr>
          <w:b/>
        </w:rPr>
      </w:pPr>
      <w:r>
        <w:rPr>
          <w:b/>
        </w:rPr>
        <w:t xml:space="preserve">A2.2 </w:t>
      </w:r>
      <w:r>
        <w:rPr>
          <w:rFonts w:hint="eastAsia"/>
          <w:b/>
        </w:rPr>
        <w:t>评标委员会的分工</w:t>
      </w:r>
    </w:p>
    <w:p>
      <w:pPr>
        <w:spacing w:line="320" w:lineRule="exact"/>
        <w:ind w:firstLine="315" w:firstLineChars="150"/>
      </w:pPr>
      <w:r>
        <w:rPr>
          <w:rFonts w:hint="eastAsia"/>
        </w:rPr>
        <w:t>评标委员会首先推选一名评标委员会主任。招标人也可以直接指定评标委员会主任。评标委员会主任负责评标活动的组织领导工作。评标委员会主任在与其他评标委员会成员协商的基础上，可以将评标委员会划分为技术组、商务组。</w:t>
      </w:r>
    </w:p>
    <w:p>
      <w:pPr>
        <w:rPr>
          <w:b/>
        </w:rPr>
      </w:pPr>
      <w:r>
        <w:rPr>
          <w:b/>
        </w:rPr>
        <w:t xml:space="preserve">A2.3 </w:t>
      </w:r>
      <w:r>
        <w:rPr>
          <w:rFonts w:hint="eastAsia"/>
          <w:b/>
        </w:rPr>
        <w:t>熟悉文件资料</w:t>
      </w:r>
    </w:p>
    <w:p>
      <w:pPr>
        <w:spacing w:line="320" w:lineRule="exact"/>
        <w:ind w:firstLine="420" w:firstLineChars="200"/>
        <w:rPr>
          <w:rFonts w:ascii="宋体"/>
        </w:rPr>
      </w:pPr>
      <w:r>
        <w:rPr>
          <w:rFonts w:ascii="宋体" w:hAnsi="宋体"/>
        </w:rPr>
        <w:t xml:space="preserve">A2.3.1 </w:t>
      </w:r>
      <w:r>
        <w:rPr>
          <w:rFonts w:hint="eastAsia" w:ascii="宋体" w:hAnsi="宋体"/>
        </w:rPr>
        <w:t>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spacing w:line="320" w:lineRule="exact"/>
        <w:ind w:firstLine="420" w:firstLineChars="200"/>
        <w:rPr>
          <w:rFonts w:ascii="宋体"/>
        </w:rPr>
      </w:pPr>
      <w:r>
        <w:rPr>
          <w:rFonts w:ascii="宋体" w:hAnsi="宋体"/>
        </w:rPr>
        <w:t xml:space="preserve">A2.3.2 </w:t>
      </w:r>
      <w:r>
        <w:rPr>
          <w:rFonts w:hint="eastAsia" w:ascii="宋体" w:hAnsi="宋体"/>
        </w:rPr>
        <w:t>招标人或应向评标委员会提供评标所需的信息和数据，包括招标文件、未在开标会上当场拒绝的各投标文件、开标会记录、资格预审文件及各投标人在资格预审阶段递交的资格预审申请文件（适用于已进行资格预审的）、招标控制价或标底（如果有）、工程所在地工程造价管理部门颁布的工程造价信息、定额（如作为计价依据时）、有关的法律、法规、规章、国家标准以及招标人或评标委员会认为必要的其他信息和数据。</w:t>
      </w:r>
    </w:p>
    <w:p>
      <w:pPr>
        <w:pStyle w:val="6"/>
      </w:pPr>
      <w:r>
        <w:t xml:space="preserve">A3. </w:t>
      </w:r>
      <w:r>
        <w:rPr>
          <w:rFonts w:hint="eastAsia"/>
        </w:rPr>
        <w:t>初步评审</w:t>
      </w:r>
    </w:p>
    <w:p>
      <w:pPr>
        <w:rPr>
          <w:b/>
        </w:rPr>
      </w:pPr>
      <w:r>
        <w:rPr>
          <w:b/>
        </w:rPr>
        <w:t xml:space="preserve">A3.1 </w:t>
      </w:r>
      <w:r>
        <w:rPr>
          <w:rFonts w:hint="eastAsia"/>
          <w:b/>
        </w:rPr>
        <w:t>对投标文件进行基础性数据分析和整理工作（清标）</w:t>
      </w:r>
    </w:p>
    <w:p>
      <w:pPr>
        <w:spacing w:line="320" w:lineRule="exact"/>
        <w:ind w:firstLine="420" w:firstLineChars="200"/>
      </w:pPr>
      <w:r>
        <w:t>A3.1.1</w:t>
      </w:r>
      <w:r>
        <w:rPr>
          <w:rFonts w:hint="eastAsia"/>
        </w:rPr>
        <w:t>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包括质疑问卷）。</w:t>
      </w:r>
    </w:p>
    <w:p>
      <w:pPr>
        <w:spacing w:line="320" w:lineRule="exact"/>
        <w:ind w:firstLine="420" w:firstLineChars="200"/>
      </w:pPr>
      <w:r>
        <w:t>A3.1.2</w:t>
      </w:r>
      <w:r>
        <w:rPr>
          <w:rFonts w:hint="eastAsia"/>
        </w:rPr>
        <w:t>投标人接到评标委员会发出的问题澄清通知后，应按评标委员会的要求，提供澄清资料，并按要求进行递交。</w:t>
      </w:r>
    </w:p>
    <w:p>
      <w:pPr>
        <w:rPr>
          <w:b/>
        </w:rPr>
      </w:pPr>
      <w:r>
        <w:rPr>
          <w:rFonts w:ascii="宋体" w:hAnsi="宋体"/>
          <w:b/>
        </w:rPr>
        <w:t>A3.2</w:t>
      </w:r>
      <w:r>
        <w:rPr>
          <w:rFonts w:hint="eastAsia"/>
          <w:b/>
        </w:rPr>
        <w:t>形式评审</w:t>
      </w:r>
    </w:p>
    <w:p>
      <w:pPr>
        <w:spacing w:line="320" w:lineRule="exact"/>
        <w:ind w:firstLine="420" w:firstLineChars="200"/>
      </w:pPr>
      <w:r>
        <w:rPr>
          <w:rFonts w:hint="eastAsia"/>
        </w:rPr>
        <w:t>评标委员会根据评标办法前附表中规定的评审因素和评审标准，对投标人的投标文件进行形式评审。</w:t>
      </w:r>
    </w:p>
    <w:p>
      <w:pPr>
        <w:rPr>
          <w:b/>
        </w:rPr>
      </w:pPr>
      <w:r>
        <w:rPr>
          <w:b/>
        </w:rPr>
        <w:t>A3.3</w:t>
      </w:r>
      <w:r>
        <w:rPr>
          <w:rFonts w:hint="eastAsia"/>
          <w:b/>
        </w:rPr>
        <w:t>资格评审</w:t>
      </w:r>
    </w:p>
    <w:p>
      <w:pPr>
        <w:spacing w:line="320" w:lineRule="exact"/>
        <w:ind w:firstLine="420" w:firstLineChars="200"/>
      </w:pPr>
      <w:r>
        <w:t xml:space="preserve">A3.3.1  </w:t>
      </w:r>
      <w:r>
        <w:rPr>
          <w:rFonts w:hint="eastAsia"/>
        </w:rPr>
        <w:t>评标委员会根据评标办法前附表中规定的评审因素和评审标准，对投标人的投标文件进行资格评审。（适用于未进行资格预审的）</w:t>
      </w:r>
    </w:p>
    <w:p>
      <w:pPr>
        <w:rPr>
          <w:b/>
        </w:rPr>
      </w:pPr>
      <w:r>
        <w:rPr>
          <w:b/>
        </w:rPr>
        <w:t xml:space="preserve">A3.4 </w:t>
      </w:r>
      <w:r>
        <w:rPr>
          <w:rFonts w:hint="eastAsia"/>
          <w:b/>
        </w:rPr>
        <w:t>响应性评审</w:t>
      </w:r>
    </w:p>
    <w:p>
      <w:pPr>
        <w:spacing w:line="320" w:lineRule="exact"/>
        <w:ind w:firstLine="420" w:firstLineChars="200"/>
        <w:rPr>
          <w:rFonts w:ascii="宋体"/>
        </w:rPr>
      </w:pPr>
      <w:r>
        <w:rPr>
          <w:rFonts w:hint="eastAsia" w:ascii="宋体" w:hAnsi="宋体"/>
        </w:rPr>
        <w:t>评标委员会根据评标办法前附表中规定的评审因素和评审标准，对投标人的投标文件进行响应性评审。</w:t>
      </w:r>
    </w:p>
    <w:p>
      <w:pPr>
        <w:rPr>
          <w:b/>
        </w:rPr>
      </w:pPr>
      <w:r>
        <w:rPr>
          <w:b/>
        </w:rPr>
        <w:t>A3.5</w:t>
      </w:r>
      <w:r>
        <w:rPr>
          <w:rFonts w:hint="eastAsia"/>
          <w:b/>
        </w:rPr>
        <w:t>施工组织设计和项目管理机构评审（技术标）</w:t>
      </w:r>
    </w:p>
    <w:p>
      <w:pPr>
        <w:spacing w:line="320" w:lineRule="exact"/>
        <w:ind w:firstLine="420" w:firstLineChars="200"/>
      </w:pPr>
      <w:r>
        <w:rPr>
          <w:rFonts w:hint="eastAsia"/>
        </w:rPr>
        <w:t>评标委员会根据评标办法前附表中规定的评审因素和评审标准，对投标人的施工组织设计和项目管理机构进行评审。</w:t>
      </w:r>
    </w:p>
    <w:p>
      <w:pPr>
        <w:rPr>
          <w:b/>
        </w:rPr>
      </w:pPr>
      <w:r>
        <w:rPr>
          <w:b/>
        </w:rPr>
        <w:t xml:space="preserve">A3.6 </w:t>
      </w:r>
      <w:r>
        <w:rPr>
          <w:rFonts w:hint="eastAsia"/>
          <w:b/>
        </w:rPr>
        <w:t>判断投标是否为否决投标</w:t>
      </w:r>
    </w:p>
    <w:p>
      <w:pPr>
        <w:spacing w:line="320" w:lineRule="exact"/>
        <w:ind w:firstLine="420" w:firstLineChars="200"/>
        <w:rPr>
          <w:rFonts w:ascii="宋体"/>
        </w:rPr>
      </w:pPr>
      <w:r>
        <w:rPr>
          <w:rFonts w:ascii="宋体" w:hAnsi="宋体"/>
        </w:rPr>
        <w:t xml:space="preserve">A3.6.1 </w:t>
      </w:r>
      <w:r>
        <w:rPr>
          <w:rFonts w:hint="eastAsia" w:ascii="宋体" w:hAnsi="宋体"/>
        </w:rPr>
        <w:t>判断投标人的投标是否为否决投标的全部条件（包括</w:t>
      </w:r>
      <w:r>
        <w:fldChar w:fldCharType="begin"/>
      </w:r>
      <w:r>
        <w:instrText xml:space="preserve"> HYPERLINK "file:///H:\\泰州招标文件范本\\泰州市房屋建筑和市政工程施工2016.4.docx" \l "_3.2_初步评审" </w:instrText>
      </w:r>
      <w:r>
        <w:fldChar w:fldCharType="separate"/>
      </w:r>
      <w:r>
        <w:rPr>
          <w:rStyle w:val="22"/>
          <w:rFonts w:hint="eastAsia" w:ascii="宋体" w:hAnsi="宋体"/>
          <w:color w:val="auto"/>
        </w:rPr>
        <w:t>本章第</w:t>
      </w:r>
      <w:r>
        <w:rPr>
          <w:rStyle w:val="22"/>
          <w:rFonts w:ascii="宋体" w:hAnsi="宋体"/>
          <w:color w:val="auto"/>
        </w:rPr>
        <w:t>3.2.3</w:t>
      </w:r>
      <w:r>
        <w:rPr>
          <w:rStyle w:val="22"/>
          <w:rFonts w:hint="eastAsia" w:ascii="宋体" w:hAnsi="宋体"/>
          <w:color w:val="auto"/>
        </w:rPr>
        <w:t>项</w:t>
      </w:r>
      <w:r>
        <w:rPr>
          <w:rStyle w:val="22"/>
          <w:rFonts w:hint="eastAsia" w:ascii="宋体" w:hAnsi="宋体"/>
          <w:color w:val="auto"/>
        </w:rPr>
        <w:fldChar w:fldCharType="end"/>
      </w:r>
      <w:r>
        <w:rPr>
          <w:rFonts w:hint="eastAsia" w:ascii="宋体" w:hAnsi="宋体"/>
        </w:rPr>
        <w:t>中规定的条件），在本章附件</w:t>
      </w:r>
      <w:r>
        <w:rPr>
          <w:rFonts w:ascii="宋体" w:hAnsi="宋体"/>
        </w:rPr>
        <w:t>B</w:t>
      </w:r>
      <w:r>
        <w:rPr>
          <w:rFonts w:hint="eastAsia" w:ascii="宋体" w:hAnsi="宋体"/>
        </w:rPr>
        <w:t>中集中列示。</w:t>
      </w:r>
    </w:p>
    <w:p>
      <w:pPr>
        <w:spacing w:line="320" w:lineRule="exact"/>
        <w:ind w:firstLine="420" w:firstLineChars="200"/>
        <w:rPr>
          <w:rFonts w:ascii="宋体"/>
        </w:rPr>
      </w:pPr>
      <w:r>
        <w:rPr>
          <w:rFonts w:ascii="宋体" w:hAnsi="宋体"/>
        </w:rPr>
        <w:t xml:space="preserve">A3.6.2 </w:t>
      </w:r>
      <w:r>
        <w:rPr>
          <w:rFonts w:hint="eastAsia" w:ascii="宋体" w:hAnsi="宋体"/>
        </w:rPr>
        <w:t>本章附件</w:t>
      </w:r>
      <w:r>
        <w:rPr>
          <w:rFonts w:ascii="宋体" w:hAnsi="宋体"/>
        </w:rPr>
        <w:t>B</w:t>
      </w:r>
      <w:r>
        <w:rPr>
          <w:rFonts w:hint="eastAsia" w:ascii="宋体" w:hAnsi="宋体"/>
        </w:rPr>
        <w:t>集中列示的否决投标条件不应与本章正文部分包括的否决投标条件相抵触，如果出现相互矛盾的情况，以第二章“投标人须知”和本章正文部分的规定为准。</w:t>
      </w:r>
    </w:p>
    <w:p>
      <w:pPr>
        <w:spacing w:line="320" w:lineRule="exact"/>
        <w:ind w:firstLine="420" w:firstLineChars="200"/>
        <w:rPr>
          <w:rFonts w:ascii="宋体"/>
        </w:rPr>
      </w:pPr>
      <w:r>
        <w:rPr>
          <w:rFonts w:ascii="宋体" w:hAnsi="宋体"/>
        </w:rPr>
        <w:t xml:space="preserve">A3.6.3 </w:t>
      </w:r>
      <w:r>
        <w:rPr>
          <w:rFonts w:hint="eastAsia" w:ascii="宋体" w:hAnsi="宋体"/>
        </w:rPr>
        <w:t>评标委员会在评标（包括初步评审和详细评审）过程中，依据本章</w:t>
      </w:r>
      <w:r>
        <w:fldChar w:fldCharType="begin"/>
      </w:r>
      <w:r>
        <w:instrText xml:space="preserve"> HYPERLINK "file:///H:\\泰州招标文件范本\\泰州市房屋建筑和市政工程施工2016.4.docx" \l "_附件B：废标条件" </w:instrText>
      </w:r>
      <w:r>
        <w:fldChar w:fldCharType="separate"/>
      </w:r>
      <w:r>
        <w:rPr>
          <w:rStyle w:val="22"/>
          <w:rFonts w:hint="eastAsia" w:ascii="宋体" w:hAnsi="宋体"/>
          <w:color w:val="auto"/>
        </w:rPr>
        <w:t>附件</w:t>
      </w:r>
      <w:r>
        <w:rPr>
          <w:rStyle w:val="22"/>
          <w:rFonts w:ascii="宋体" w:hAnsi="宋体"/>
          <w:color w:val="auto"/>
        </w:rPr>
        <w:t>B</w:t>
      </w:r>
      <w:r>
        <w:rPr>
          <w:rStyle w:val="22"/>
          <w:rFonts w:ascii="宋体" w:hAnsi="宋体"/>
          <w:color w:val="auto"/>
        </w:rPr>
        <w:fldChar w:fldCharType="end"/>
      </w:r>
      <w:r>
        <w:rPr>
          <w:rFonts w:hint="eastAsia" w:ascii="宋体" w:hAnsi="宋体"/>
        </w:rPr>
        <w:t>中规定的否决投标条件判断投标人的投标是否为否决投标。</w:t>
      </w:r>
    </w:p>
    <w:p>
      <w:pPr>
        <w:rPr>
          <w:b/>
        </w:rPr>
      </w:pPr>
      <w:r>
        <w:rPr>
          <w:b/>
        </w:rPr>
        <w:t xml:space="preserve">A3.7 </w:t>
      </w:r>
      <w:r>
        <w:rPr>
          <w:rFonts w:hint="eastAsia"/>
          <w:b/>
        </w:rPr>
        <w:t>算术错误修正</w:t>
      </w:r>
    </w:p>
    <w:p>
      <w:pPr>
        <w:spacing w:after="120" w:afterLines="50"/>
        <w:ind w:firstLine="359" w:firstLineChars="171"/>
        <w:rPr>
          <w:rFonts w:ascii="Arial" w:hAnsi="Arial" w:cs="Arial"/>
          <w:szCs w:val="21"/>
        </w:rPr>
      </w:pPr>
      <w:r>
        <w:rPr>
          <w:rFonts w:hint="eastAsia" w:ascii="Arial" w:hAnsi="Arial" w:cs="Arial"/>
          <w:szCs w:val="21"/>
        </w:rPr>
        <w:t>评标委员会依据本章中规定的相关原则，对投标报价中存在的算术错误进行修正，并根据算术错误修正结果计算评标价。</w:t>
      </w:r>
    </w:p>
    <w:p>
      <w:pPr>
        <w:rPr>
          <w:b/>
        </w:rPr>
      </w:pPr>
      <w:r>
        <w:rPr>
          <w:b/>
        </w:rPr>
        <w:t>A3.8</w:t>
      </w:r>
      <w:r>
        <w:rPr>
          <w:rFonts w:hint="eastAsia"/>
          <w:b/>
        </w:rPr>
        <w:t>澄清、说明和补正</w:t>
      </w:r>
    </w:p>
    <w:p>
      <w:pPr>
        <w:spacing w:line="320" w:lineRule="exact"/>
        <w:ind w:firstLine="420" w:firstLineChars="200"/>
      </w:pPr>
      <w:r>
        <w:rPr>
          <w:rFonts w:hint="eastAsia"/>
        </w:rPr>
        <w:t>在初步评审过程中，评标委员会应当就投标文件中不明确的内容，要求投标人进行澄清、说明或者补正。投标人应当根据问题澄清通知要求，以书面形式予以澄清、说明或者补正。澄清、说明和补正根据</w:t>
      </w:r>
      <w:r>
        <w:fldChar w:fldCharType="begin"/>
      </w:r>
      <w:r>
        <w:instrText xml:space="preserve"> HYPERLINK "file:///H:\\泰州招标文件范本\\泰州市房屋建筑和市政工程施工2016.4.docx" \l "_3.3_详细评审" </w:instrText>
      </w:r>
      <w:r>
        <w:fldChar w:fldCharType="separate"/>
      </w:r>
      <w:r>
        <w:rPr>
          <w:rStyle w:val="22"/>
          <w:rFonts w:hint="eastAsia"/>
          <w:color w:val="auto"/>
        </w:rPr>
        <w:t>本章第</w:t>
      </w:r>
      <w:r>
        <w:rPr>
          <w:rStyle w:val="22"/>
          <w:color w:val="auto"/>
        </w:rPr>
        <w:t>3.4</w:t>
      </w:r>
      <w:r>
        <w:rPr>
          <w:rStyle w:val="22"/>
          <w:rFonts w:hint="eastAsia"/>
          <w:color w:val="auto"/>
        </w:rPr>
        <w:t>款</w:t>
      </w:r>
      <w:r>
        <w:rPr>
          <w:rStyle w:val="22"/>
          <w:rFonts w:hint="eastAsia"/>
          <w:color w:val="auto"/>
        </w:rPr>
        <w:fldChar w:fldCharType="end"/>
      </w:r>
      <w:r>
        <w:rPr>
          <w:rFonts w:hint="eastAsia"/>
        </w:rPr>
        <w:t>的规定进行。</w:t>
      </w:r>
    </w:p>
    <w:p>
      <w:pPr>
        <w:pStyle w:val="6"/>
      </w:pPr>
      <w:r>
        <w:t xml:space="preserve">A4.  </w:t>
      </w:r>
      <w:r>
        <w:rPr>
          <w:rFonts w:hint="eastAsia"/>
        </w:rPr>
        <w:t>详细评审</w:t>
      </w:r>
    </w:p>
    <w:p>
      <w:pPr>
        <w:spacing w:after="120" w:afterLines="50"/>
        <w:ind w:firstLine="359" w:firstLineChars="171"/>
        <w:rPr>
          <w:rFonts w:ascii="Arial" w:hAnsi="Arial" w:cs="Arial"/>
          <w:szCs w:val="21"/>
        </w:rPr>
      </w:pPr>
      <w:r>
        <w:rPr>
          <w:rFonts w:hint="eastAsia" w:ascii="Arial" w:hAnsi="Arial" w:cs="Arial"/>
          <w:szCs w:val="21"/>
        </w:rPr>
        <w:t>只有通过了初步评审，被判定为合格的投标方可进入详细评审。</w:t>
      </w:r>
    </w:p>
    <w:p>
      <w:pPr>
        <w:rPr>
          <w:b/>
        </w:rPr>
      </w:pPr>
      <w:r>
        <w:rPr>
          <w:b/>
        </w:rPr>
        <w:t>A4.1</w:t>
      </w:r>
      <w:r>
        <w:rPr>
          <w:rFonts w:hint="eastAsia"/>
          <w:b/>
        </w:rPr>
        <w:t>判断投标报价是否低于成本</w:t>
      </w:r>
    </w:p>
    <w:p>
      <w:pPr>
        <w:spacing w:line="320" w:lineRule="exact"/>
        <w:rPr>
          <w:rFonts w:ascii="宋体"/>
        </w:rPr>
      </w:pPr>
      <w:r>
        <w:rPr>
          <w:rFonts w:hint="eastAsia" w:ascii="宋体" w:hAnsi="宋体"/>
        </w:rPr>
        <w:t>根据本章第</w:t>
      </w:r>
      <w:r>
        <w:rPr>
          <w:rFonts w:ascii="宋体" w:hAnsi="宋体"/>
        </w:rPr>
        <w:t>3.3.1</w:t>
      </w:r>
      <w:r>
        <w:rPr>
          <w:rFonts w:hint="eastAsia" w:ascii="宋体" w:hAnsi="宋体"/>
        </w:rPr>
        <w:t>项的规定</w:t>
      </w:r>
      <w:r>
        <w:rPr>
          <w:rFonts w:ascii="宋体"/>
        </w:rPr>
        <w:t>,</w:t>
      </w:r>
      <w:r>
        <w:rPr>
          <w:rFonts w:hint="eastAsia" w:ascii="宋体" w:hAnsi="宋体"/>
        </w:rPr>
        <w:t>评标委员会根据本章附件</w:t>
      </w:r>
      <w:r>
        <w:rPr>
          <w:rFonts w:ascii="宋体" w:hAnsi="宋体"/>
        </w:rPr>
        <w:t>C</w:t>
      </w:r>
      <w:r>
        <w:rPr>
          <w:rFonts w:hint="eastAsia" w:ascii="宋体" w:hAnsi="宋体"/>
        </w:rPr>
        <w:t>中规定的程序、标准和方法，判断投标报价是否低于其成本。由评标委员会认定投标人以低于成本竞标的，其投标作否决投标处理。</w:t>
      </w:r>
    </w:p>
    <w:p>
      <w:pPr>
        <w:rPr>
          <w:b/>
        </w:rPr>
      </w:pPr>
      <w:r>
        <w:rPr>
          <w:b/>
        </w:rPr>
        <w:t xml:space="preserve">A4.2 </w:t>
      </w:r>
      <w:r>
        <w:rPr>
          <w:rFonts w:hint="eastAsia"/>
          <w:b/>
        </w:rPr>
        <w:t>投标报价</w:t>
      </w:r>
      <w:r>
        <w:rPr>
          <w:rFonts w:hint="eastAsia" w:ascii="Arial" w:hAnsi="Arial" w:cs="Arial"/>
          <w:b/>
          <w:szCs w:val="21"/>
        </w:rPr>
        <w:t>和其他因素</w:t>
      </w:r>
      <w:r>
        <w:rPr>
          <w:rFonts w:hint="eastAsia"/>
          <w:b/>
        </w:rPr>
        <w:t>评审和评分</w:t>
      </w:r>
    </w:p>
    <w:p>
      <w:pPr>
        <w:spacing w:line="320" w:lineRule="exact"/>
        <w:ind w:firstLine="315" w:firstLineChars="150"/>
      </w:pPr>
      <w:r>
        <w:rPr>
          <w:rFonts w:hint="eastAsia"/>
        </w:rPr>
        <w:t>评标委员会根据评标办法前附表中规定的评分标准，对投标报价和其他因素进行评分。</w:t>
      </w:r>
    </w:p>
    <w:p>
      <w:pPr>
        <w:rPr>
          <w:b/>
        </w:rPr>
      </w:pPr>
      <w:r>
        <w:rPr>
          <w:b/>
        </w:rPr>
        <w:t xml:space="preserve">A4.3 </w:t>
      </w:r>
      <w:r>
        <w:rPr>
          <w:rFonts w:hint="eastAsia"/>
          <w:b/>
        </w:rPr>
        <w:t>澄清、说明和补正</w:t>
      </w:r>
    </w:p>
    <w:p>
      <w:pPr>
        <w:spacing w:after="120" w:afterLines="50"/>
        <w:ind w:firstLine="359" w:firstLineChars="171"/>
        <w:rPr>
          <w:rFonts w:ascii="宋体" w:cs="Arial"/>
          <w:szCs w:val="21"/>
        </w:rPr>
      </w:pPr>
      <w:r>
        <w:rPr>
          <w:rFonts w:hint="eastAsia" w:ascii="宋体" w:hAnsi="宋体" w:cs="Arial"/>
          <w:szCs w:val="21"/>
        </w:rPr>
        <w:t>在详细评审过程中，评标委员会应当就投标文件中不明确的内容，要求投标人进行澄清、说明或者补正。投标人应当根据问题澄清通知要求，以书面形式予以澄清、说明或者补正。澄清、说明和补正根据</w:t>
      </w:r>
      <w:r>
        <w:fldChar w:fldCharType="begin"/>
      </w:r>
      <w:r>
        <w:instrText xml:space="preserve"> HYPERLINK "file:///H:\\泰州招标文件范本\\泰州市房屋建筑和市政工程施工2016.4.docx" \l "_3.4_投标文件的澄清和补正" </w:instrText>
      </w:r>
      <w:r>
        <w:fldChar w:fldCharType="separate"/>
      </w:r>
      <w:r>
        <w:rPr>
          <w:rStyle w:val="22"/>
          <w:rFonts w:hint="eastAsia" w:ascii="宋体" w:hAnsi="宋体" w:cs="Arial"/>
          <w:color w:val="auto"/>
          <w:szCs w:val="21"/>
        </w:rPr>
        <w:t>本章第</w:t>
      </w:r>
      <w:r>
        <w:rPr>
          <w:rStyle w:val="22"/>
          <w:rFonts w:ascii="宋体" w:hAnsi="宋体" w:cs="Arial"/>
          <w:color w:val="auto"/>
          <w:szCs w:val="21"/>
        </w:rPr>
        <w:t>3.4</w:t>
      </w:r>
      <w:r>
        <w:rPr>
          <w:rStyle w:val="22"/>
          <w:rFonts w:hint="eastAsia" w:ascii="宋体" w:hAnsi="宋体" w:cs="Arial"/>
          <w:color w:val="auto"/>
          <w:szCs w:val="21"/>
        </w:rPr>
        <w:t>款</w:t>
      </w:r>
      <w:r>
        <w:rPr>
          <w:rStyle w:val="22"/>
          <w:rFonts w:hint="eastAsia" w:ascii="宋体" w:hAnsi="宋体" w:cs="Arial"/>
          <w:color w:val="auto"/>
          <w:szCs w:val="21"/>
        </w:rPr>
        <w:fldChar w:fldCharType="end"/>
      </w:r>
      <w:r>
        <w:rPr>
          <w:rFonts w:hint="eastAsia" w:ascii="宋体" w:hAnsi="宋体" w:cs="Arial"/>
          <w:szCs w:val="21"/>
        </w:rPr>
        <w:t>的规定进行。</w:t>
      </w:r>
    </w:p>
    <w:p>
      <w:pPr>
        <w:pStyle w:val="6"/>
      </w:pPr>
      <w:r>
        <w:t xml:space="preserve">A5  </w:t>
      </w:r>
      <w:r>
        <w:rPr>
          <w:rFonts w:hint="eastAsia"/>
        </w:rPr>
        <w:t>推荐中标候选人或者直接确定中标人</w:t>
      </w:r>
    </w:p>
    <w:p>
      <w:pPr>
        <w:rPr>
          <w:b/>
        </w:rPr>
      </w:pPr>
      <w:r>
        <w:rPr>
          <w:b/>
        </w:rPr>
        <w:t xml:space="preserve">A5.1 </w:t>
      </w:r>
      <w:r>
        <w:rPr>
          <w:rFonts w:hint="eastAsia"/>
          <w:b/>
        </w:rPr>
        <w:t>汇总评标结果</w:t>
      </w:r>
    </w:p>
    <w:p>
      <w:pPr>
        <w:spacing w:line="360" w:lineRule="auto"/>
        <w:ind w:firstLine="420" w:firstLineChars="200"/>
      </w:pPr>
      <w:r>
        <w:rPr>
          <w:rFonts w:hint="eastAsia"/>
        </w:rPr>
        <w:t>评审工作全部结束后，评标委员会应按照格式填写评标得分汇总表。</w:t>
      </w:r>
    </w:p>
    <w:p>
      <w:pPr>
        <w:rPr>
          <w:b/>
        </w:rPr>
      </w:pPr>
      <w:r>
        <w:rPr>
          <w:b/>
        </w:rPr>
        <w:t xml:space="preserve">A5.2 </w:t>
      </w:r>
      <w:r>
        <w:rPr>
          <w:rFonts w:hint="eastAsia"/>
          <w:b/>
        </w:rPr>
        <w:t>推荐中标候选人</w:t>
      </w:r>
    </w:p>
    <w:p>
      <w:pPr>
        <w:spacing w:line="320" w:lineRule="exact"/>
        <w:ind w:firstLine="420" w:firstLineChars="200"/>
      </w:pPr>
      <w:r>
        <w:t>A5.2.1</w:t>
      </w:r>
      <w:r>
        <w:rPr>
          <w:rFonts w:hint="eastAsia"/>
        </w:rPr>
        <w:t>除第二章“</w:t>
      </w:r>
      <w:r>
        <w:fldChar w:fldCharType="begin"/>
      </w:r>
      <w:r>
        <w:instrText xml:space="preserve"> HYPERLINK "file:///H:\\泰州招标文件范本\\泰州市房屋建筑和市政工程施工2016.4.docx" \l "_定标方式" </w:instrText>
      </w:r>
      <w:r>
        <w:fldChar w:fldCharType="separate"/>
      </w:r>
      <w:r>
        <w:rPr>
          <w:rStyle w:val="22"/>
          <w:rFonts w:hint="eastAsia"/>
          <w:color w:val="auto"/>
        </w:rPr>
        <w:t>投标人须知”前附表</w:t>
      </w:r>
      <w:r>
        <w:rPr>
          <w:rStyle w:val="22"/>
          <w:rFonts w:hint="eastAsia"/>
          <w:color w:val="auto"/>
        </w:rPr>
        <w:fldChar w:fldCharType="end"/>
      </w:r>
      <w:r>
        <w:rPr>
          <w:rFonts w:hint="eastAsia"/>
        </w:rPr>
        <w:t>授权直接确定中标人外，评标委员会在推荐中标候选人时，应遵照以下原则：</w:t>
      </w:r>
    </w:p>
    <w:p>
      <w:pPr>
        <w:spacing w:line="320" w:lineRule="exact"/>
        <w:ind w:firstLine="525" w:firstLineChars="250"/>
      </w:pPr>
      <w:r>
        <w:rPr>
          <w:rFonts w:hint="eastAsia"/>
        </w:rPr>
        <w:t>（</w:t>
      </w:r>
      <w:r>
        <w:t>1</w:t>
      </w:r>
      <w:r>
        <w:rPr>
          <w:rFonts w:hint="eastAsia"/>
        </w:rPr>
        <w:t>）评标委员会对有效的投标，按照得分由高至低的次序排列，根据第二章</w:t>
      </w:r>
      <w:r>
        <w:fldChar w:fldCharType="begin"/>
      </w:r>
      <w:r>
        <w:instrText xml:space="preserve"> HYPERLINK "file:///H:\\泰州招标文件范本\\泰州市房屋建筑和市政工程施工2016.4.docx" \l "_7.2_定标方式" </w:instrText>
      </w:r>
      <w:r>
        <w:fldChar w:fldCharType="separate"/>
      </w:r>
      <w:r>
        <w:rPr>
          <w:rStyle w:val="22"/>
          <w:rFonts w:hint="eastAsia"/>
          <w:color w:val="auto"/>
        </w:rPr>
        <w:t>投标人须知前附表</w:t>
      </w:r>
      <w:r>
        <w:rPr>
          <w:rStyle w:val="22"/>
          <w:color w:val="auto"/>
        </w:rPr>
        <w:t>7.1</w:t>
      </w:r>
      <w:r>
        <w:rPr>
          <w:rStyle w:val="22"/>
          <w:rFonts w:hint="eastAsia"/>
          <w:color w:val="auto"/>
        </w:rPr>
        <w:t>项</w:t>
      </w:r>
      <w:r>
        <w:rPr>
          <w:rStyle w:val="22"/>
          <w:rFonts w:hint="eastAsia"/>
          <w:color w:val="auto"/>
        </w:rPr>
        <w:fldChar w:fldCharType="end"/>
      </w:r>
      <w:r>
        <w:rPr>
          <w:rFonts w:hint="eastAsia"/>
        </w:rPr>
        <w:t>的规定推荐中标候选人。</w:t>
      </w:r>
    </w:p>
    <w:p>
      <w:pPr>
        <w:spacing w:line="320" w:lineRule="exact"/>
        <w:ind w:firstLine="525" w:firstLineChars="250"/>
      </w:pPr>
      <w:r>
        <w:rPr>
          <w:rFonts w:hint="eastAsia"/>
        </w:rPr>
        <w:t>（</w:t>
      </w:r>
      <w:r>
        <w:t>2</w:t>
      </w:r>
      <w:r>
        <w:rPr>
          <w:rFonts w:hint="eastAsia"/>
        </w:rPr>
        <w:t>）如果评标委员会根据本章的规定作否决投标处理后，有效投标不足三个，且少于第二章</w:t>
      </w:r>
      <w:r>
        <w:fldChar w:fldCharType="begin"/>
      </w:r>
      <w:r>
        <w:instrText xml:space="preserve"> HYPERLINK "file:///H:\\泰州招标文件范本\\泰州市房屋建筑和市政工程施工2016.4.docx" \l "_定标方式" </w:instrText>
      </w:r>
      <w:r>
        <w:fldChar w:fldCharType="separate"/>
      </w:r>
      <w:r>
        <w:rPr>
          <w:rStyle w:val="22"/>
          <w:rFonts w:hint="eastAsia"/>
          <w:color w:val="auto"/>
        </w:rPr>
        <w:t>投标人须知前附表</w:t>
      </w:r>
      <w:r>
        <w:rPr>
          <w:rStyle w:val="22"/>
          <w:color w:val="auto"/>
        </w:rPr>
        <w:t>7.1</w:t>
      </w:r>
      <w:r>
        <w:rPr>
          <w:rStyle w:val="22"/>
          <w:rFonts w:hint="eastAsia"/>
          <w:color w:val="auto"/>
        </w:rPr>
        <w:t>项</w:t>
      </w:r>
      <w:r>
        <w:rPr>
          <w:rStyle w:val="22"/>
          <w:rFonts w:hint="eastAsia"/>
          <w:color w:val="auto"/>
        </w:rPr>
        <w:fldChar w:fldCharType="end"/>
      </w:r>
      <w:r>
        <w:rPr>
          <w:rFonts w:hint="eastAsia"/>
        </w:rPr>
        <w:t>规定的中标候选人数量的，则评标委员会可以将所有有效投标按得分由高至低的次序作为中标候选人向招标人推荐。如果因有效投标不足三个使得投标明显缺乏竞争的，评标委员会可以建议招标人重新招标。</w:t>
      </w:r>
    </w:p>
    <w:p>
      <w:pPr>
        <w:spacing w:line="320" w:lineRule="exact"/>
        <w:ind w:firstLine="525" w:firstLineChars="250"/>
      </w:pPr>
      <w:r>
        <w:t>A5.2.2</w:t>
      </w:r>
      <w:r>
        <w:rPr>
          <w:rFonts w:hint="eastAsia"/>
        </w:rPr>
        <w:t>投标截止时间前递交投标文件的投标人数量少于三个或者所有投标被否决的，招标人应当依法重新招标。</w:t>
      </w:r>
    </w:p>
    <w:p>
      <w:pPr>
        <w:rPr>
          <w:b/>
        </w:rPr>
      </w:pPr>
      <w:r>
        <w:rPr>
          <w:b/>
        </w:rPr>
        <w:t xml:space="preserve">A5.3 </w:t>
      </w:r>
      <w:r>
        <w:rPr>
          <w:rFonts w:hint="eastAsia"/>
          <w:b/>
        </w:rPr>
        <w:t>直接确定中标人</w:t>
      </w:r>
    </w:p>
    <w:p>
      <w:pPr>
        <w:spacing w:line="320" w:lineRule="exact"/>
        <w:ind w:firstLine="315" w:firstLineChars="150"/>
      </w:pPr>
      <w:r>
        <w:rPr>
          <w:rFonts w:hint="eastAsia"/>
        </w:rPr>
        <w:t>第二章“投标人须知”前附表授权评标委员会直接确定中标人的，评标委员会对有效的投标按照得分由高至低的次序排列，并确定排名第一的投标人为中标人。</w:t>
      </w:r>
    </w:p>
    <w:p>
      <w:r>
        <w:rPr>
          <w:b/>
        </w:rPr>
        <w:t xml:space="preserve">A5.4 </w:t>
      </w:r>
      <w:r>
        <w:rPr>
          <w:rFonts w:hint="eastAsia"/>
          <w:b/>
        </w:rPr>
        <w:t>编制及提交评标报告</w:t>
      </w:r>
    </w:p>
    <w:p>
      <w:pPr>
        <w:spacing w:line="320" w:lineRule="exact"/>
        <w:ind w:firstLine="420" w:firstLineChars="200"/>
      </w:pPr>
      <w:r>
        <w:rPr>
          <w:rFonts w:hint="eastAsia"/>
        </w:rPr>
        <w:t>评标委员会根据</w:t>
      </w:r>
      <w:r>
        <w:fldChar w:fldCharType="begin"/>
      </w:r>
      <w:r>
        <w:instrText xml:space="preserve"> HYPERLINK "file:///H:\\泰州招标文件范本\\泰州市房屋建筑和市政工程施工2016.4.docx" \l "_3.4_投标文件的澄清和补正" </w:instrText>
      </w:r>
      <w:r>
        <w:fldChar w:fldCharType="separate"/>
      </w:r>
      <w:r>
        <w:rPr>
          <w:rStyle w:val="22"/>
          <w:rFonts w:hint="eastAsia"/>
          <w:color w:val="auto"/>
        </w:rPr>
        <w:t>本章第</w:t>
      </w:r>
      <w:r>
        <w:rPr>
          <w:rStyle w:val="22"/>
          <w:color w:val="auto"/>
        </w:rPr>
        <w:t>3.5.2</w:t>
      </w:r>
      <w:r>
        <w:rPr>
          <w:rStyle w:val="22"/>
          <w:rFonts w:hint="eastAsia"/>
          <w:color w:val="auto"/>
        </w:rPr>
        <w:t>项</w:t>
      </w:r>
      <w:r>
        <w:rPr>
          <w:rStyle w:val="22"/>
          <w:rFonts w:hint="eastAsia"/>
          <w:color w:val="auto"/>
        </w:rPr>
        <w:fldChar w:fldCharType="end"/>
      </w:r>
      <w:r>
        <w:rPr>
          <w:rFonts w:hint="eastAsia"/>
        </w:rPr>
        <w:t>的规定，向招标人提交评标报告。评标报告应当由全体评标委员会成员签字，并于评标结束时抄送有关行政监督部门。评标报告应当包括以下内容：</w:t>
      </w:r>
    </w:p>
    <w:p>
      <w:pPr>
        <w:spacing w:line="320" w:lineRule="exact"/>
        <w:ind w:firstLine="420" w:firstLineChars="200"/>
      </w:pPr>
      <w:r>
        <w:rPr>
          <w:rFonts w:hint="eastAsia"/>
        </w:rPr>
        <w:t>（</w:t>
      </w:r>
      <w:r>
        <w:t>1</w:t>
      </w:r>
      <w:r>
        <w:rPr>
          <w:rFonts w:hint="eastAsia"/>
        </w:rPr>
        <w:t>）基本情况和数据表；</w:t>
      </w:r>
    </w:p>
    <w:p>
      <w:pPr>
        <w:spacing w:line="320" w:lineRule="exact"/>
        <w:ind w:firstLine="420" w:firstLineChars="200"/>
      </w:pPr>
      <w:r>
        <w:rPr>
          <w:rFonts w:hint="eastAsia"/>
        </w:rPr>
        <w:t>（</w:t>
      </w:r>
      <w:r>
        <w:t>2</w:t>
      </w:r>
      <w:r>
        <w:rPr>
          <w:rFonts w:hint="eastAsia"/>
        </w:rPr>
        <w:t>）评标委员会成员名单；</w:t>
      </w:r>
    </w:p>
    <w:p>
      <w:pPr>
        <w:spacing w:line="320" w:lineRule="exact"/>
        <w:ind w:firstLine="420" w:firstLineChars="200"/>
      </w:pPr>
      <w:r>
        <w:rPr>
          <w:rFonts w:hint="eastAsia"/>
        </w:rPr>
        <w:t>（</w:t>
      </w:r>
      <w:r>
        <w:t>3</w:t>
      </w:r>
      <w:r>
        <w:rPr>
          <w:rFonts w:hint="eastAsia"/>
        </w:rPr>
        <w:t>）开标记录；</w:t>
      </w:r>
    </w:p>
    <w:p>
      <w:pPr>
        <w:spacing w:line="320" w:lineRule="exact"/>
        <w:ind w:firstLine="420" w:firstLineChars="200"/>
      </w:pPr>
      <w:r>
        <w:rPr>
          <w:rFonts w:hint="eastAsia"/>
        </w:rPr>
        <w:t>（</w:t>
      </w:r>
      <w:r>
        <w:t>4</w:t>
      </w:r>
      <w:r>
        <w:rPr>
          <w:rFonts w:hint="eastAsia"/>
        </w:rPr>
        <w:t>）符合要求的投标人一览表；</w:t>
      </w:r>
    </w:p>
    <w:p>
      <w:pPr>
        <w:spacing w:line="320" w:lineRule="exact"/>
        <w:ind w:firstLine="420" w:firstLineChars="200"/>
      </w:pPr>
      <w:r>
        <w:rPr>
          <w:rFonts w:hint="eastAsia"/>
        </w:rPr>
        <w:t>（</w:t>
      </w:r>
      <w:r>
        <w:t>5</w:t>
      </w:r>
      <w:r>
        <w:rPr>
          <w:rFonts w:hint="eastAsia"/>
        </w:rPr>
        <w:t>）否决投标情况说明；</w:t>
      </w:r>
    </w:p>
    <w:p>
      <w:pPr>
        <w:spacing w:line="320" w:lineRule="exact"/>
        <w:ind w:firstLine="420" w:firstLineChars="200"/>
      </w:pPr>
      <w:r>
        <w:rPr>
          <w:rFonts w:hint="eastAsia"/>
        </w:rPr>
        <w:t>（</w:t>
      </w:r>
      <w:r>
        <w:t>6</w:t>
      </w:r>
      <w:r>
        <w:rPr>
          <w:rFonts w:hint="eastAsia"/>
        </w:rPr>
        <w:t>）评标标准、评标方法或者评标因素一览表；</w:t>
      </w:r>
    </w:p>
    <w:p>
      <w:pPr>
        <w:spacing w:line="320" w:lineRule="exact"/>
        <w:ind w:firstLine="420" w:firstLineChars="200"/>
      </w:pPr>
      <w:r>
        <w:rPr>
          <w:rFonts w:hint="eastAsia"/>
        </w:rPr>
        <w:t>（</w:t>
      </w:r>
      <w:r>
        <w:t>7</w:t>
      </w:r>
      <w:r>
        <w:rPr>
          <w:rFonts w:hint="eastAsia"/>
        </w:rPr>
        <w:t>）经评审的价格一览表（包括评标委员会在评标过程中所形成的所有记载评标结果、结论的表格、清标报告、说明、记录等文件）；</w:t>
      </w:r>
    </w:p>
    <w:p>
      <w:pPr>
        <w:spacing w:line="320" w:lineRule="exact"/>
        <w:ind w:firstLine="420" w:firstLineChars="200"/>
      </w:pPr>
      <w:r>
        <w:rPr>
          <w:rFonts w:hint="eastAsia"/>
        </w:rPr>
        <w:t>（</w:t>
      </w:r>
      <w:r>
        <w:t>8</w:t>
      </w:r>
      <w:r>
        <w:rPr>
          <w:rFonts w:hint="eastAsia"/>
        </w:rPr>
        <w:t>）经评审的投标人排序；</w:t>
      </w:r>
    </w:p>
    <w:p>
      <w:pPr>
        <w:spacing w:line="320" w:lineRule="exact"/>
        <w:ind w:firstLine="420" w:firstLineChars="200"/>
      </w:pPr>
      <w:r>
        <w:rPr>
          <w:rFonts w:hint="eastAsia"/>
        </w:rPr>
        <w:t>（</w:t>
      </w:r>
      <w:r>
        <w:t>9</w:t>
      </w:r>
      <w:r>
        <w:rPr>
          <w:rFonts w:hint="eastAsia"/>
        </w:rPr>
        <w:t>）推荐的中标候选人名单（如果第二章“投标人须知前附表”授权评标委员会直接确定中标人，则为“确定的中标人”）与签订合同前要处理的事宜；</w:t>
      </w:r>
    </w:p>
    <w:p>
      <w:pPr>
        <w:spacing w:line="320" w:lineRule="exact"/>
        <w:ind w:firstLine="420" w:firstLineChars="200"/>
      </w:pPr>
      <w:r>
        <w:rPr>
          <w:rFonts w:hint="eastAsia"/>
        </w:rPr>
        <w:t>（</w:t>
      </w:r>
      <w:r>
        <w:t>10</w:t>
      </w:r>
      <w:r>
        <w:rPr>
          <w:rFonts w:hint="eastAsia"/>
        </w:rPr>
        <w:t>）澄清、说明和补正事项纪要。</w:t>
      </w:r>
    </w:p>
    <w:p>
      <w:pPr>
        <w:pStyle w:val="6"/>
      </w:pPr>
      <w:r>
        <w:t xml:space="preserve">A6. </w:t>
      </w:r>
      <w:r>
        <w:rPr>
          <w:rFonts w:hint="eastAsia"/>
        </w:rPr>
        <w:t>特殊情况的处置程序</w:t>
      </w:r>
    </w:p>
    <w:p>
      <w:pPr>
        <w:spacing w:line="360" w:lineRule="exact"/>
        <w:ind w:firstLine="420" w:firstLineChars="200"/>
      </w:pPr>
      <w:r>
        <w:t>A6.1</w:t>
      </w:r>
      <w:r>
        <w:rPr>
          <w:rFonts w:hint="eastAsia"/>
        </w:rPr>
        <w:t>关于评标活动暂停</w:t>
      </w:r>
    </w:p>
    <w:p>
      <w:pPr>
        <w:spacing w:line="360" w:lineRule="exact"/>
        <w:ind w:firstLine="420" w:firstLineChars="200"/>
      </w:pPr>
      <w:r>
        <w:t xml:space="preserve">A6.1.1 </w:t>
      </w:r>
      <w:r>
        <w:rPr>
          <w:rFonts w:hint="eastAsia"/>
        </w:rPr>
        <w:t>评标委员会应当执行连续评标的原则，按评标办法中规定的程序、内容、方法、标准完成全部评标工作。只有发生不可抗力导致评标工作无法继续时，评标活动方可暂停。</w:t>
      </w:r>
    </w:p>
    <w:p>
      <w:pPr>
        <w:spacing w:line="360" w:lineRule="exact"/>
        <w:ind w:firstLine="420" w:firstLineChars="200"/>
      </w:pPr>
      <w:r>
        <w:t xml:space="preserve">A6.1.2 </w:t>
      </w:r>
      <w:r>
        <w:rPr>
          <w:rFonts w:hint="eastAsia"/>
        </w:rPr>
        <w:t>发生评标暂停情况时，评标委员会应当封存全部投标文件和评标记录，待不可抗力的影响结束且具备继续评标的条件时，由原评标委员会继续评标。</w:t>
      </w:r>
    </w:p>
    <w:p>
      <w:pPr>
        <w:ind w:firstLine="413" w:firstLineChars="196"/>
        <w:rPr>
          <w:b/>
        </w:rPr>
      </w:pPr>
      <w:r>
        <w:rPr>
          <w:b/>
        </w:rPr>
        <w:t xml:space="preserve">A6.2  </w:t>
      </w:r>
      <w:r>
        <w:rPr>
          <w:rFonts w:hint="eastAsia"/>
          <w:b/>
        </w:rPr>
        <w:t>关于评标中途更换评标委员会成员</w:t>
      </w:r>
    </w:p>
    <w:p>
      <w:pPr>
        <w:spacing w:line="360" w:lineRule="exact"/>
        <w:ind w:firstLine="420" w:firstLineChars="200"/>
      </w:pPr>
      <w:r>
        <w:t xml:space="preserve">A6.2.1  </w:t>
      </w:r>
      <w:r>
        <w:rPr>
          <w:rFonts w:hint="eastAsia"/>
        </w:rPr>
        <w:t>除非发生下列情况之一，评标委员会成员不得在评标中途更换：</w:t>
      </w:r>
    </w:p>
    <w:p>
      <w:pPr>
        <w:spacing w:line="360" w:lineRule="exact"/>
        <w:ind w:firstLine="315" w:firstLineChars="150"/>
      </w:pPr>
      <w:r>
        <w:rPr>
          <w:rFonts w:hint="eastAsia"/>
        </w:rPr>
        <w:t>（</w:t>
      </w:r>
      <w:r>
        <w:t>1</w:t>
      </w:r>
      <w:r>
        <w:rPr>
          <w:rFonts w:hint="eastAsia"/>
        </w:rPr>
        <w:t>）因不可抗拒的客观原因，不能到场或需在评标中途退出评标活动；</w:t>
      </w:r>
    </w:p>
    <w:p>
      <w:pPr>
        <w:spacing w:line="360" w:lineRule="exact"/>
        <w:ind w:firstLine="315" w:firstLineChars="150"/>
      </w:pPr>
      <w:r>
        <w:rPr>
          <w:rFonts w:hint="eastAsia"/>
        </w:rPr>
        <w:t>（</w:t>
      </w:r>
      <w:r>
        <w:t>2</w:t>
      </w:r>
      <w:r>
        <w:rPr>
          <w:rFonts w:hint="eastAsia"/>
        </w:rPr>
        <w:t>）根据法律法规规定，某个或某几个评标委员会成员需要回避。</w:t>
      </w:r>
    </w:p>
    <w:p>
      <w:pPr>
        <w:spacing w:line="360" w:lineRule="exact"/>
        <w:ind w:firstLine="420" w:firstLineChars="200"/>
      </w:pPr>
      <w:r>
        <w:t xml:space="preserve">A6.2.2  </w:t>
      </w:r>
      <w:r>
        <w:rPr>
          <w:rFonts w:hint="eastAsia"/>
        </w:rPr>
        <w:t>退出评标的评标委员会成员，其已完成的评标行为无效。由招标人根据本招标文件规定的评标委员会成员产生方式另行抽取评标专家进行评标。</w:t>
      </w:r>
    </w:p>
    <w:p>
      <w:pPr>
        <w:rPr>
          <w:b/>
        </w:rPr>
      </w:pPr>
      <w:r>
        <w:rPr>
          <w:b/>
        </w:rPr>
        <w:t xml:space="preserve">A6.3  </w:t>
      </w:r>
      <w:r>
        <w:rPr>
          <w:rFonts w:hint="eastAsia"/>
          <w:b/>
        </w:rPr>
        <w:t>记名投票</w:t>
      </w:r>
    </w:p>
    <w:p>
      <w:pPr>
        <w:spacing w:line="360" w:lineRule="exact"/>
        <w:ind w:firstLine="420" w:firstLineChars="200"/>
      </w:pPr>
      <w:r>
        <w:rPr>
          <w:rFonts w:hint="eastAsia"/>
        </w:rPr>
        <w:t>在任何评标环节中，需评标委员会就某项定性的评审结论做出表决的，由评标委员会全体成员按照少数服从多数的原则，以记名投票方式表决。</w:t>
      </w:r>
    </w:p>
    <w:p>
      <w:pPr>
        <w:spacing w:line="360" w:lineRule="exact"/>
        <w:rPr>
          <w:b/>
        </w:rPr>
      </w:pPr>
      <w:r>
        <w:rPr>
          <w:b/>
        </w:rPr>
        <w:t xml:space="preserve">A7. </w:t>
      </w:r>
      <w:r>
        <w:rPr>
          <w:rFonts w:hint="eastAsia"/>
          <w:b/>
        </w:rPr>
        <w:t>补充条款</w:t>
      </w:r>
    </w:p>
    <w:p/>
    <w:p/>
    <w:p/>
    <w:p>
      <w:pPr>
        <w:pStyle w:val="2"/>
      </w:pPr>
    </w:p>
    <w:p>
      <w:pPr>
        <w:pStyle w:val="2"/>
      </w:pPr>
    </w:p>
    <w:p>
      <w:pPr>
        <w:pStyle w:val="5"/>
      </w:pPr>
      <w:bookmarkStart w:id="173" w:name="_附件B：废标条件"/>
      <w:bookmarkEnd w:id="173"/>
      <w:bookmarkStart w:id="174" w:name="_Toc241484539"/>
      <w:bookmarkStart w:id="175" w:name="_Toc241459643"/>
      <w:bookmarkStart w:id="176" w:name="_Toc275956127"/>
      <w:r>
        <w:rPr>
          <w:rFonts w:hint="eastAsia"/>
        </w:rPr>
        <w:t>附件</w:t>
      </w:r>
      <w:r>
        <w:t>B</w:t>
      </w:r>
      <w:r>
        <w:rPr>
          <w:rFonts w:hint="eastAsia"/>
        </w:rPr>
        <w:t>：否决投标条件</w:t>
      </w:r>
      <w:bookmarkEnd w:id="174"/>
      <w:bookmarkEnd w:id="175"/>
      <w:bookmarkEnd w:id="176"/>
    </w:p>
    <w:p>
      <w:pPr>
        <w:spacing w:after="120" w:afterLines="50"/>
        <w:jc w:val="center"/>
        <w:rPr>
          <w:rFonts w:ascii="黑体" w:hAnsi="宋体" w:eastAsia="黑体" w:cs="Arial"/>
          <w:bCs/>
          <w:sz w:val="28"/>
          <w:szCs w:val="28"/>
        </w:rPr>
      </w:pPr>
      <w:r>
        <w:rPr>
          <w:rFonts w:hint="eastAsia" w:ascii="黑体" w:hAnsi="宋体" w:eastAsia="黑体" w:cs="Arial"/>
          <w:bCs/>
          <w:sz w:val="28"/>
          <w:szCs w:val="28"/>
        </w:rPr>
        <w:t>否决投标条件</w:t>
      </w:r>
    </w:p>
    <w:p>
      <w:pPr>
        <w:pStyle w:val="6"/>
      </w:pPr>
      <w:r>
        <w:t xml:space="preserve">B0. </w:t>
      </w:r>
      <w:r>
        <w:rPr>
          <w:rFonts w:hint="eastAsia"/>
        </w:rPr>
        <w:t>总则</w:t>
      </w:r>
    </w:p>
    <w:p>
      <w:pPr>
        <w:spacing w:after="120" w:afterLines="50" w:line="400" w:lineRule="exact"/>
        <w:ind w:firstLine="420" w:firstLineChars="200"/>
        <w:rPr>
          <w:rFonts w:ascii="宋体" w:cs="Arial"/>
          <w:szCs w:val="21"/>
        </w:rPr>
      </w:pPr>
      <w:r>
        <w:rPr>
          <w:rFonts w:hint="eastAsia"/>
        </w:rPr>
        <w:t>本附件所集中列示的否决投标条件，是本章“评标办法”的组成部分，是对</w:t>
      </w:r>
      <w:r>
        <w:rPr>
          <w:rFonts w:hint="eastAsia" w:ascii="Arial" w:hAnsi="Arial" w:cs="Arial"/>
          <w:szCs w:val="21"/>
        </w:rPr>
        <w:t>第二章“投标人须知”和本章正文部分所规定的否决投标条件的总结和补充，如果出现相互矛盾的情况，以第二章“投标人须知”和本章正文部分的规定为准。</w:t>
      </w:r>
    </w:p>
    <w:p>
      <w:pPr>
        <w:pStyle w:val="6"/>
      </w:pPr>
      <w:r>
        <w:t xml:space="preserve">B1. </w:t>
      </w:r>
      <w:r>
        <w:rPr>
          <w:rFonts w:hint="eastAsia"/>
        </w:rPr>
        <w:t>否决投标条件</w:t>
      </w:r>
    </w:p>
    <w:p>
      <w:pPr>
        <w:spacing w:line="360" w:lineRule="exact"/>
        <w:ind w:firstLine="420" w:firstLineChars="200"/>
      </w:pPr>
      <w:r>
        <w:rPr>
          <w:rFonts w:hint="eastAsia"/>
        </w:rPr>
        <w:t>投标人或其投标文件有下列情形之一的，其投标作否决投标处理：</w:t>
      </w:r>
    </w:p>
    <w:p>
      <w:pPr>
        <w:pStyle w:val="34"/>
        <w:spacing w:line="360" w:lineRule="exact"/>
        <w:ind w:firstLine="420" w:firstLineChars="200"/>
        <w:rPr>
          <w:rFonts w:ascii="宋体" w:hAnsi="宋体" w:eastAsia="宋体" w:cs="宋体e眠副浡渀."/>
          <w:color w:val="auto"/>
          <w:sz w:val="21"/>
          <w:szCs w:val="21"/>
        </w:rPr>
      </w:pPr>
      <w:r>
        <w:rPr>
          <w:rFonts w:ascii="宋体" w:hAnsi="宋体" w:eastAsia="宋体"/>
          <w:color w:val="auto"/>
          <w:sz w:val="21"/>
          <w:szCs w:val="21"/>
        </w:rPr>
        <w:t xml:space="preserve">B1.1 </w:t>
      </w:r>
      <w:r>
        <w:rPr>
          <w:rFonts w:hint="eastAsia" w:ascii="宋体" w:hAnsi="宋体" w:eastAsia="宋体" w:cs="宋体e眠副浡渀."/>
          <w:color w:val="auto"/>
          <w:sz w:val="21"/>
          <w:szCs w:val="21"/>
        </w:rPr>
        <w:t>有第二章“投标人须知”第</w:t>
      </w:r>
      <w:r>
        <w:rPr>
          <w:rFonts w:ascii="宋体" w:hAnsi="宋体" w:eastAsia="宋体"/>
          <w:color w:val="auto"/>
          <w:sz w:val="21"/>
          <w:szCs w:val="21"/>
        </w:rPr>
        <w:t>1.4.3</w:t>
      </w:r>
      <w:r>
        <w:rPr>
          <w:rFonts w:hint="eastAsia" w:ascii="宋体" w:hAnsi="宋体" w:eastAsia="宋体" w:cs="宋体e眠副浡渀."/>
          <w:color w:val="auto"/>
          <w:sz w:val="21"/>
          <w:szCs w:val="21"/>
        </w:rPr>
        <w:t>项、第</w:t>
      </w:r>
      <w:r>
        <w:rPr>
          <w:rFonts w:ascii="宋体" w:hAnsi="宋体" w:eastAsia="宋体" w:cs="宋体e眠副浡渀."/>
          <w:color w:val="auto"/>
          <w:sz w:val="21"/>
          <w:szCs w:val="21"/>
        </w:rPr>
        <w:t>1.4.4</w:t>
      </w:r>
      <w:r>
        <w:rPr>
          <w:rFonts w:hint="eastAsia" w:ascii="宋体" w:hAnsi="宋体" w:eastAsia="宋体" w:cs="宋体e眠副浡渀."/>
          <w:color w:val="auto"/>
          <w:sz w:val="21"/>
          <w:szCs w:val="21"/>
        </w:rPr>
        <w:t>项规定的任何一种情形的。</w:t>
      </w:r>
    </w:p>
    <w:p>
      <w:pPr>
        <w:pStyle w:val="34"/>
        <w:spacing w:line="360" w:lineRule="exact"/>
        <w:ind w:firstLine="420" w:firstLineChars="200"/>
        <w:rPr>
          <w:rFonts w:ascii="宋体" w:hAnsi="宋体" w:eastAsia="宋体" w:cs="宋体e眠副浡渀."/>
          <w:color w:val="auto"/>
          <w:sz w:val="21"/>
          <w:szCs w:val="21"/>
        </w:rPr>
      </w:pPr>
      <w:r>
        <w:rPr>
          <w:rFonts w:ascii="宋体" w:hAnsi="宋体" w:eastAsia="宋体"/>
          <w:color w:val="auto"/>
          <w:sz w:val="21"/>
          <w:szCs w:val="21"/>
        </w:rPr>
        <w:t xml:space="preserve">B1.2 </w:t>
      </w:r>
      <w:r>
        <w:rPr>
          <w:rFonts w:hint="eastAsia" w:ascii="宋体" w:hAnsi="宋体" w:eastAsia="宋体" w:cs="宋体e眠副浡渀."/>
          <w:color w:val="auto"/>
          <w:sz w:val="21"/>
          <w:szCs w:val="21"/>
        </w:rPr>
        <w:t>有串通投标或弄虚作假或有其他违法行为的。</w:t>
      </w:r>
    </w:p>
    <w:p>
      <w:pPr>
        <w:pStyle w:val="34"/>
        <w:spacing w:line="360" w:lineRule="exact"/>
        <w:ind w:firstLine="420" w:firstLineChars="200"/>
        <w:rPr>
          <w:rFonts w:ascii="宋体" w:hAnsi="宋体" w:eastAsia="宋体" w:cs="宋体e眠副浡渀."/>
          <w:color w:val="auto"/>
          <w:sz w:val="21"/>
          <w:szCs w:val="21"/>
        </w:rPr>
      </w:pPr>
      <w:r>
        <w:rPr>
          <w:rFonts w:ascii="宋体" w:hAnsi="宋体" w:eastAsia="宋体"/>
          <w:color w:val="auto"/>
          <w:sz w:val="21"/>
          <w:szCs w:val="21"/>
        </w:rPr>
        <w:t xml:space="preserve">B1.3 </w:t>
      </w:r>
      <w:r>
        <w:rPr>
          <w:rFonts w:hint="eastAsia" w:ascii="宋体" w:hAnsi="宋体" w:eastAsia="宋体" w:cs="宋体e眠副浡渀."/>
          <w:color w:val="auto"/>
          <w:sz w:val="21"/>
          <w:szCs w:val="21"/>
        </w:rPr>
        <w:t>不按评标委员会要求澄清、说明或补正的。</w:t>
      </w:r>
    </w:p>
    <w:p>
      <w:pPr>
        <w:pStyle w:val="34"/>
        <w:spacing w:line="360" w:lineRule="exact"/>
        <w:ind w:firstLine="420" w:firstLineChars="200"/>
        <w:rPr>
          <w:rFonts w:ascii="宋体" w:hAnsi="宋体" w:eastAsia="宋体" w:cs="宋体e眠副浡渀."/>
          <w:color w:val="auto"/>
          <w:sz w:val="21"/>
          <w:szCs w:val="21"/>
        </w:rPr>
      </w:pPr>
      <w:r>
        <w:rPr>
          <w:rFonts w:ascii="宋体" w:hAnsi="宋体" w:eastAsia="宋体"/>
          <w:color w:val="auto"/>
          <w:sz w:val="21"/>
          <w:szCs w:val="21"/>
        </w:rPr>
        <w:t xml:space="preserve">B1.4 </w:t>
      </w:r>
      <w:r>
        <w:rPr>
          <w:rFonts w:hint="eastAsia" w:ascii="宋体" w:hAnsi="宋体" w:eastAsia="宋体" w:cs="宋体e眠副浡渀."/>
          <w:color w:val="auto"/>
          <w:sz w:val="21"/>
          <w:szCs w:val="21"/>
        </w:rPr>
        <w:t>在形式评审、资格评审（适用于未进行资格预审的）、响应性评审中，评标委员会认定投标人的投标文件不符合评标办法前附表中规定的任何一项评审标准的。</w:t>
      </w:r>
    </w:p>
    <w:p>
      <w:pPr>
        <w:pStyle w:val="34"/>
        <w:spacing w:line="360" w:lineRule="exact"/>
        <w:ind w:firstLine="420" w:firstLineChars="200"/>
        <w:rPr>
          <w:rFonts w:ascii="宋体" w:hAnsi="宋体" w:eastAsia="宋体" w:cs="宋体e眠副浡渀."/>
          <w:color w:val="auto"/>
          <w:sz w:val="21"/>
          <w:szCs w:val="21"/>
        </w:rPr>
      </w:pPr>
      <w:r>
        <w:rPr>
          <w:rFonts w:ascii="宋体" w:hAnsi="宋体" w:eastAsia="宋体"/>
          <w:color w:val="auto"/>
          <w:sz w:val="21"/>
          <w:szCs w:val="21"/>
        </w:rPr>
        <w:t xml:space="preserve">B1.5 </w:t>
      </w:r>
      <w:r>
        <w:rPr>
          <w:rFonts w:hint="eastAsia" w:ascii="宋体" w:hAnsi="宋体" w:eastAsia="宋体" w:cs="宋体e眠副浡渀."/>
          <w:color w:val="auto"/>
          <w:sz w:val="21"/>
          <w:szCs w:val="21"/>
        </w:rPr>
        <w:t>当投标人资格预审申请文件的其他内容发生重大变化时，其在投标文件中更新的资料，未能通过资格评审的（适用于已进行资格预审的）。</w:t>
      </w:r>
    </w:p>
    <w:p>
      <w:pPr>
        <w:pStyle w:val="34"/>
        <w:spacing w:line="360" w:lineRule="exact"/>
        <w:ind w:firstLine="420" w:firstLineChars="200"/>
        <w:rPr>
          <w:rFonts w:ascii="宋体" w:hAnsi="宋体" w:eastAsia="宋体"/>
          <w:color w:val="auto"/>
          <w:sz w:val="21"/>
          <w:szCs w:val="21"/>
        </w:rPr>
      </w:pPr>
      <w:r>
        <w:rPr>
          <w:rFonts w:ascii="宋体" w:hAnsi="宋体" w:eastAsia="宋体"/>
          <w:color w:val="auto"/>
          <w:sz w:val="21"/>
          <w:szCs w:val="21"/>
        </w:rPr>
        <w:t xml:space="preserve">B1.6 </w:t>
      </w:r>
      <w:r>
        <w:rPr>
          <w:rFonts w:hint="eastAsia" w:ascii="宋体" w:hAnsi="宋体" w:eastAsia="宋体" w:cs="宋体"/>
          <w:color w:val="auto"/>
          <w:sz w:val="21"/>
          <w:szCs w:val="21"/>
        </w:rPr>
        <w:t>除在投标截止时间前经招标人书面同意外，项目经理与资格预审时不一致的。</w:t>
      </w:r>
    </w:p>
    <w:p>
      <w:pPr>
        <w:pStyle w:val="34"/>
        <w:spacing w:line="360" w:lineRule="exact"/>
        <w:ind w:firstLine="420" w:firstLineChars="200"/>
        <w:rPr>
          <w:rFonts w:ascii="宋体" w:hAnsi="宋体" w:eastAsia="宋体" w:cs="宋体e眠副浡渀."/>
          <w:color w:val="auto"/>
          <w:sz w:val="21"/>
          <w:szCs w:val="21"/>
        </w:rPr>
      </w:pPr>
      <w:r>
        <w:rPr>
          <w:rFonts w:ascii="宋体" w:hAnsi="宋体" w:eastAsia="宋体"/>
          <w:color w:val="auto"/>
          <w:sz w:val="21"/>
          <w:szCs w:val="21"/>
        </w:rPr>
        <w:t xml:space="preserve">B1.7 </w:t>
      </w:r>
      <w:r>
        <w:rPr>
          <w:rFonts w:hint="eastAsia" w:ascii="宋体" w:hAnsi="宋体" w:eastAsia="宋体" w:cs="宋体e眠副浡渀."/>
          <w:color w:val="auto"/>
          <w:sz w:val="21"/>
          <w:szCs w:val="21"/>
        </w:rPr>
        <w:t>在施工组织设计和项目管理机构评审中，评标委员会认定投标人的投标未能通过此项评审的。</w:t>
      </w:r>
    </w:p>
    <w:p>
      <w:pPr>
        <w:pStyle w:val="34"/>
        <w:spacing w:line="360" w:lineRule="exact"/>
        <w:ind w:firstLine="420" w:firstLineChars="200"/>
        <w:rPr>
          <w:rFonts w:ascii="宋体" w:hAnsi="宋体" w:eastAsia="宋体" w:cs="宋体e眠副浡渀."/>
          <w:color w:val="auto"/>
          <w:sz w:val="21"/>
          <w:szCs w:val="21"/>
        </w:rPr>
      </w:pPr>
      <w:r>
        <w:rPr>
          <w:rFonts w:ascii="宋体" w:hAnsi="宋体" w:eastAsia="宋体"/>
          <w:color w:val="auto"/>
          <w:sz w:val="21"/>
          <w:szCs w:val="21"/>
        </w:rPr>
        <w:t xml:space="preserve">B1.8 </w:t>
      </w:r>
      <w:r>
        <w:rPr>
          <w:rFonts w:hint="eastAsia" w:ascii="宋体" w:hAnsi="宋体" w:eastAsia="宋体" w:cs="宋体e眠副浡渀."/>
          <w:color w:val="auto"/>
          <w:sz w:val="21"/>
          <w:szCs w:val="21"/>
        </w:rPr>
        <w:t>评标委员会认定投标人以低于成本报价竞标的。</w:t>
      </w:r>
    </w:p>
    <w:p>
      <w:pPr>
        <w:spacing w:line="360" w:lineRule="exact"/>
        <w:ind w:firstLine="420" w:firstLineChars="200"/>
        <w:rPr>
          <w:rFonts w:ascii="宋体"/>
        </w:rPr>
      </w:pPr>
      <w:r>
        <w:rPr>
          <w:rFonts w:ascii="宋体" w:hAnsi="宋体"/>
          <w:szCs w:val="21"/>
        </w:rPr>
        <w:t xml:space="preserve">B1.9 </w:t>
      </w:r>
      <w:r>
        <w:rPr>
          <w:rFonts w:hint="eastAsia" w:ascii="宋体" w:hAnsi="宋体" w:cs="宋体e眠副浡渀."/>
          <w:szCs w:val="21"/>
        </w:rPr>
        <w:t>投标人未按第二章</w:t>
      </w:r>
      <w:r>
        <w:rPr>
          <w:rFonts w:hint="eastAsia" w:ascii="宋体" w:hAnsi="宋体" w:cs="宋体e眠副浡渀."/>
          <w:szCs w:val="21"/>
          <w:u w:val="single"/>
        </w:rPr>
        <w:t>“投标人须知</w:t>
      </w:r>
      <w:r>
        <w:rPr>
          <w:rFonts w:hint="eastAsia"/>
          <w:u w:val="single"/>
        </w:rPr>
        <w:t>前附表</w:t>
      </w:r>
      <w:r>
        <w:rPr>
          <w:rFonts w:hint="eastAsia" w:ascii="宋体" w:hAnsi="宋体" w:cs="宋体e眠副浡渀."/>
          <w:szCs w:val="21"/>
          <w:u w:val="single"/>
        </w:rPr>
        <w:t>”第</w:t>
      </w:r>
      <w:r>
        <w:rPr>
          <w:rFonts w:ascii="宋体" w:hAnsi="宋体"/>
          <w:szCs w:val="21"/>
          <w:u w:val="single"/>
        </w:rPr>
        <w:t>10.5</w:t>
      </w:r>
      <w:r>
        <w:rPr>
          <w:rFonts w:hint="eastAsia" w:ascii="宋体" w:hAnsi="宋体" w:cs="宋体e眠副浡渀."/>
          <w:szCs w:val="21"/>
        </w:rPr>
        <w:t>项规定出席开标会的。</w:t>
      </w:r>
    </w:p>
    <w:p>
      <w:pPr>
        <w:widowControl/>
        <w:shd w:val="clear" w:color="auto" w:fill="FFFFFF"/>
        <w:spacing w:line="360" w:lineRule="exact"/>
        <w:ind w:firstLine="420" w:firstLineChars="200"/>
        <w:jc w:val="left"/>
        <w:rPr>
          <w:rFonts w:ascii="宋体" w:cs="宋体"/>
          <w:kern w:val="0"/>
          <w:szCs w:val="21"/>
        </w:rPr>
      </w:pPr>
      <w:r>
        <w:rPr>
          <w:rFonts w:ascii="宋体" w:hAnsi="宋体"/>
        </w:rPr>
        <w:t>B1.10</w:t>
      </w:r>
      <w:r>
        <w:rPr>
          <w:rFonts w:hint="eastAsia" w:ascii="宋体" w:hAnsi="宋体" w:cs="宋体"/>
          <w:kern w:val="0"/>
          <w:szCs w:val="21"/>
        </w:rPr>
        <w:t>改变</w:t>
      </w:r>
      <w:r>
        <w:rPr>
          <w:rFonts w:hint="eastAsia" w:ascii="宋体" w:hAnsi="宋体"/>
        </w:rPr>
        <w:t>招标工程量清单</w:t>
      </w:r>
      <w:r>
        <w:rPr>
          <w:rFonts w:hint="eastAsia" w:ascii="宋体" w:hAnsi="宋体" w:cs="宋体"/>
          <w:kern w:val="0"/>
          <w:szCs w:val="21"/>
        </w:rPr>
        <w:t>中单项工程编号或单位工程编号的。</w:t>
      </w:r>
    </w:p>
    <w:p>
      <w:pPr>
        <w:widowControl/>
        <w:shd w:val="clear" w:color="auto" w:fill="FFFFFF"/>
        <w:spacing w:line="360" w:lineRule="exact"/>
        <w:ind w:firstLine="420" w:firstLineChars="200"/>
        <w:jc w:val="left"/>
        <w:rPr>
          <w:rFonts w:ascii="宋体" w:cs="宋体"/>
          <w:kern w:val="0"/>
          <w:szCs w:val="21"/>
        </w:rPr>
      </w:pPr>
      <w:r>
        <w:rPr>
          <w:rFonts w:ascii="宋体" w:hAnsi="宋体"/>
        </w:rPr>
        <w:t>B1.11</w:t>
      </w:r>
      <w:r>
        <w:rPr>
          <w:rFonts w:hint="eastAsia" w:ascii="宋体" w:hAnsi="宋体" w:cs="宋体"/>
          <w:kern w:val="0"/>
          <w:szCs w:val="21"/>
        </w:rPr>
        <w:t>明显不符合技术规范、技术标准要求的。</w:t>
      </w:r>
    </w:p>
    <w:p>
      <w:pPr>
        <w:widowControl/>
        <w:shd w:val="clear" w:color="auto" w:fill="FFFFFF"/>
        <w:spacing w:line="360" w:lineRule="exact"/>
        <w:ind w:firstLine="420" w:firstLineChars="200"/>
        <w:jc w:val="left"/>
        <w:rPr>
          <w:rFonts w:ascii="宋体" w:cs="宋体"/>
          <w:kern w:val="0"/>
          <w:szCs w:val="21"/>
        </w:rPr>
      </w:pPr>
      <w:r>
        <w:rPr>
          <w:rFonts w:ascii="宋体" w:hAnsi="宋体"/>
        </w:rPr>
        <w:t>B1.12</w:t>
      </w:r>
      <w:r>
        <w:rPr>
          <w:rFonts w:hint="eastAsia" w:ascii="宋体" w:hAnsi="宋体" w:cs="宋体"/>
          <w:kern w:val="0"/>
          <w:szCs w:val="21"/>
        </w:rPr>
        <w:t>投标文件载明的货物包装方式、检验标准和方法等不符合招标文件的要求的。</w:t>
      </w:r>
    </w:p>
    <w:p>
      <w:pPr>
        <w:widowControl/>
        <w:shd w:val="clear" w:color="auto" w:fill="FFFFFF"/>
        <w:spacing w:line="360" w:lineRule="exact"/>
        <w:ind w:firstLine="420" w:firstLineChars="200"/>
        <w:jc w:val="left"/>
        <w:rPr>
          <w:rFonts w:ascii="宋体" w:cs="宋体"/>
          <w:kern w:val="0"/>
          <w:szCs w:val="21"/>
        </w:rPr>
      </w:pPr>
      <w:r>
        <w:rPr>
          <w:rFonts w:ascii="宋体" w:hAnsi="宋体"/>
        </w:rPr>
        <w:t>B1.13</w:t>
      </w:r>
      <w:r>
        <w:rPr>
          <w:rFonts w:hint="eastAsia" w:ascii="宋体" w:hAnsi="宋体" w:cs="宋体"/>
          <w:kern w:val="0"/>
          <w:szCs w:val="21"/>
        </w:rPr>
        <w:t>投标文件提出了不能满足招标文件要求或招标人不能接受的工程验收、计量、价款结算和支付办法的。</w:t>
      </w:r>
    </w:p>
    <w:p>
      <w:pPr>
        <w:widowControl/>
        <w:shd w:val="clear" w:color="auto" w:fill="FFFFFF"/>
        <w:spacing w:line="360" w:lineRule="exact"/>
        <w:ind w:firstLine="420" w:firstLineChars="200"/>
        <w:jc w:val="left"/>
        <w:rPr>
          <w:rFonts w:ascii="宋体" w:cs="宋体"/>
          <w:kern w:val="0"/>
          <w:szCs w:val="21"/>
        </w:rPr>
      </w:pPr>
      <w:r>
        <w:rPr>
          <w:rFonts w:ascii="宋体" w:hAnsi="宋体"/>
        </w:rPr>
        <w:t>B1.14</w:t>
      </w:r>
      <w:r>
        <w:rPr>
          <w:rFonts w:hint="eastAsia"/>
        </w:rPr>
        <w:t>由委托代理人签字或盖章，但投标文件中无有效的“授权委托书”原件的；</w:t>
      </w:r>
    </w:p>
    <w:p>
      <w:pPr>
        <w:spacing w:line="360" w:lineRule="exact"/>
        <w:ind w:firstLine="525" w:firstLineChars="250"/>
      </w:pPr>
      <w:r>
        <w:rPr>
          <w:rFonts w:ascii="宋体" w:hAnsi="宋体"/>
        </w:rPr>
        <w:t>B1.15</w:t>
      </w:r>
      <w:r>
        <w:rPr>
          <w:rFonts w:hint="eastAsia" w:ascii="宋体" w:hAnsi="宋体"/>
        </w:rPr>
        <w:t>法律、</w:t>
      </w:r>
      <w:r>
        <w:rPr>
          <w:rFonts w:hint="eastAsia"/>
        </w:rPr>
        <w:t>法规规定的其他否决投标条款。</w:t>
      </w:r>
    </w:p>
    <w:p>
      <w:pPr>
        <w:spacing w:line="360" w:lineRule="exact"/>
        <w:ind w:firstLine="718" w:firstLineChars="342"/>
        <w:rPr>
          <w:rFonts w:ascii="宋体" w:cs="Arial"/>
          <w:szCs w:val="21"/>
        </w:rPr>
      </w:pPr>
      <w:r>
        <w:rPr>
          <w:rFonts w:hint="eastAsia" w:ascii="宋体" w:hAnsi="宋体" w:cs="Arial"/>
          <w:szCs w:val="21"/>
        </w:rPr>
        <w:t>……</w:t>
      </w:r>
    </w:p>
    <w:p>
      <w:r>
        <w:rPr>
          <w:kern w:val="0"/>
        </w:rPr>
        <w:br w:type="page"/>
      </w:r>
      <w:bookmarkStart w:id="177" w:name="_Toc241459644"/>
      <w:bookmarkStart w:id="178" w:name="_Toc241484540"/>
    </w:p>
    <w:bookmarkEnd w:id="177"/>
    <w:bookmarkEnd w:id="178"/>
    <w:p>
      <w:pPr>
        <w:pStyle w:val="5"/>
      </w:pPr>
      <w:bookmarkStart w:id="179" w:name="_附件C：评标价计算方法"/>
      <w:bookmarkEnd w:id="179"/>
      <w:bookmarkStart w:id="180" w:name="_附件D：备选投标方案的评审和比较办法"/>
      <w:bookmarkEnd w:id="180"/>
      <w:bookmarkStart w:id="181" w:name="_附件D：投标人成本评审办法"/>
      <w:bookmarkEnd w:id="181"/>
      <w:bookmarkStart w:id="182" w:name="_Toc241484541"/>
      <w:bookmarkStart w:id="183" w:name="_Toc241459645"/>
      <w:bookmarkStart w:id="184" w:name="_Toc275956129"/>
      <w:r>
        <w:rPr>
          <w:rFonts w:hint="eastAsia"/>
        </w:rPr>
        <w:t>附件</w:t>
      </w:r>
      <w:r>
        <w:t>C</w:t>
      </w:r>
      <w:r>
        <w:rPr>
          <w:rFonts w:hint="eastAsia"/>
        </w:rPr>
        <w:t>：</w:t>
      </w:r>
      <w:bookmarkEnd w:id="182"/>
      <w:bookmarkEnd w:id="183"/>
      <w:bookmarkEnd w:id="184"/>
      <w:r>
        <w:rPr>
          <w:rFonts w:hint="eastAsia"/>
        </w:rPr>
        <w:t>投标人成本评审办法</w:t>
      </w:r>
    </w:p>
    <w:p>
      <w:pPr>
        <w:pStyle w:val="6"/>
        <w:spacing w:line="440" w:lineRule="exact"/>
      </w:pPr>
      <w:r>
        <w:t>C0.</w:t>
      </w:r>
      <w:r>
        <w:rPr>
          <w:rFonts w:hint="eastAsia"/>
        </w:rPr>
        <w:t>总则</w:t>
      </w:r>
    </w:p>
    <w:p>
      <w:pPr>
        <w:spacing w:line="440" w:lineRule="exact"/>
        <w:ind w:firstLine="430" w:firstLineChars="205"/>
      </w:pPr>
      <w:r>
        <w:rPr>
          <w:rFonts w:hint="eastAsia"/>
        </w:rPr>
        <w:t>本附件是本章“评标办法”的组成部分，评标委员会按照</w:t>
      </w:r>
      <w:r>
        <w:fldChar w:fldCharType="begin"/>
      </w:r>
      <w:r>
        <w:instrText xml:space="preserve"> HYPERLINK "file:///H:\\泰州招标文件范本\\泰州市房屋建筑和市政工程施工2016.4.docx" \l "_3.2_初步评审" </w:instrText>
      </w:r>
      <w:r>
        <w:fldChar w:fldCharType="separate"/>
      </w:r>
      <w:r>
        <w:rPr>
          <w:rStyle w:val="22"/>
          <w:rFonts w:hint="eastAsia"/>
          <w:color w:val="auto"/>
        </w:rPr>
        <w:t>本章第</w:t>
      </w:r>
      <w:r>
        <w:rPr>
          <w:rStyle w:val="22"/>
          <w:color w:val="auto"/>
        </w:rPr>
        <w:t>3.3.1</w:t>
      </w:r>
      <w:r>
        <w:rPr>
          <w:rStyle w:val="22"/>
          <w:rFonts w:hint="eastAsia"/>
          <w:color w:val="auto"/>
        </w:rPr>
        <w:t>项</w:t>
      </w:r>
      <w:r>
        <w:rPr>
          <w:rStyle w:val="22"/>
          <w:rFonts w:hint="eastAsia"/>
          <w:color w:val="auto"/>
        </w:rPr>
        <w:fldChar w:fldCharType="end"/>
      </w:r>
      <w:r>
        <w:rPr>
          <w:rFonts w:hint="eastAsia"/>
        </w:rPr>
        <w:t>的规定，对投标人投标报价是否低于其成本进行评审和判断时，适用本附件所规定的办法。</w:t>
      </w:r>
    </w:p>
    <w:p>
      <w:pPr>
        <w:pStyle w:val="6"/>
        <w:spacing w:line="440" w:lineRule="exact"/>
      </w:pPr>
      <w:r>
        <w:t>C1.</w:t>
      </w:r>
      <w:r>
        <w:rPr>
          <w:rFonts w:hint="eastAsia"/>
        </w:rPr>
        <w:t>评审程序</w:t>
      </w:r>
    </w:p>
    <w:p>
      <w:pPr>
        <w:spacing w:line="360" w:lineRule="exact"/>
        <w:ind w:firstLine="420" w:firstLineChars="200"/>
      </w:pPr>
      <w:r>
        <w:t xml:space="preserve">C1.1 </w:t>
      </w:r>
      <w:r>
        <w:rPr>
          <w:rFonts w:hint="eastAsia"/>
        </w:rPr>
        <w:t>启动成本评审工作的前提条件</w:t>
      </w:r>
    </w:p>
    <w:p>
      <w:pPr>
        <w:spacing w:line="360" w:lineRule="exact"/>
        <w:ind w:firstLine="420" w:firstLineChars="200"/>
      </w:pPr>
      <w:r>
        <w:rPr>
          <w:rFonts w:hint="eastAsia"/>
        </w:rPr>
        <w:t>在满足下列条件的前提下，评标委员会应当启动并进行本办法所规定的评审，以判别投标人的投标报价是否低于其成本：</w:t>
      </w:r>
    </w:p>
    <w:p>
      <w:pPr>
        <w:spacing w:line="360" w:lineRule="exact"/>
        <w:ind w:firstLine="420" w:firstLineChars="200"/>
      </w:pPr>
      <w:r>
        <w:t xml:space="preserve">C1.1.1 </w:t>
      </w:r>
      <w:r>
        <w:rPr>
          <w:rFonts w:hint="eastAsia"/>
        </w:rPr>
        <w:t>投标人的投标文件已经通过本章“评标办法”规定的“初步评审”，不存在应当否决投标的情形；</w:t>
      </w:r>
    </w:p>
    <w:p>
      <w:pPr>
        <w:pStyle w:val="6"/>
        <w:spacing w:line="440" w:lineRule="exact"/>
      </w:pPr>
      <w:r>
        <w:t xml:space="preserve">C2. </w:t>
      </w:r>
      <w:r>
        <w:rPr>
          <w:rFonts w:hint="eastAsia"/>
        </w:rPr>
        <w:t>评审的依据</w:t>
      </w:r>
    </w:p>
    <w:p>
      <w:pPr>
        <w:spacing w:line="360" w:lineRule="exact"/>
        <w:ind w:firstLine="420" w:firstLineChars="200"/>
      </w:pPr>
      <w:r>
        <w:rPr>
          <w:rFonts w:hint="eastAsia"/>
        </w:rPr>
        <w:t>评标委员会判断投标人的投标报价是否低于其成本，所参考的评审依据包括</w:t>
      </w:r>
      <w:r>
        <w:t>:</w:t>
      </w:r>
    </w:p>
    <w:p>
      <w:pPr>
        <w:spacing w:line="360" w:lineRule="exact"/>
        <w:ind w:firstLine="525" w:firstLineChars="250"/>
      </w:pPr>
      <w:r>
        <w:rPr>
          <w:rFonts w:hint="eastAsia"/>
        </w:rPr>
        <w:t>（</w:t>
      </w:r>
      <w:r>
        <w:t>1</w:t>
      </w:r>
      <w:r>
        <w:rPr>
          <w:rFonts w:hint="eastAsia"/>
        </w:rPr>
        <w:t>）招标文件；</w:t>
      </w:r>
    </w:p>
    <w:p>
      <w:pPr>
        <w:spacing w:line="360" w:lineRule="exact"/>
        <w:ind w:firstLine="525" w:firstLineChars="250"/>
      </w:pPr>
      <w:r>
        <w:rPr>
          <w:rFonts w:hint="eastAsia"/>
        </w:rPr>
        <w:t>（</w:t>
      </w:r>
      <w:r>
        <w:t>2</w:t>
      </w:r>
      <w:r>
        <w:rPr>
          <w:rFonts w:hint="eastAsia"/>
        </w:rPr>
        <w:t>）标底或招标控制价（如果有）；</w:t>
      </w:r>
    </w:p>
    <w:p>
      <w:pPr>
        <w:spacing w:line="360" w:lineRule="exact"/>
        <w:ind w:firstLine="525" w:firstLineChars="250"/>
      </w:pPr>
      <w:r>
        <w:rPr>
          <w:rFonts w:hint="eastAsia"/>
        </w:rPr>
        <w:t>（</w:t>
      </w:r>
      <w:r>
        <w:t>3</w:t>
      </w:r>
      <w:r>
        <w:rPr>
          <w:rFonts w:hint="eastAsia"/>
        </w:rPr>
        <w:t>）投标人已标价的工程量清单；</w:t>
      </w:r>
    </w:p>
    <w:p>
      <w:pPr>
        <w:pStyle w:val="6"/>
        <w:spacing w:line="440" w:lineRule="exact"/>
      </w:pPr>
      <w:r>
        <w:t xml:space="preserve">C3. </w:t>
      </w:r>
      <w:r>
        <w:rPr>
          <w:rFonts w:hint="eastAsia"/>
        </w:rPr>
        <w:t>算术性错误分析和修正</w:t>
      </w:r>
    </w:p>
    <w:p>
      <w:pPr>
        <w:spacing w:after="120" w:afterLines="50" w:line="440" w:lineRule="exact"/>
        <w:ind w:firstLine="472" w:firstLineChars="225"/>
        <w:rPr>
          <w:rFonts w:ascii="宋体" w:cs="Arial"/>
          <w:szCs w:val="21"/>
        </w:rPr>
      </w:pPr>
      <w:r>
        <w:rPr>
          <w:rFonts w:hint="eastAsia" w:ascii="宋体" w:hAnsi="宋体" w:cs="Arial"/>
          <w:szCs w:val="21"/>
        </w:rPr>
        <w:t>评标委员会对已标价工程量清单进行逐项分析，根据</w:t>
      </w:r>
      <w:r>
        <w:fldChar w:fldCharType="begin"/>
      </w:r>
      <w:r>
        <w:instrText xml:space="preserve"> HYPERLINK "file:///H:\\泰州招标文件范本\\泰州市房屋建筑和市政工程施工2016.4.docx" \l "_3.1_评标准备" </w:instrText>
      </w:r>
      <w:r>
        <w:fldChar w:fldCharType="separate"/>
      </w:r>
      <w:r>
        <w:rPr>
          <w:rStyle w:val="22"/>
          <w:rFonts w:hint="eastAsia" w:ascii="宋体" w:hAnsi="宋体" w:cs="Arial"/>
          <w:color w:val="auto"/>
          <w:szCs w:val="21"/>
        </w:rPr>
        <w:t>本章第</w:t>
      </w:r>
      <w:r>
        <w:rPr>
          <w:rStyle w:val="22"/>
          <w:rFonts w:ascii="宋体" w:hAnsi="宋体" w:cs="Arial"/>
          <w:color w:val="auto"/>
          <w:szCs w:val="21"/>
        </w:rPr>
        <w:t>3.2.4</w:t>
      </w:r>
      <w:r>
        <w:rPr>
          <w:rStyle w:val="22"/>
          <w:rFonts w:hint="eastAsia" w:ascii="宋体" w:hAnsi="宋体" w:cs="Arial"/>
          <w:color w:val="auto"/>
          <w:szCs w:val="21"/>
        </w:rPr>
        <w:t>项</w:t>
      </w:r>
      <w:r>
        <w:rPr>
          <w:rStyle w:val="22"/>
          <w:rFonts w:hint="eastAsia" w:ascii="宋体" w:hAnsi="宋体" w:cs="Arial"/>
          <w:color w:val="auto"/>
          <w:szCs w:val="21"/>
        </w:rPr>
        <w:fldChar w:fldCharType="end"/>
      </w:r>
      <w:r>
        <w:rPr>
          <w:rFonts w:hint="eastAsia" w:ascii="宋体" w:hAnsi="宋体" w:cs="Arial"/>
          <w:szCs w:val="21"/>
        </w:rPr>
        <w:t>规定的原则，对投标报价中的算术性错误进行修正。</w:t>
      </w:r>
    </w:p>
    <w:p>
      <w:pPr>
        <w:pStyle w:val="6"/>
        <w:spacing w:line="440" w:lineRule="exact"/>
      </w:pPr>
      <w:r>
        <w:t>C4</w:t>
      </w:r>
      <w:r>
        <w:rPr>
          <w:rFonts w:hint="eastAsia"/>
        </w:rPr>
        <w:t>判断投标报价是否低于成本</w:t>
      </w:r>
    </w:p>
    <w:p>
      <w:pPr>
        <w:spacing w:line="440" w:lineRule="exact"/>
        <w:ind w:firstLine="420" w:firstLineChars="200"/>
        <w:rPr>
          <w:rFonts w:ascii="宋体"/>
          <w:b/>
          <w:bCs/>
          <w:szCs w:val="21"/>
        </w:rPr>
      </w:pPr>
      <w:r>
        <w:t xml:space="preserve">C4.1 </w:t>
      </w:r>
      <w:r>
        <w:rPr>
          <w:rFonts w:hint="eastAsia" w:ascii="宋体" w:hAnsi="宋体"/>
          <w:b/>
          <w:bCs/>
          <w:szCs w:val="21"/>
        </w:rPr>
        <w:t>投标报价总价</w:t>
      </w:r>
      <w:r>
        <w:rPr>
          <w:rFonts w:hint="eastAsia" w:ascii="宋体" w:hAnsi="宋体" w:cs="TimesNewRomanPSMT"/>
          <w:b/>
          <w:bCs/>
          <w:kern w:val="0"/>
          <w:szCs w:val="21"/>
        </w:rPr>
        <w:t>低于</w:t>
      </w:r>
      <w:r>
        <w:rPr>
          <w:rFonts w:hint="eastAsia" w:ascii="宋体" w:hAnsi="宋体"/>
          <w:b/>
          <w:bCs/>
          <w:szCs w:val="21"/>
        </w:rPr>
        <w:t>投标报价平均值下浮</w:t>
      </w:r>
      <w:r>
        <w:rPr>
          <w:rFonts w:ascii="宋体" w:hAnsi="宋体"/>
          <w:b/>
          <w:bCs/>
          <w:szCs w:val="21"/>
        </w:rPr>
        <w:t>A%</w:t>
      </w:r>
      <w:r>
        <w:rPr>
          <w:rFonts w:hint="eastAsia" w:ascii="宋体" w:hAnsi="宋体"/>
          <w:b/>
          <w:bCs/>
          <w:szCs w:val="21"/>
        </w:rPr>
        <w:t>的</w:t>
      </w:r>
      <w:r>
        <w:rPr>
          <w:rFonts w:ascii="宋体"/>
          <w:b/>
          <w:bCs/>
          <w:szCs w:val="21"/>
        </w:rPr>
        <w:t>,</w:t>
      </w:r>
      <w:r>
        <w:rPr>
          <w:rFonts w:hint="eastAsia" w:ascii="宋体" w:hAnsi="宋体"/>
          <w:b/>
          <w:bCs/>
          <w:szCs w:val="21"/>
        </w:rPr>
        <w:t>评标委员会应直接判定其投标报价低于成本价投标。资格预审项目</w:t>
      </w:r>
      <w:r>
        <w:rPr>
          <w:rFonts w:ascii="宋体" w:hAnsi="宋体"/>
          <w:b/>
          <w:bCs/>
          <w:szCs w:val="21"/>
        </w:rPr>
        <w:t>A=6</w:t>
      </w:r>
      <w:r>
        <w:rPr>
          <w:rFonts w:hint="eastAsia" w:ascii="宋体" w:hAnsi="宋体"/>
          <w:b/>
          <w:bCs/>
          <w:szCs w:val="21"/>
        </w:rPr>
        <w:t>，</w:t>
      </w:r>
      <w:r>
        <w:rPr>
          <w:rFonts w:hint="eastAsia" w:ascii="宋体" w:hAnsi="宋体"/>
          <w:b/>
          <w:bCs/>
          <w:szCs w:val="21"/>
          <w:highlight w:val="none"/>
        </w:rPr>
        <w:t>资格后审项目</w:t>
      </w:r>
      <w:r>
        <w:rPr>
          <w:rFonts w:ascii="宋体" w:hAnsi="宋体"/>
          <w:b/>
          <w:bCs/>
          <w:szCs w:val="21"/>
          <w:highlight w:val="none"/>
        </w:rPr>
        <w:t>A=5</w:t>
      </w:r>
      <w:r>
        <w:rPr>
          <w:rFonts w:hint="eastAsia" w:ascii="宋体" w:hAnsi="宋体"/>
          <w:b/>
          <w:bCs/>
          <w:szCs w:val="21"/>
          <w:highlight w:val="none"/>
        </w:rPr>
        <w:t>。</w:t>
      </w:r>
    </w:p>
    <w:p>
      <w:pPr>
        <w:spacing w:line="440" w:lineRule="exact"/>
        <w:ind w:firstLine="420" w:firstLineChars="200"/>
        <w:rPr>
          <w:rFonts w:ascii="宋体"/>
          <w:szCs w:val="21"/>
        </w:rPr>
      </w:pPr>
      <w:r>
        <w:rPr>
          <w:szCs w:val="21"/>
        </w:rPr>
        <w:t>C4.2</w:t>
      </w:r>
      <w:r>
        <w:rPr>
          <w:rFonts w:hint="eastAsia" w:ascii="宋体" w:hAnsi="宋体"/>
          <w:szCs w:val="21"/>
        </w:rPr>
        <w:t>投标报价平均值是指经初步评审合格的投标人的投标报价算术平均值。经初步评审合格的投标人为</w:t>
      </w:r>
      <w:r>
        <w:rPr>
          <w:rFonts w:ascii="宋体" w:hAnsi="宋体"/>
          <w:szCs w:val="21"/>
        </w:rPr>
        <w:t>6</w:t>
      </w:r>
      <w:r>
        <w:rPr>
          <w:rFonts w:hint="eastAsia" w:ascii="宋体" w:hAnsi="宋体"/>
          <w:szCs w:val="21"/>
        </w:rPr>
        <w:t>家及以下时，其投标报价全部参与计算算术平均值</w:t>
      </w:r>
      <w:r>
        <w:rPr>
          <w:rFonts w:hint="eastAsia" w:ascii="宋体" w:cs="宋体"/>
          <w:szCs w:val="21"/>
        </w:rPr>
        <w:t>；</w:t>
      </w:r>
      <w:r>
        <w:rPr>
          <w:rFonts w:hint="eastAsia" w:ascii="宋体" w:hAnsi="宋体"/>
          <w:szCs w:val="21"/>
        </w:rPr>
        <w:t>经初步评审合格的投标人为</w:t>
      </w:r>
      <w:r>
        <w:rPr>
          <w:rFonts w:ascii="宋体" w:hAnsi="宋体"/>
          <w:szCs w:val="21"/>
        </w:rPr>
        <w:t>7-13</w:t>
      </w:r>
      <w:r>
        <w:rPr>
          <w:rFonts w:hint="eastAsia" w:ascii="宋体" w:hAnsi="宋体"/>
          <w:szCs w:val="21"/>
        </w:rPr>
        <w:t>家时，去掉其中</w:t>
      </w:r>
      <w:r>
        <w:rPr>
          <w:rFonts w:ascii="宋体" w:hAnsi="宋体"/>
          <w:szCs w:val="21"/>
        </w:rPr>
        <w:t>1</w:t>
      </w:r>
      <w:r>
        <w:rPr>
          <w:rFonts w:hint="eastAsia" w:ascii="宋体" w:hAnsi="宋体"/>
          <w:szCs w:val="21"/>
        </w:rPr>
        <w:t>个最高投标价后计算算术平均值；经初步评审合格的投标人为</w:t>
      </w:r>
      <w:r>
        <w:rPr>
          <w:rFonts w:ascii="宋体" w:hAnsi="宋体"/>
          <w:szCs w:val="21"/>
        </w:rPr>
        <w:t>14-20</w:t>
      </w:r>
      <w:r>
        <w:rPr>
          <w:rFonts w:hint="eastAsia" w:ascii="宋体" w:hAnsi="宋体"/>
          <w:szCs w:val="21"/>
        </w:rPr>
        <w:t>家时，去掉其中1个最低和2个最高投标价后计算算术平均值；经初步评审合格的投标人为</w:t>
      </w:r>
      <w:r>
        <w:rPr>
          <w:rFonts w:ascii="宋体" w:hAnsi="宋体"/>
          <w:szCs w:val="21"/>
        </w:rPr>
        <w:t>21-27</w:t>
      </w:r>
      <w:r>
        <w:rPr>
          <w:rFonts w:hint="eastAsia" w:ascii="宋体" w:hAnsi="宋体"/>
          <w:szCs w:val="21"/>
        </w:rPr>
        <w:t>家时，去掉其中1个最低和3个最高投标价后计算算术平均值；经初步评审合格的投标人为</w:t>
      </w:r>
      <w:r>
        <w:rPr>
          <w:rFonts w:ascii="宋体" w:hAnsi="宋体"/>
          <w:szCs w:val="21"/>
        </w:rPr>
        <w:t>28-34</w:t>
      </w:r>
      <w:r>
        <w:rPr>
          <w:rFonts w:hint="eastAsia" w:ascii="宋体" w:hAnsi="宋体"/>
          <w:szCs w:val="21"/>
        </w:rPr>
        <w:t>家时，去掉其中2个最低和4个最高投标价后计算算术平均值；经初步评审合格的投标人为</w:t>
      </w:r>
      <w:r>
        <w:rPr>
          <w:rFonts w:ascii="宋体" w:hAnsi="宋体"/>
          <w:szCs w:val="21"/>
        </w:rPr>
        <w:t>35</w:t>
      </w:r>
      <w:r>
        <w:rPr>
          <w:rFonts w:hint="eastAsia" w:ascii="宋体" w:hAnsi="宋体"/>
          <w:szCs w:val="21"/>
        </w:rPr>
        <w:t>家及以上时，去掉其中2个最低和5个最高投标价后计算算术平均值。</w:t>
      </w:r>
    </w:p>
    <w:p>
      <w:pPr>
        <w:spacing w:line="480" w:lineRule="exact"/>
        <w:ind w:firstLine="420" w:firstLineChars="200"/>
        <w:rPr>
          <w:rFonts w:ascii="宋体"/>
          <w:szCs w:val="21"/>
        </w:rPr>
      </w:pPr>
    </w:p>
    <w:p>
      <w:pPr>
        <w:pStyle w:val="2"/>
      </w:pPr>
    </w:p>
    <w:p>
      <w:pPr>
        <w:pStyle w:val="2"/>
      </w:pPr>
    </w:p>
    <w:p>
      <w:pPr>
        <w:pStyle w:val="2"/>
      </w:pPr>
    </w:p>
    <w:p>
      <w:pPr>
        <w:pStyle w:val="2"/>
      </w:pPr>
    </w:p>
    <w:p>
      <w:pPr>
        <w:pStyle w:val="2"/>
      </w:pPr>
    </w:p>
    <w:p>
      <w:pPr>
        <w:pStyle w:val="4"/>
      </w:pPr>
      <w:r>
        <w:rPr>
          <w:rFonts w:hint="eastAsia"/>
        </w:rPr>
        <w:t>第四章</w:t>
      </w:r>
      <w:bookmarkEnd w:id="150"/>
      <w:r>
        <w:rPr>
          <w:rFonts w:hint="eastAsia"/>
        </w:rPr>
        <w:t>工程量清单</w:t>
      </w:r>
    </w:p>
    <w:tbl>
      <w:tblPr>
        <w:tblStyle w:val="19"/>
        <w:tblW w:w="8682" w:type="dxa"/>
        <w:tblInd w:w="108" w:type="dxa"/>
        <w:tblLayout w:type="autofit"/>
        <w:tblCellMar>
          <w:top w:w="15" w:type="dxa"/>
          <w:left w:w="108" w:type="dxa"/>
          <w:bottom w:w="0" w:type="dxa"/>
          <w:right w:w="108" w:type="dxa"/>
        </w:tblCellMar>
      </w:tblPr>
      <w:tblGrid>
        <w:gridCol w:w="565"/>
        <w:gridCol w:w="3677"/>
        <w:gridCol w:w="578"/>
        <w:gridCol w:w="1276"/>
        <w:gridCol w:w="1183"/>
        <w:gridCol w:w="1181"/>
        <w:gridCol w:w="222"/>
      </w:tblGrid>
      <w:tr>
        <w:tblPrEx>
          <w:tblCellMar>
            <w:top w:w="15" w:type="dxa"/>
            <w:left w:w="108" w:type="dxa"/>
            <w:bottom w:w="0" w:type="dxa"/>
            <w:right w:w="108" w:type="dxa"/>
          </w:tblCellMar>
        </w:tblPrEx>
        <w:trPr>
          <w:gridAfter w:val="1"/>
          <w:wAfter w:w="222" w:type="dxa"/>
          <w:trHeight w:val="600" w:hRule="atLeast"/>
        </w:trPr>
        <w:tc>
          <w:tcPr>
            <w:tcW w:w="8460" w:type="dxa"/>
            <w:gridSpan w:val="6"/>
            <w:tcBorders>
              <w:top w:val="nil"/>
              <w:left w:val="nil"/>
              <w:bottom w:val="nil"/>
              <w:right w:val="nil"/>
            </w:tcBorders>
            <w:shd w:val="clear" w:color="auto" w:fill="auto"/>
            <w:noWrap/>
            <w:vAlign w:val="center"/>
          </w:tcPr>
          <w:p>
            <w:pPr>
              <w:widowControl/>
              <w:jc w:val="center"/>
              <w:rPr>
                <w:rFonts w:ascii="等线" w:hAnsi="等线" w:eastAsia="等线" w:cs="宋体"/>
                <w:b/>
                <w:bCs/>
                <w:color w:val="000000"/>
                <w:kern w:val="0"/>
                <w:sz w:val="28"/>
                <w:szCs w:val="28"/>
              </w:rPr>
            </w:pPr>
            <w:r>
              <w:rPr>
                <w:rFonts w:hint="eastAsia" w:ascii="等线" w:hAnsi="等线" w:eastAsia="等线" w:cs="宋体"/>
                <w:b/>
                <w:bCs/>
                <w:color w:val="000000"/>
                <w:kern w:val="0"/>
                <w:sz w:val="28"/>
                <w:szCs w:val="28"/>
              </w:rPr>
              <w:t>泰州职业技术学院医学院外墙真石漆维修工程量清单</w:t>
            </w:r>
          </w:p>
        </w:tc>
      </w:tr>
      <w:tr>
        <w:tblPrEx>
          <w:tblCellMar>
            <w:top w:w="15" w:type="dxa"/>
            <w:left w:w="108" w:type="dxa"/>
            <w:bottom w:w="0" w:type="dxa"/>
            <w:right w:w="108" w:type="dxa"/>
          </w:tblCellMar>
        </w:tblPrEx>
        <w:trPr>
          <w:gridAfter w:val="1"/>
          <w:wAfter w:w="222" w:type="dxa"/>
          <w:trHeight w:val="600" w:hRule="atLeast"/>
        </w:trPr>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序号</w:t>
            </w:r>
          </w:p>
        </w:tc>
        <w:tc>
          <w:tcPr>
            <w:tcW w:w="36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项目名称</w:t>
            </w:r>
          </w:p>
        </w:tc>
        <w:tc>
          <w:tcPr>
            <w:tcW w:w="5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单位</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工程量</w:t>
            </w:r>
            <w:r>
              <w:rPr>
                <w:rFonts w:hint="eastAsia" w:ascii="等线" w:hAnsi="等线" w:eastAsia="等线" w:cs="宋体"/>
                <w:b/>
                <w:bCs/>
                <w:color w:val="000000"/>
                <w:kern w:val="0"/>
                <w:sz w:val="22"/>
                <w:szCs w:val="22"/>
              </w:rPr>
              <w:br w:type="textWrapping"/>
            </w:r>
            <w:r>
              <w:rPr>
                <w:rFonts w:hint="eastAsia" w:ascii="等线" w:hAnsi="等线" w:eastAsia="等线" w:cs="宋体"/>
                <w:b/>
                <w:bCs/>
                <w:color w:val="000000"/>
                <w:kern w:val="0"/>
                <w:sz w:val="22"/>
                <w:szCs w:val="22"/>
              </w:rPr>
              <w:t>（m2)</w:t>
            </w:r>
          </w:p>
        </w:tc>
        <w:tc>
          <w:tcPr>
            <w:tcW w:w="11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22"/>
                <w:szCs w:val="22"/>
              </w:rPr>
            </w:pPr>
            <w:r>
              <w:rPr>
                <w:rFonts w:hint="eastAsia" w:ascii="宋体" w:hAnsi="宋体" w:cs="宋体"/>
                <w:b/>
                <w:bCs/>
                <w:color w:val="000000" w:themeColor="text1"/>
              </w:rPr>
              <w:t>全费用</w:t>
            </w:r>
            <w:r>
              <w:rPr>
                <w:rFonts w:ascii="宋体" w:hAnsi="宋体" w:cs="宋体"/>
                <w:b/>
                <w:bCs/>
                <w:color w:val="000000" w:themeColor="text1"/>
              </w:rPr>
              <w:t>综合单价</w:t>
            </w:r>
            <w:r>
              <w:rPr>
                <w:rFonts w:hint="eastAsia" w:ascii="等线" w:hAnsi="等线" w:eastAsia="等线" w:cs="宋体"/>
                <w:b/>
                <w:bCs/>
                <w:color w:val="000000"/>
                <w:kern w:val="0"/>
                <w:sz w:val="22"/>
                <w:szCs w:val="22"/>
              </w:rPr>
              <w:br w:type="textWrapping"/>
            </w:r>
            <w:r>
              <w:rPr>
                <w:rFonts w:hint="eastAsia" w:ascii="等线" w:hAnsi="等线" w:eastAsia="等线" w:cs="宋体"/>
                <w:b/>
                <w:bCs/>
                <w:color w:val="000000"/>
                <w:kern w:val="0"/>
                <w:sz w:val="22"/>
                <w:szCs w:val="22"/>
              </w:rPr>
              <w:t>(元/m2)</w:t>
            </w:r>
          </w:p>
        </w:tc>
        <w:tc>
          <w:tcPr>
            <w:tcW w:w="11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合  价</w:t>
            </w:r>
            <w:r>
              <w:rPr>
                <w:rFonts w:hint="eastAsia" w:ascii="等线" w:hAnsi="等线" w:eastAsia="等线" w:cs="宋体"/>
                <w:b/>
                <w:bCs/>
                <w:color w:val="000000"/>
                <w:kern w:val="0"/>
                <w:sz w:val="22"/>
                <w:szCs w:val="22"/>
              </w:rPr>
              <w:br w:type="textWrapping"/>
            </w:r>
            <w:r>
              <w:rPr>
                <w:rFonts w:hint="eastAsia" w:ascii="等线" w:hAnsi="等线" w:eastAsia="等线" w:cs="宋体"/>
                <w:b/>
                <w:bCs/>
                <w:color w:val="000000"/>
                <w:kern w:val="0"/>
                <w:sz w:val="22"/>
                <w:szCs w:val="22"/>
              </w:rPr>
              <w:t>(元）</w:t>
            </w:r>
          </w:p>
        </w:tc>
      </w:tr>
      <w:tr>
        <w:tblPrEx>
          <w:tblCellMar>
            <w:top w:w="15" w:type="dxa"/>
            <w:left w:w="108" w:type="dxa"/>
            <w:bottom w:w="0" w:type="dxa"/>
            <w:right w:w="108" w:type="dxa"/>
          </w:tblCellMar>
        </w:tblPrEx>
        <w:trPr>
          <w:gridAfter w:val="1"/>
          <w:wAfter w:w="222" w:type="dxa"/>
          <w:trHeight w:val="600" w:hRule="atLeast"/>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铲除原有墙面涂料至基层</w:t>
            </w:r>
          </w:p>
        </w:tc>
        <w:tc>
          <w:tcPr>
            <w:tcW w:w="57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m2</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300</w:t>
            </w:r>
          </w:p>
        </w:tc>
        <w:tc>
          <w:tcPr>
            <w:tcW w:w="1183"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15" w:type="dxa"/>
            <w:left w:w="108" w:type="dxa"/>
            <w:bottom w:w="0" w:type="dxa"/>
            <w:right w:w="108" w:type="dxa"/>
          </w:tblCellMar>
        </w:tblPrEx>
        <w:trPr>
          <w:gridAfter w:val="1"/>
          <w:wAfter w:w="222" w:type="dxa"/>
          <w:trHeight w:val="600" w:hRule="atLeast"/>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恢复安装水泥压力板</w:t>
            </w:r>
          </w:p>
        </w:tc>
        <w:tc>
          <w:tcPr>
            <w:tcW w:w="57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m2</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1183"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15" w:type="dxa"/>
            <w:left w:w="108" w:type="dxa"/>
            <w:bottom w:w="0" w:type="dxa"/>
            <w:right w:w="108" w:type="dxa"/>
          </w:tblCellMar>
        </w:tblPrEx>
        <w:trPr>
          <w:gridAfter w:val="1"/>
          <w:wAfter w:w="222" w:type="dxa"/>
          <w:trHeight w:val="600" w:hRule="atLeast"/>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滚刷透明防潮抗碱底漆2遍</w:t>
            </w:r>
          </w:p>
        </w:tc>
        <w:tc>
          <w:tcPr>
            <w:tcW w:w="57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m2</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300</w:t>
            </w:r>
          </w:p>
        </w:tc>
        <w:tc>
          <w:tcPr>
            <w:tcW w:w="1183"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15" w:type="dxa"/>
            <w:left w:w="108" w:type="dxa"/>
            <w:bottom w:w="0" w:type="dxa"/>
            <w:right w:w="108" w:type="dxa"/>
          </w:tblCellMar>
        </w:tblPrEx>
        <w:trPr>
          <w:gridAfter w:val="1"/>
          <w:wAfter w:w="222" w:type="dxa"/>
          <w:trHeight w:val="600" w:hRule="atLeast"/>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喷涂真石漆（分2遍，总厚度3mm)</w:t>
            </w:r>
          </w:p>
        </w:tc>
        <w:tc>
          <w:tcPr>
            <w:tcW w:w="57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m2</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300</w:t>
            </w:r>
          </w:p>
        </w:tc>
        <w:tc>
          <w:tcPr>
            <w:tcW w:w="1183"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15" w:type="dxa"/>
            <w:left w:w="108" w:type="dxa"/>
            <w:bottom w:w="0" w:type="dxa"/>
            <w:right w:w="108" w:type="dxa"/>
          </w:tblCellMar>
        </w:tblPrEx>
        <w:trPr>
          <w:gridAfter w:val="1"/>
          <w:wAfter w:w="222" w:type="dxa"/>
          <w:trHeight w:val="600" w:hRule="atLeast"/>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喷涂防水罩面剂2遍</w:t>
            </w:r>
          </w:p>
        </w:tc>
        <w:tc>
          <w:tcPr>
            <w:tcW w:w="57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m2</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300</w:t>
            </w:r>
          </w:p>
        </w:tc>
        <w:tc>
          <w:tcPr>
            <w:tcW w:w="1183"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15" w:type="dxa"/>
            <w:left w:w="108" w:type="dxa"/>
            <w:bottom w:w="0" w:type="dxa"/>
            <w:right w:w="108" w:type="dxa"/>
          </w:tblCellMar>
        </w:tblPrEx>
        <w:trPr>
          <w:gridAfter w:val="1"/>
          <w:wAfter w:w="222" w:type="dxa"/>
          <w:trHeight w:val="600" w:hRule="atLeast"/>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3677"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脚手架或机械吊篮费用</w:t>
            </w:r>
          </w:p>
        </w:tc>
        <w:tc>
          <w:tcPr>
            <w:tcW w:w="57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83"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15" w:type="dxa"/>
            <w:left w:w="108" w:type="dxa"/>
            <w:bottom w:w="0" w:type="dxa"/>
            <w:right w:w="108" w:type="dxa"/>
          </w:tblCellMar>
        </w:tblPrEx>
        <w:trPr>
          <w:gridAfter w:val="1"/>
          <w:wAfter w:w="222" w:type="dxa"/>
          <w:trHeight w:val="600" w:hRule="atLeast"/>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6714"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总        价</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15" w:type="dxa"/>
            <w:left w:w="108" w:type="dxa"/>
            <w:bottom w:w="0" w:type="dxa"/>
            <w:right w:w="108" w:type="dxa"/>
          </w:tblCellMar>
        </w:tblPrEx>
        <w:trPr>
          <w:gridAfter w:val="1"/>
          <w:wAfter w:w="222" w:type="dxa"/>
          <w:trHeight w:val="298" w:hRule="atLeast"/>
        </w:trPr>
        <w:tc>
          <w:tcPr>
            <w:tcW w:w="8460" w:type="dxa"/>
            <w:gridSpan w:val="6"/>
            <w:vMerge w:val="restart"/>
            <w:tcBorders>
              <w:top w:val="single" w:color="auto" w:sz="4" w:space="0"/>
              <w:left w:val="nil"/>
              <w:bottom w:val="nil"/>
              <w:right w:val="nil"/>
            </w:tcBorders>
            <w:shd w:val="clear" w:color="auto" w:fill="auto"/>
          </w:tcPr>
          <w:p>
            <w:pPr>
              <w:rPr>
                <w:rFonts w:ascii="等线" w:hAnsi="等线" w:eastAsia="等线" w:cs="宋体"/>
                <w:color w:val="000000"/>
                <w:kern w:val="0"/>
                <w:sz w:val="22"/>
                <w:szCs w:val="22"/>
              </w:rPr>
            </w:pPr>
            <w:r>
              <w:rPr>
                <w:rFonts w:hint="eastAsia" w:ascii="等线" w:hAnsi="等线" w:eastAsia="等线" w:cs="宋体"/>
                <w:color w:val="000000"/>
                <w:kern w:val="0"/>
                <w:sz w:val="22"/>
                <w:szCs w:val="22"/>
              </w:rPr>
              <w:t>备注：1、以上工程量为暂估价，具体工程量请各投标单位在勘探现场时自行测量；</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 xml:space="preserve">    </w:t>
            </w:r>
            <w:r>
              <w:rPr>
                <w:rFonts w:ascii="等线" w:hAnsi="等线" w:eastAsia="等线" w:cs="宋体"/>
                <w:color w:val="000000"/>
                <w:kern w:val="0"/>
                <w:sz w:val="22"/>
                <w:szCs w:val="22"/>
              </w:rPr>
              <w:t xml:space="preserve"> </w:t>
            </w:r>
            <w:r>
              <w:rPr>
                <w:rFonts w:hint="eastAsia" w:ascii="等线" w:hAnsi="等线" w:eastAsia="等线" w:cs="宋体"/>
                <w:color w:val="000000"/>
                <w:kern w:val="0"/>
                <w:sz w:val="22"/>
                <w:szCs w:val="22"/>
              </w:rPr>
              <w:t xml:space="preserve"> 2、无论选择脚手架施工工艺还是吊篮施工工艺，都必须符合国家相关规定和要求；</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 xml:space="preserve">     </w:t>
            </w:r>
            <w:r>
              <w:rPr>
                <w:rFonts w:ascii="等线" w:hAnsi="等线" w:eastAsia="等线" w:cs="宋体"/>
                <w:color w:val="000000"/>
                <w:kern w:val="0"/>
                <w:sz w:val="22"/>
                <w:szCs w:val="22"/>
              </w:rPr>
              <w:t xml:space="preserve"> </w:t>
            </w:r>
            <w:r>
              <w:rPr>
                <w:rFonts w:hint="eastAsia" w:ascii="等线" w:hAnsi="等线" w:eastAsia="等线" w:cs="宋体"/>
                <w:color w:val="000000"/>
                <w:kern w:val="0"/>
                <w:sz w:val="22"/>
                <w:szCs w:val="22"/>
              </w:rPr>
              <w:t>3、真石漆、底漆的品牌为“多乐士”，分隔缝及颜色和原墙面一样。</w:t>
            </w:r>
            <w:r>
              <w:rPr>
                <w:rFonts w:hint="eastAsia" w:ascii="等线" w:hAnsi="等线" w:eastAsia="等线" w:cs="宋体"/>
                <w:color w:val="000000"/>
                <w:kern w:val="0"/>
                <w:sz w:val="22"/>
                <w:szCs w:val="22"/>
              </w:rPr>
              <w:br w:type="textWrapping"/>
            </w:r>
            <w:r>
              <w:rPr>
                <w:rFonts w:ascii="等线" w:hAnsi="等线" w:eastAsia="等线" w:cs="宋体"/>
                <w:color w:val="000000"/>
                <w:kern w:val="0"/>
                <w:sz w:val="22"/>
                <w:szCs w:val="22"/>
              </w:rPr>
              <w:t xml:space="preserve">      4</w:t>
            </w:r>
            <w:r>
              <w:rPr>
                <w:rFonts w:hint="eastAsia" w:ascii="等线" w:hAnsi="等线" w:eastAsia="等线" w:cs="宋体"/>
                <w:color w:val="000000"/>
                <w:kern w:val="0"/>
                <w:sz w:val="22"/>
                <w:szCs w:val="22"/>
              </w:rPr>
              <w:t>、税率按国家最新标准9%（增值税专用发票）。</w:t>
            </w:r>
          </w:p>
          <w:p>
            <w:pPr>
              <w:ind w:firstLine="660" w:firstLineChars="300"/>
              <w:rPr>
                <w:rFonts w:ascii="等线" w:hAnsi="等线" w:eastAsia="等线" w:cs="宋体"/>
                <w:color w:val="000000"/>
                <w:kern w:val="0"/>
                <w:sz w:val="22"/>
                <w:szCs w:val="22"/>
              </w:rPr>
            </w:pPr>
            <w:r>
              <w:rPr>
                <w:rFonts w:ascii="等线" w:hAnsi="等线" w:eastAsia="等线" w:cs="宋体"/>
                <w:color w:val="000000"/>
                <w:kern w:val="0"/>
                <w:sz w:val="22"/>
                <w:szCs w:val="22"/>
              </w:rPr>
              <w:t>5、上表全费用综合单价已经考虑了施工中的一切</w:t>
            </w:r>
            <w:r>
              <w:rPr>
                <w:rFonts w:hint="eastAsia" w:ascii="等线" w:hAnsi="等线" w:eastAsia="等线" w:cs="宋体"/>
                <w:color w:val="000000"/>
                <w:kern w:val="0"/>
                <w:sz w:val="22"/>
                <w:szCs w:val="22"/>
              </w:rPr>
              <w:t>因</w:t>
            </w:r>
            <w:r>
              <w:rPr>
                <w:rFonts w:ascii="等线" w:hAnsi="等线" w:eastAsia="等线" w:cs="宋体"/>
                <w:color w:val="000000"/>
                <w:kern w:val="0"/>
                <w:sz w:val="22"/>
                <w:szCs w:val="22"/>
              </w:rPr>
              <w:t>素</w:t>
            </w:r>
            <w:r>
              <w:rPr>
                <w:rFonts w:hint="eastAsia" w:ascii="等线" w:hAnsi="等线" w:eastAsia="等线" w:cs="宋体"/>
                <w:color w:val="000000"/>
                <w:kern w:val="0"/>
                <w:sz w:val="22"/>
                <w:szCs w:val="22"/>
              </w:rPr>
              <w:t>，包含现场施工水电费</w:t>
            </w:r>
            <w:r>
              <w:rPr>
                <w:rFonts w:ascii="等线" w:hAnsi="等线" w:eastAsia="等线" w:cs="宋体"/>
                <w:color w:val="000000"/>
                <w:kern w:val="0"/>
                <w:sz w:val="22"/>
                <w:szCs w:val="22"/>
              </w:rPr>
              <w:t>。</w:t>
            </w:r>
          </w:p>
          <w:p>
            <w:pPr>
              <w:widowControl/>
              <w:jc w:val="left"/>
              <w:rPr>
                <w:rFonts w:ascii="等线" w:hAnsi="等线" w:eastAsia="等线" w:cs="宋体"/>
                <w:color w:val="000000"/>
                <w:kern w:val="0"/>
                <w:sz w:val="22"/>
                <w:szCs w:val="22"/>
              </w:rPr>
            </w:pPr>
          </w:p>
          <w:p>
            <w:pPr>
              <w:widowControl/>
              <w:jc w:val="left"/>
              <w:rPr>
                <w:rFonts w:ascii="等线" w:hAnsi="等线" w:eastAsia="等线" w:cs="宋体"/>
                <w:color w:val="000000"/>
                <w:kern w:val="0"/>
                <w:sz w:val="22"/>
                <w:szCs w:val="22"/>
              </w:rPr>
            </w:pPr>
          </w:p>
          <w:p>
            <w:pPr>
              <w:widowControl/>
              <w:jc w:val="left"/>
              <w:rPr>
                <w:rFonts w:ascii="等线" w:hAnsi="等线" w:eastAsia="等线" w:cs="宋体"/>
                <w:color w:val="000000"/>
                <w:kern w:val="0"/>
                <w:sz w:val="22"/>
                <w:szCs w:val="22"/>
              </w:rPr>
            </w:pPr>
          </w:p>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 xml:space="preserve">                                  投标人：(盖章)</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 xml:space="preserve">                                 法定代表人或其委托代理人：(签字或盖章)</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 xml:space="preserve">                                                    2022年  月  日</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 xml:space="preserve">        </w:t>
            </w:r>
          </w:p>
        </w:tc>
      </w:tr>
      <w:tr>
        <w:tblPrEx>
          <w:tblCellMar>
            <w:top w:w="15" w:type="dxa"/>
            <w:left w:w="108" w:type="dxa"/>
            <w:bottom w:w="0" w:type="dxa"/>
            <w:right w:w="108" w:type="dxa"/>
          </w:tblCellMar>
        </w:tblPrEx>
        <w:trPr>
          <w:trHeight w:val="276" w:hRule="atLeast"/>
        </w:trPr>
        <w:tc>
          <w:tcPr>
            <w:tcW w:w="8460" w:type="dxa"/>
            <w:gridSpan w:val="6"/>
            <w:vMerge w:val="continue"/>
            <w:tcBorders>
              <w:top w:val="single" w:color="auto" w:sz="4" w:space="0"/>
              <w:left w:val="nil"/>
              <w:bottom w:val="nil"/>
              <w:right w:val="nil"/>
            </w:tcBorders>
            <w:vAlign w:val="center"/>
          </w:tcPr>
          <w:p>
            <w:pPr>
              <w:widowControl/>
              <w:jc w:val="left"/>
              <w:rPr>
                <w:rFonts w:ascii="等线" w:hAnsi="等线" w:eastAsia="等线" w:cs="宋体"/>
                <w:color w:val="000000"/>
                <w:kern w:val="0"/>
                <w:sz w:val="22"/>
                <w:szCs w:val="22"/>
              </w:rPr>
            </w:pPr>
          </w:p>
        </w:tc>
        <w:tc>
          <w:tcPr>
            <w:tcW w:w="222" w:type="dxa"/>
            <w:tcBorders>
              <w:top w:val="nil"/>
              <w:left w:val="nil"/>
              <w:bottom w:val="nil"/>
              <w:right w:val="nil"/>
            </w:tcBorders>
            <w:shd w:val="clear" w:color="auto" w:fill="auto"/>
            <w:noWrap/>
            <w:vAlign w:val="center"/>
          </w:tcPr>
          <w:p>
            <w:pPr>
              <w:widowControl/>
              <w:jc w:val="left"/>
              <w:rPr>
                <w:rFonts w:ascii="等线" w:hAnsi="等线" w:eastAsia="等线" w:cs="宋体"/>
                <w:color w:val="000000"/>
                <w:kern w:val="0"/>
                <w:sz w:val="22"/>
                <w:szCs w:val="22"/>
              </w:rPr>
            </w:pPr>
          </w:p>
        </w:tc>
      </w:tr>
      <w:tr>
        <w:tblPrEx>
          <w:tblCellMar>
            <w:top w:w="15" w:type="dxa"/>
            <w:left w:w="108" w:type="dxa"/>
            <w:bottom w:w="0" w:type="dxa"/>
            <w:right w:w="108" w:type="dxa"/>
          </w:tblCellMar>
        </w:tblPrEx>
        <w:trPr>
          <w:trHeight w:val="2640" w:hRule="atLeast"/>
        </w:trPr>
        <w:tc>
          <w:tcPr>
            <w:tcW w:w="8460" w:type="dxa"/>
            <w:gridSpan w:val="6"/>
            <w:vMerge w:val="continue"/>
            <w:tcBorders>
              <w:top w:val="single" w:color="auto" w:sz="4" w:space="0"/>
              <w:left w:val="nil"/>
              <w:bottom w:val="nil"/>
              <w:right w:val="nil"/>
            </w:tcBorders>
            <w:vAlign w:val="center"/>
          </w:tcPr>
          <w:p>
            <w:pPr>
              <w:widowControl/>
              <w:jc w:val="left"/>
              <w:rPr>
                <w:rFonts w:ascii="等线" w:hAnsi="等线" w:eastAsia="等线" w:cs="宋体"/>
                <w:color w:val="000000"/>
                <w:kern w:val="0"/>
                <w:sz w:val="22"/>
                <w:szCs w:val="22"/>
              </w:rPr>
            </w:pPr>
          </w:p>
        </w:tc>
        <w:tc>
          <w:tcPr>
            <w:tcW w:w="222" w:type="dxa"/>
            <w:tcBorders>
              <w:top w:val="nil"/>
              <w:left w:val="nil"/>
              <w:bottom w:val="nil"/>
              <w:right w:val="nil"/>
            </w:tcBorders>
            <w:shd w:val="clear" w:color="auto" w:fill="auto"/>
            <w:noWrap/>
            <w:vAlign w:val="center"/>
          </w:tcPr>
          <w:p>
            <w:pPr>
              <w:widowControl/>
              <w:jc w:val="left"/>
              <w:rPr>
                <w:rFonts w:eastAsia="Times New Roman"/>
                <w:kern w:val="0"/>
                <w:sz w:val="20"/>
                <w:szCs w:val="20"/>
              </w:rPr>
            </w:pPr>
          </w:p>
        </w:tc>
      </w:tr>
    </w:tbl>
    <w:p/>
    <w:p>
      <w:pPr>
        <w:pStyle w:val="4"/>
        <w:pageBreakBefore/>
      </w:pPr>
      <w:bookmarkStart w:id="185" w:name="_Toc275956209"/>
      <w:r>
        <w:rPr>
          <w:rFonts w:hint="eastAsia"/>
        </w:rPr>
        <w:t>第五章</w:t>
      </w:r>
      <w:bookmarkEnd w:id="185"/>
      <w:bookmarkStart w:id="186" w:name="_Toc275956215"/>
      <w:r>
        <w:rPr>
          <w:rFonts w:hint="eastAsia"/>
        </w:rPr>
        <w:t>投标文件格式</w:t>
      </w:r>
      <w:bookmarkEnd w:id="186"/>
    </w:p>
    <w:p>
      <w:pPr>
        <w:spacing w:line="400" w:lineRule="exact"/>
      </w:pPr>
    </w:p>
    <w:p>
      <w:pPr>
        <w:jc w:val="center"/>
        <w:rPr>
          <w:rFonts w:eastAsia="黑体"/>
          <w:sz w:val="28"/>
          <w:szCs w:val="28"/>
          <w:u w:val="single"/>
        </w:rPr>
      </w:pPr>
    </w:p>
    <w:p>
      <w:pPr>
        <w:ind w:firstLine="1446" w:firstLineChars="400"/>
        <w:rPr>
          <w:rFonts w:eastAsia="黑体"/>
          <w:sz w:val="20"/>
          <w:szCs w:val="20"/>
        </w:rPr>
      </w:pPr>
      <w:r>
        <w:rPr>
          <w:rFonts w:hint="eastAsia" w:eastAsia="黑体"/>
          <w:b/>
          <w:bCs/>
          <w:sz w:val="36"/>
          <w:szCs w:val="36"/>
          <w:u w:val="single"/>
        </w:rPr>
        <w:t>泰州职业技术学院医学院外墙维修工程</w:t>
      </w:r>
    </w:p>
    <w:p>
      <w:pPr>
        <w:rPr>
          <w:rFonts w:eastAsia="黑体"/>
          <w:sz w:val="20"/>
          <w:szCs w:val="20"/>
        </w:rPr>
      </w:pPr>
    </w:p>
    <w:p>
      <w:pPr>
        <w:jc w:val="center"/>
        <w:rPr>
          <w:rFonts w:eastAsia="黑体"/>
          <w:sz w:val="44"/>
          <w:szCs w:val="44"/>
        </w:rPr>
      </w:pPr>
      <w:r>
        <w:rPr>
          <w:rFonts w:hint="eastAsia" w:eastAsia="黑体"/>
          <w:sz w:val="44"/>
          <w:szCs w:val="44"/>
        </w:rPr>
        <w:t>投标文件</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spacing w:line="480" w:lineRule="auto"/>
        <w:jc w:val="center"/>
        <w:rPr>
          <w:rFonts w:eastAsia="黑体"/>
          <w:sz w:val="28"/>
          <w:szCs w:val="28"/>
          <w:u w:val="single"/>
        </w:rPr>
      </w:pPr>
      <w:r>
        <w:rPr>
          <w:rFonts w:hint="eastAsia" w:eastAsia="黑体"/>
          <w:sz w:val="28"/>
          <w:szCs w:val="28"/>
        </w:rPr>
        <w:t>投标人：</w:t>
      </w:r>
      <w:r>
        <w:rPr>
          <w:rFonts w:hint="eastAsia" w:eastAsia="黑体"/>
          <w:sz w:val="28"/>
          <w:szCs w:val="28"/>
          <w:u w:val="single"/>
        </w:rPr>
        <w:t xml:space="preserve">            </w:t>
      </w:r>
      <w:r>
        <w:rPr>
          <w:rFonts w:hint="eastAsia" w:eastAsia="黑体"/>
          <w:sz w:val="28"/>
          <w:szCs w:val="28"/>
        </w:rPr>
        <w:t xml:space="preserve"> （盖单位章）</w:t>
      </w:r>
    </w:p>
    <w:p>
      <w:pPr>
        <w:spacing w:line="480" w:lineRule="auto"/>
        <w:jc w:val="center"/>
        <w:rPr>
          <w:rFonts w:eastAsia="黑体"/>
          <w:sz w:val="28"/>
          <w:szCs w:val="28"/>
        </w:rPr>
      </w:pPr>
      <w:r>
        <w:rPr>
          <w:rFonts w:hint="eastAsia" w:eastAsia="黑体"/>
          <w:sz w:val="28"/>
          <w:szCs w:val="28"/>
        </w:rPr>
        <w:t>法定代表人或其委托代理人：</w:t>
      </w:r>
      <w:r>
        <w:rPr>
          <w:rFonts w:hint="eastAsia" w:eastAsia="黑体"/>
          <w:sz w:val="28"/>
          <w:szCs w:val="28"/>
          <w:u w:val="single"/>
        </w:rPr>
        <w:t xml:space="preserve">               </w:t>
      </w:r>
      <w:r>
        <w:rPr>
          <w:rFonts w:hint="eastAsia" w:eastAsia="黑体"/>
          <w:sz w:val="28"/>
          <w:szCs w:val="28"/>
        </w:rPr>
        <w:t>（签字或盖章）</w:t>
      </w:r>
    </w:p>
    <w:p>
      <w:pPr>
        <w:spacing w:line="480" w:lineRule="auto"/>
        <w:jc w:val="center"/>
        <w:rPr>
          <w:rFonts w:eastAsia="黑体"/>
          <w:sz w:val="28"/>
          <w:szCs w:val="28"/>
          <w:u w:val="single"/>
        </w:rPr>
      </w:pPr>
    </w:p>
    <w:p>
      <w:pPr>
        <w:spacing w:line="480" w:lineRule="auto"/>
        <w:jc w:val="center"/>
        <w:rPr>
          <w:rFonts w:eastAsia="黑体"/>
          <w:sz w:val="28"/>
          <w:szCs w:val="28"/>
        </w:rPr>
      </w:pPr>
      <w:r>
        <w:rPr>
          <w:rFonts w:hint="eastAsia" w:eastAsia="黑体"/>
          <w:sz w:val="28"/>
          <w:szCs w:val="28"/>
        </w:rPr>
        <w:t>年月日</w:t>
      </w:r>
    </w:p>
    <w:p>
      <w:pPr>
        <w:spacing w:line="400" w:lineRule="exact"/>
      </w:pPr>
    </w:p>
    <w:p>
      <w:pPr>
        <w:spacing w:line="400" w:lineRule="exact"/>
      </w:pPr>
    </w:p>
    <w:p>
      <w:pPr>
        <w:pStyle w:val="37"/>
      </w:pPr>
      <w:bookmarkStart w:id="187" w:name="_Toc152045787"/>
      <w:bookmarkStart w:id="188" w:name="_Toc241459814"/>
      <w:bookmarkStart w:id="189" w:name="_Toc179632807"/>
      <w:bookmarkStart w:id="190" w:name="_Toc241484766"/>
      <w:bookmarkStart w:id="191" w:name="_Toc275956216"/>
      <w:bookmarkStart w:id="192" w:name="_Toc152042576"/>
      <w:bookmarkStart w:id="193" w:name="_Toc144974856"/>
      <w:r>
        <w:rPr>
          <w:rFonts w:hint="eastAsia"/>
        </w:rPr>
        <w:t>目录</w:t>
      </w:r>
      <w:bookmarkEnd w:id="187"/>
      <w:bookmarkEnd w:id="188"/>
      <w:bookmarkEnd w:id="189"/>
      <w:bookmarkEnd w:id="190"/>
      <w:bookmarkEnd w:id="191"/>
      <w:bookmarkEnd w:id="192"/>
      <w:bookmarkEnd w:id="193"/>
    </w:p>
    <w:p>
      <w:pPr>
        <w:pStyle w:val="37"/>
      </w:pPr>
    </w:p>
    <w:p>
      <w:pPr>
        <w:spacing w:line="540" w:lineRule="exact"/>
      </w:pPr>
      <w:r>
        <w:rPr>
          <w:rFonts w:hint="eastAsia"/>
        </w:rPr>
        <w:t>一、投标函及投标函附录</w:t>
      </w:r>
    </w:p>
    <w:p>
      <w:pPr>
        <w:spacing w:line="540" w:lineRule="exact"/>
      </w:pPr>
      <w:r>
        <w:rPr>
          <w:rFonts w:hint="eastAsia"/>
        </w:rPr>
        <w:t>二、法定代表人身份证明</w:t>
      </w:r>
    </w:p>
    <w:p>
      <w:pPr>
        <w:spacing w:line="540" w:lineRule="exact"/>
      </w:pPr>
      <w:r>
        <w:rPr>
          <w:rFonts w:hint="eastAsia"/>
        </w:rPr>
        <w:t>三、授权委托书</w:t>
      </w:r>
    </w:p>
    <w:p>
      <w:pPr>
        <w:spacing w:line="540" w:lineRule="exact"/>
        <w:rPr>
          <w:color w:val="FF0000"/>
        </w:rPr>
      </w:pPr>
      <w:r>
        <w:rPr>
          <w:rFonts w:hint="eastAsia"/>
        </w:rPr>
        <w:t>四、投标保证金或担保函</w:t>
      </w:r>
    </w:p>
    <w:p>
      <w:pPr>
        <w:spacing w:line="540" w:lineRule="exact"/>
      </w:pPr>
      <w:r>
        <w:rPr>
          <w:rFonts w:hint="eastAsia"/>
        </w:rPr>
        <w:t>五、已标价工程量清单</w:t>
      </w:r>
    </w:p>
    <w:p>
      <w:pPr>
        <w:spacing w:line="540" w:lineRule="exact"/>
      </w:pPr>
      <w:r>
        <w:rPr>
          <w:rFonts w:hint="eastAsia"/>
        </w:rPr>
        <w:t>六、项目经理简历表</w:t>
      </w:r>
    </w:p>
    <w:p>
      <w:pPr>
        <w:spacing w:line="540" w:lineRule="exact"/>
      </w:pPr>
      <w:r>
        <w:rPr>
          <w:rFonts w:hint="eastAsia"/>
        </w:rPr>
        <w:t>七、资格审查资料</w:t>
      </w:r>
    </w:p>
    <w:p>
      <w:pPr>
        <w:spacing w:line="360" w:lineRule="auto"/>
      </w:pPr>
      <w:r>
        <w:rPr>
          <w:rFonts w:hint="eastAsia"/>
        </w:rPr>
        <w:t>（一）投标人基本情况表（附企业法人营业执照、资质证书、企业安全生产许可证、企业基本存款账户开户许可证等）</w:t>
      </w:r>
    </w:p>
    <w:p>
      <w:pPr>
        <w:spacing w:line="360" w:lineRule="auto"/>
      </w:pPr>
      <w:r>
        <w:rPr>
          <w:rFonts w:hint="eastAsia"/>
        </w:rPr>
        <w:t>（二）项目管理机构</w:t>
      </w:r>
    </w:p>
    <w:p>
      <w:pPr>
        <w:spacing w:line="360" w:lineRule="auto"/>
      </w:pPr>
      <w:r>
        <w:rPr>
          <w:rFonts w:hint="eastAsia"/>
        </w:rPr>
        <w:t>项目管理机构组成表</w:t>
      </w:r>
    </w:p>
    <w:p>
      <w:pPr>
        <w:spacing w:line="540" w:lineRule="exact"/>
      </w:pPr>
      <w:r>
        <w:rPr>
          <w:rFonts w:hint="eastAsia"/>
        </w:rPr>
        <w:t>八、投标承诺书</w:t>
      </w:r>
    </w:p>
    <w:p>
      <w:pPr>
        <w:spacing w:line="540" w:lineRule="exact"/>
      </w:pPr>
      <w:r>
        <w:rPr>
          <w:rFonts w:hint="eastAsia"/>
        </w:rPr>
        <w:t>九、其他投标人认为需要提供的材料</w:t>
      </w:r>
    </w:p>
    <w:p>
      <w:pPr>
        <w:spacing w:line="540" w:lineRule="exact"/>
      </w:pPr>
      <w:r>
        <w:rPr>
          <w:kern w:val="0"/>
        </w:rPr>
        <w:br w:type="page"/>
      </w:r>
    </w:p>
    <w:p>
      <w:pPr>
        <w:pStyle w:val="37"/>
        <w:spacing w:before="0"/>
        <w:outlineLvl w:val="0"/>
        <w:rPr>
          <w:rFonts w:ascii="Arial" w:hAnsi="Arial" w:cs="Times New Roman"/>
          <w:b/>
          <w:bCs/>
          <w:sz w:val="32"/>
          <w:szCs w:val="32"/>
        </w:rPr>
      </w:pPr>
      <w:r>
        <w:rPr>
          <w:rFonts w:hint="eastAsia" w:ascii="Arial" w:hAnsi="Arial" w:cs="Times New Roman"/>
          <w:b/>
          <w:bCs/>
          <w:sz w:val="32"/>
          <w:szCs w:val="32"/>
        </w:rPr>
        <w:t>一、投标函及投标函附录</w:t>
      </w:r>
    </w:p>
    <w:p>
      <w:pPr>
        <w:pStyle w:val="33"/>
        <w:spacing w:line="240" w:lineRule="auto"/>
        <w:jc w:val="center"/>
        <w:rPr>
          <w:rFonts w:ascii="Arial" w:hAnsi="Arial"/>
          <w:b/>
          <w:bCs/>
          <w:sz w:val="21"/>
          <w:szCs w:val="21"/>
        </w:rPr>
      </w:pPr>
      <w:bookmarkStart w:id="194" w:name="_Toc152042578"/>
      <w:bookmarkStart w:id="195" w:name="_Toc152045789"/>
      <w:bookmarkStart w:id="196" w:name="_Toc144974858"/>
      <w:bookmarkStart w:id="197" w:name="_Toc179632809"/>
    </w:p>
    <w:p>
      <w:pPr>
        <w:pStyle w:val="33"/>
        <w:numPr>
          <w:ilvl w:val="0"/>
          <w:numId w:val="4"/>
        </w:numPr>
        <w:jc w:val="center"/>
        <w:rPr>
          <w:rFonts w:ascii="Arial" w:hAnsi="Arial"/>
          <w:b/>
          <w:bCs/>
          <w:sz w:val="32"/>
          <w:szCs w:val="32"/>
        </w:rPr>
      </w:pPr>
      <w:r>
        <w:rPr>
          <w:rFonts w:hint="eastAsia" w:ascii="Arial" w:hAnsi="Arial"/>
          <w:b/>
          <w:bCs/>
          <w:sz w:val="32"/>
          <w:szCs w:val="32"/>
        </w:rPr>
        <w:t>投标函</w:t>
      </w:r>
      <w:bookmarkEnd w:id="194"/>
      <w:bookmarkEnd w:id="195"/>
      <w:bookmarkEnd w:id="196"/>
      <w:bookmarkEnd w:id="197"/>
    </w:p>
    <w:p/>
    <w:p>
      <w:pPr>
        <w:spacing w:line="360" w:lineRule="auto"/>
        <w:rPr>
          <w:sz w:val="24"/>
        </w:rPr>
      </w:pPr>
      <w:r>
        <w:rPr>
          <w:rFonts w:hint="eastAsia"/>
          <w:sz w:val="24"/>
          <w:u w:val="single"/>
        </w:rPr>
        <w:t>泰州职业技术学院</w:t>
      </w:r>
      <w:r>
        <w:rPr>
          <w:rFonts w:hint="eastAsia"/>
          <w:sz w:val="24"/>
        </w:rPr>
        <w:t>(招标人名称)：</w:t>
      </w:r>
    </w:p>
    <w:p>
      <w:pPr>
        <w:spacing w:line="360" w:lineRule="auto"/>
        <w:jc w:val="left"/>
        <w:rPr>
          <w:sz w:val="24"/>
          <w:u w:val="single"/>
        </w:rPr>
      </w:pPr>
      <w:r>
        <w:rPr>
          <w:sz w:val="24"/>
        </w:rPr>
        <w:t>1</w:t>
      </w:r>
      <w:r>
        <w:rPr>
          <w:rFonts w:hint="eastAsia"/>
          <w:sz w:val="24"/>
        </w:rPr>
        <w:t>．我方已仔细研究了</w:t>
      </w:r>
      <w:r>
        <w:rPr>
          <w:rFonts w:hint="eastAsia"/>
          <w:sz w:val="24"/>
          <w:u w:val="single"/>
        </w:rPr>
        <w:t>泰州职业技术学院医学院外墙维修工程</w:t>
      </w:r>
      <w:r>
        <w:rPr>
          <w:rFonts w:hint="eastAsia"/>
          <w:sz w:val="24"/>
        </w:rPr>
        <w:t>标段施工招标文件的全部内容，愿意以人民币(大写)</w:t>
      </w:r>
      <w:r>
        <w:rPr>
          <w:rFonts w:hint="eastAsia"/>
          <w:sz w:val="24"/>
          <w:u w:val="single"/>
        </w:rPr>
        <w:t xml:space="preserve">       元(</w:t>
      </w:r>
      <w:r>
        <w:rPr>
          <w:sz w:val="24"/>
          <w:u w:val="single"/>
        </w:rPr>
        <w:t>¥</w:t>
      </w:r>
      <w:r>
        <w:rPr>
          <w:rFonts w:hint="eastAsia"/>
          <w:sz w:val="24"/>
          <w:u w:val="single"/>
        </w:rPr>
        <w:t xml:space="preserve">)      </w:t>
      </w:r>
      <w:r>
        <w:rPr>
          <w:rFonts w:hint="eastAsia"/>
          <w:sz w:val="24"/>
        </w:rPr>
        <w:t>的投标总报价，工期</w:t>
      </w:r>
      <w:r>
        <w:rPr>
          <w:rFonts w:hint="eastAsia"/>
          <w:sz w:val="24"/>
          <w:u w:val="single"/>
        </w:rPr>
        <w:t xml:space="preserve">    </w:t>
      </w:r>
      <w:r>
        <w:rPr>
          <w:rFonts w:hint="eastAsia"/>
          <w:sz w:val="24"/>
        </w:rPr>
        <w:t>日历天，按合同约定实施和完成承包工程，修补工程中的任何缺陷，工程质量达到</w:t>
      </w:r>
      <w:r>
        <w:rPr>
          <w:rFonts w:hint="eastAsia"/>
          <w:sz w:val="24"/>
          <w:u w:val="single"/>
        </w:rPr>
        <w:t>合格</w:t>
      </w:r>
      <w:r>
        <w:rPr>
          <w:rFonts w:hint="eastAsia"/>
          <w:sz w:val="24"/>
        </w:rPr>
        <w:t>。</w:t>
      </w:r>
    </w:p>
    <w:p>
      <w:pPr>
        <w:spacing w:line="360" w:lineRule="auto"/>
        <w:ind w:firstLine="480" w:firstLineChars="200"/>
        <w:rPr>
          <w:sz w:val="24"/>
        </w:rPr>
      </w:pPr>
      <w:r>
        <w:rPr>
          <w:sz w:val="24"/>
        </w:rPr>
        <w:t>2</w:t>
      </w:r>
      <w:r>
        <w:rPr>
          <w:rFonts w:hint="eastAsia"/>
          <w:sz w:val="24"/>
        </w:rPr>
        <w:t>．我方承诺在投标有效期内不修改、撤销投标文件。</w:t>
      </w:r>
    </w:p>
    <w:p>
      <w:pPr>
        <w:spacing w:line="360" w:lineRule="auto"/>
        <w:ind w:firstLine="480" w:firstLineChars="200"/>
        <w:rPr>
          <w:sz w:val="24"/>
        </w:rPr>
      </w:pPr>
      <w:r>
        <w:rPr>
          <w:rFonts w:hint="eastAsia"/>
          <w:sz w:val="24"/>
        </w:rPr>
        <w:t>3．如我方中标：</w:t>
      </w:r>
    </w:p>
    <w:p>
      <w:pPr>
        <w:spacing w:line="360" w:lineRule="auto"/>
        <w:ind w:firstLine="424" w:firstLineChars="177"/>
        <w:rPr>
          <w:sz w:val="24"/>
        </w:rPr>
      </w:pPr>
      <w:r>
        <w:rPr>
          <w:rFonts w:hint="eastAsia"/>
          <w:sz w:val="24"/>
        </w:rPr>
        <w:t>(</w:t>
      </w:r>
      <w:r>
        <w:rPr>
          <w:sz w:val="24"/>
        </w:rPr>
        <w:t>1</w:t>
      </w:r>
      <w:r>
        <w:rPr>
          <w:rFonts w:hint="eastAsia"/>
          <w:sz w:val="24"/>
        </w:rPr>
        <w:t>)我方承诺在收到中标通知书后，在中标通知书规定的期限内与你方签订合同。</w:t>
      </w:r>
    </w:p>
    <w:p>
      <w:pPr>
        <w:spacing w:line="360" w:lineRule="auto"/>
        <w:ind w:firstLine="424" w:firstLineChars="177"/>
        <w:rPr>
          <w:sz w:val="24"/>
        </w:rPr>
      </w:pPr>
      <w:r>
        <w:rPr>
          <w:rFonts w:hint="eastAsia"/>
          <w:sz w:val="24"/>
        </w:rPr>
        <w:t>(</w:t>
      </w:r>
      <w:r>
        <w:rPr>
          <w:sz w:val="24"/>
        </w:rPr>
        <w:t>2</w:t>
      </w:r>
      <w:r>
        <w:rPr>
          <w:rFonts w:hint="eastAsia"/>
          <w:sz w:val="24"/>
        </w:rPr>
        <w:t>)随同本投标函递交的投标函附录是本投标函的组成部分，对我方构成约束力。</w:t>
      </w:r>
    </w:p>
    <w:p>
      <w:pPr>
        <w:spacing w:line="360" w:lineRule="auto"/>
        <w:ind w:firstLine="424" w:firstLineChars="177"/>
        <w:rPr>
          <w:sz w:val="24"/>
        </w:rPr>
      </w:pPr>
      <w:r>
        <w:rPr>
          <w:rFonts w:hint="eastAsia"/>
          <w:sz w:val="24"/>
        </w:rPr>
        <w:t>(</w:t>
      </w:r>
      <w:r>
        <w:rPr>
          <w:sz w:val="24"/>
        </w:rPr>
        <w:t>3</w:t>
      </w:r>
      <w:r>
        <w:rPr>
          <w:rFonts w:hint="eastAsia"/>
          <w:sz w:val="24"/>
        </w:rPr>
        <w:t>)我方承诺按照招标文件规定向你方递交履约担保。</w:t>
      </w:r>
    </w:p>
    <w:p>
      <w:pPr>
        <w:spacing w:line="360" w:lineRule="auto"/>
        <w:ind w:firstLine="424" w:firstLineChars="177"/>
        <w:rPr>
          <w:sz w:val="24"/>
        </w:rPr>
      </w:pPr>
      <w:r>
        <w:rPr>
          <w:rFonts w:hint="eastAsia"/>
          <w:sz w:val="24"/>
        </w:rPr>
        <w:t>(</w:t>
      </w:r>
      <w:r>
        <w:rPr>
          <w:sz w:val="24"/>
        </w:rPr>
        <w:t>4</w:t>
      </w:r>
      <w:r>
        <w:rPr>
          <w:rFonts w:hint="eastAsia"/>
          <w:sz w:val="24"/>
        </w:rPr>
        <w:t>)我方承诺在合同约定的期限内完成并移交全部合同工程。</w:t>
      </w:r>
    </w:p>
    <w:p>
      <w:pPr>
        <w:spacing w:line="360" w:lineRule="auto"/>
        <w:ind w:firstLine="480" w:firstLineChars="200"/>
        <w:rPr>
          <w:sz w:val="24"/>
        </w:rPr>
      </w:pPr>
      <w:r>
        <w:rPr>
          <w:rFonts w:hint="eastAsia"/>
          <w:sz w:val="24"/>
        </w:rPr>
        <w:t>4．我方在此声明，所递交的投标文件及有关资料内容完整、真实和准确，且不存在第二章“投标人须知”第</w:t>
      </w:r>
      <w:r>
        <w:rPr>
          <w:sz w:val="24"/>
        </w:rPr>
        <w:t>1.4.3</w:t>
      </w:r>
      <w:r>
        <w:rPr>
          <w:rFonts w:hint="eastAsia"/>
          <w:sz w:val="24"/>
        </w:rPr>
        <w:t>项规定的任何一种情形。</w:t>
      </w:r>
    </w:p>
    <w:p>
      <w:pPr>
        <w:spacing w:line="480" w:lineRule="auto"/>
        <w:ind w:firstLine="4200" w:firstLineChars="1750"/>
        <w:rPr>
          <w:sz w:val="24"/>
        </w:rPr>
      </w:pPr>
    </w:p>
    <w:p>
      <w:pPr>
        <w:spacing w:line="480" w:lineRule="auto"/>
        <w:ind w:firstLine="3400" w:firstLineChars="1417"/>
        <w:rPr>
          <w:sz w:val="24"/>
        </w:rPr>
      </w:pPr>
      <w:r>
        <w:rPr>
          <w:rFonts w:hint="eastAsia"/>
          <w:sz w:val="24"/>
        </w:rPr>
        <w:t>投标人：(盖章)</w:t>
      </w:r>
    </w:p>
    <w:p>
      <w:pPr>
        <w:spacing w:line="480" w:lineRule="auto"/>
        <w:ind w:firstLine="3400" w:firstLineChars="1417"/>
        <w:rPr>
          <w:sz w:val="24"/>
        </w:rPr>
      </w:pPr>
      <w:r>
        <w:rPr>
          <w:rFonts w:hint="eastAsia"/>
          <w:sz w:val="24"/>
        </w:rPr>
        <w:t>法定代表人或其委托代理人：(签字或盖章)</w:t>
      </w:r>
    </w:p>
    <w:p>
      <w:pPr>
        <w:spacing w:line="480" w:lineRule="auto"/>
        <w:ind w:firstLine="3400" w:firstLineChars="1417"/>
        <w:rPr>
          <w:sz w:val="24"/>
        </w:rPr>
      </w:pPr>
      <w:r>
        <w:rPr>
          <w:rFonts w:hint="eastAsia"/>
          <w:sz w:val="24"/>
        </w:rPr>
        <w:t>地址：</w:t>
      </w:r>
    </w:p>
    <w:p>
      <w:pPr>
        <w:spacing w:line="480" w:lineRule="auto"/>
        <w:ind w:firstLine="3400" w:firstLineChars="1417"/>
        <w:rPr>
          <w:sz w:val="24"/>
        </w:rPr>
      </w:pPr>
      <w:r>
        <w:rPr>
          <w:rFonts w:hint="eastAsia"/>
          <w:sz w:val="24"/>
        </w:rPr>
        <w:t>电话：</w:t>
      </w:r>
    </w:p>
    <w:p>
      <w:pPr>
        <w:spacing w:line="480" w:lineRule="auto"/>
        <w:ind w:firstLine="5880" w:firstLineChars="2450"/>
        <w:rPr>
          <w:sz w:val="24"/>
        </w:rPr>
      </w:pPr>
      <w:r>
        <w:rPr>
          <w:rFonts w:hint="eastAsia"/>
          <w:sz w:val="24"/>
        </w:rPr>
        <w:t>2022年  月  日</w:t>
      </w:r>
    </w:p>
    <w:p>
      <w:pPr>
        <w:spacing w:line="440" w:lineRule="exact"/>
        <w:rPr>
          <w:rFonts w:eastAsia="黑体"/>
          <w:color w:val="000000"/>
          <w:szCs w:val="21"/>
        </w:rPr>
      </w:pPr>
    </w:p>
    <w:p>
      <w:pPr>
        <w:spacing w:line="440" w:lineRule="exact"/>
        <w:rPr>
          <w:rFonts w:eastAsia="黑体"/>
          <w:color w:val="000000"/>
          <w:sz w:val="20"/>
          <w:szCs w:val="20"/>
        </w:rPr>
      </w:pPr>
      <w:r>
        <w:rPr>
          <w:rFonts w:eastAsia="黑体"/>
          <w:color w:val="000000"/>
          <w:sz w:val="20"/>
          <w:szCs w:val="20"/>
        </w:rPr>
        <w:br w:type="page"/>
      </w:r>
    </w:p>
    <w:p>
      <w:pPr>
        <w:pStyle w:val="33"/>
        <w:jc w:val="center"/>
        <w:rPr>
          <w:szCs w:val="23"/>
        </w:rPr>
      </w:pPr>
      <w:bookmarkStart w:id="198" w:name="_Toc144974859"/>
      <w:bookmarkStart w:id="199" w:name="_Toc179632810"/>
      <w:bookmarkStart w:id="200" w:name="_Toc152042579"/>
      <w:bookmarkStart w:id="201" w:name="_Toc152045790"/>
    </w:p>
    <w:p>
      <w:pPr>
        <w:pStyle w:val="33"/>
        <w:jc w:val="center"/>
        <w:rPr>
          <w:rFonts w:ascii="Arial" w:hAnsi="Arial"/>
          <w:b/>
          <w:bCs/>
          <w:sz w:val="32"/>
          <w:szCs w:val="32"/>
        </w:rPr>
      </w:pPr>
      <w:r>
        <w:rPr>
          <w:rFonts w:hint="eastAsia" w:ascii="Arial" w:hAnsi="Arial"/>
          <w:b/>
          <w:bCs/>
          <w:sz w:val="32"/>
          <w:szCs w:val="32"/>
        </w:rPr>
        <w:t>（二）投标函附录</w:t>
      </w:r>
      <w:bookmarkEnd w:id="198"/>
      <w:bookmarkEnd w:id="199"/>
      <w:bookmarkEnd w:id="200"/>
      <w:bookmarkEnd w:id="201"/>
    </w:p>
    <w:p>
      <w:pPr>
        <w:spacing w:line="440" w:lineRule="exact"/>
        <w:rPr>
          <w:rFonts w:eastAsia="黑体"/>
          <w:sz w:val="20"/>
          <w:szCs w:val="20"/>
        </w:rPr>
      </w:pPr>
    </w:p>
    <w:tbl>
      <w:tblPr>
        <w:tblStyle w:val="19"/>
        <w:tblW w:w="8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337"/>
        <w:gridCol w:w="5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1</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投标人名称</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2</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投标报价</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3</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项目经理</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u w:val="single"/>
              </w:rPr>
            </w:pPr>
            <w:r>
              <w:rPr>
                <w:rFonts w:hint="eastAsia"/>
                <w:sz w:val="24"/>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4</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工期</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u w:val="single"/>
              </w:rPr>
            </w:pPr>
            <w:r>
              <w:rPr>
                <w:rFonts w:hint="eastAsia"/>
                <w:sz w:val="24"/>
              </w:rPr>
              <w:t>天数：日历天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5</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质量</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r>
              <w:rPr>
                <w:rFonts w:hint="eastAsia"/>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6</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rFonts w:hint="eastAsia"/>
                <w:sz w:val="24"/>
              </w:rPr>
              <w:t>7</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sz w:val="24"/>
              </w:rPr>
              <w:t>……</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sz w:val="24"/>
              </w:rPr>
              <w:t>……</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sz w:val="24"/>
              </w:rPr>
              <w:t>……</w:t>
            </w:r>
          </w:p>
        </w:tc>
        <w:tc>
          <w:tcPr>
            <w:tcW w:w="233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 w:val="24"/>
              </w:rPr>
            </w:pPr>
            <w:r>
              <w:rPr>
                <w:sz w:val="24"/>
              </w:rPr>
              <w:t>……</w:t>
            </w:r>
          </w:p>
        </w:tc>
        <w:tc>
          <w:tcPr>
            <w:tcW w:w="542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 w:val="24"/>
              </w:rPr>
            </w:pPr>
            <w:r>
              <w:rPr>
                <w:sz w:val="24"/>
              </w:rPr>
              <w:t>……</w:t>
            </w:r>
          </w:p>
        </w:tc>
      </w:tr>
    </w:tbl>
    <w:p>
      <w:pPr>
        <w:spacing w:line="440" w:lineRule="exact"/>
        <w:ind w:left="840" w:leftChars="400" w:firstLine="2640" w:firstLineChars="1100"/>
        <w:rPr>
          <w:rFonts w:eastAsia="黑体"/>
          <w:sz w:val="24"/>
        </w:rPr>
      </w:pPr>
    </w:p>
    <w:p>
      <w:pPr>
        <w:spacing w:line="480" w:lineRule="auto"/>
        <w:ind w:firstLine="424" w:firstLineChars="177"/>
        <w:rPr>
          <w:sz w:val="24"/>
        </w:rPr>
      </w:pPr>
    </w:p>
    <w:p>
      <w:pPr>
        <w:spacing w:line="480" w:lineRule="auto"/>
        <w:ind w:firstLine="424" w:firstLineChars="177"/>
        <w:rPr>
          <w:sz w:val="24"/>
        </w:rPr>
      </w:pPr>
      <w:r>
        <w:rPr>
          <w:rFonts w:hint="eastAsia"/>
          <w:sz w:val="24"/>
        </w:rPr>
        <w:t>投标人：(盖章)</w:t>
      </w:r>
    </w:p>
    <w:p>
      <w:pPr>
        <w:rPr>
          <w:rFonts w:ascii="宋体" w:hAnsi="宋体"/>
          <w:color w:val="000000"/>
          <w:sz w:val="22"/>
          <w:szCs w:val="22"/>
        </w:rPr>
      </w:pPr>
      <w:r>
        <w:rPr>
          <w:rFonts w:hint="eastAsia" w:ascii="宋体" w:hAnsi="宋体"/>
          <w:color w:val="000000"/>
          <w:sz w:val="22"/>
          <w:szCs w:val="22"/>
        </w:rPr>
        <w:t>法定代表人或其委托代理人：(签字或盖章)</w:t>
      </w:r>
    </w:p>
    <w:p>
      <w:pPr>
        <w:spacing w:line="480" w:lineRule="auto"/>
        <w:ind w:firstLine="424" w:firstLineChars="177"/>
        <w:rPr>
          <w:color w:val="FF0000"/>
          <w:sz w:val="24"/>
          <w:u w:val="single"/>
        </w:rPr>
      </w:pPr>
    </w:p>
    <w:p>
      <w:pPr>
        <w:spacing w:line="480" w:lineRule="auto"/>
        <w:ind w:firstLine="424" w:firstLineChars="177"/>
        <w:rPr>
          <w:color w:val="FF0000"/>
          <w:sz w:val="24"/>
          <w:u w:val="single"/>
        </w:rPr>
      </w:pPr>
    </w:p>
    <w:p>
      <w:pPr>
        <w:spacing w:line="480" w:lineRule="auto"/>
        <w:ind w:firstLine="424" w:firstLineChars="177"/>
        <w:jc w:val="right"/>
        <w:rPr>
          <w:sz w:val="24"/>
        </w:rPr>
      </w:pPr>
      <w:r>
        <w:rPr>
          <w:rFonts w:hint="eastAsia"/>
          <w:sz w:val="24"/>
        </w:rPr>
        <w:t>2022年  月 日</w:t>
      </w:r>
    </w:p>
    <w:p>
      <w:pPr>
        <w:rPr>
          <w:color w:val="000000"/>
          <w:sz w:val="24"/>
        </w:rPr>
      </w:pPr>
      <w:r>
        <w:rPr>
          <w:rFonts w:eastAsia="黑体"/>
          <w:sz w:val="24"/>
        </w:rPr>
        <w:br w:type="page"/>
      </w:r>
    </w:p>
    <w:p>
      <w:pPr>
        <w:pStyle w:val="4"/>
      </w:pPr>
      <w:bookmarkStart w:id="202" w:name="_Toc241484770"/>
      <w:bookmarkStart w:id="203" w:name="_Toc241459818"/>
      <w:bookmarkStart w:id="204" w:name="_Toc275956220"/>
    </w:p>
    <w:p>
      <w:pPr>
        <w:pStyle w:val="4"/>
      </w:pPr>
      <w:r>
        <w:rPr>
          <w:rFonts w:hint="eastAsia"/>
        </w:rPr>
        <w:t>二、法定代表人身份证明</w:t>
      </w:r>
      <w:bookmarkEnd w:id="202"/>
      <w:bookmarkEnd w:id="203"/>
      <w:bookmarkEnd w:id="204"/>
    </w:p>
    <w:p>
      <w:pPr>
        <w:spacing w:line="440" w:lineRule="exact"/>
        <w:rPr>
          <w:sz w:val="20"/>
          <w:szCs w:val="20"/>
        </w:rPr>
      </w:pPr>
    </w:p>
    <w:p>
      <w:pPr>
        <w:spacing w:line="360" w:lineRule="auto"/>
        <w:ind w:firstLine="480" w:firstLineChars="200"/>
        <w:rPr>
          <w:rFonts w:ascii="宋体" w:hAnsi="宋体"/>
          <w:sz w:val="24"/>
        </w:rPr>
      </w:pPr>
      <w:r>
        <w:rPr>
          <w:rFonts w:hint="eastAsia" w:ascii="宋体" w:hAnsi="宋体"/>
          <w:sz w:val="24"/>
        </w:rPr>
        <w:t>投 标 人：</w:t>
      </w:r>
    </w:p>
    <w:p>
      <w:pPr>
        <w:spacing w:line="360" w:lineRule="auto"/>
        <w:ind w:firstLine="480" w:firstLineChars="200"/>
        <w:rPr>
          <w:rFonts w:ascii="宋体" w:hAnsi="宋体"/>
          <w:sz w:val="24"/>
        </w:rPr>
      </w:pPr>
      <w:r>
        <w:rPr>
          <w:rFonts w:hint="eastAsia" w:ascii="宋体" w:hAnsi="宋体"/>
          <w:sz w:val="24"/>
        </w:rPr>
        <w:t>单位性质：</w:t>
      </w:r>
    </w:p>
    <w:p>
      <w:pPr>
        <w:spacing w:line="360" w:lineRule="auto"/>
        <w:ind w:firstLine="480" w:firstLineChars="200"/>
        <w:rPr>
          <w:rFonts w:ascii="宋体" w:hAnsi="宋体"/>
          <w:sz w:val="24"/>
        </w:rPr>
      </w:pPr>
      <w:r>
        <w:rPr>
          <w:rFonts w:hint="eastAsia" w:ascii="宋体" w:hAnsi="宋体"/>
          <w:sz w:val="24"/>
        </w:rPr>
        <w:t>地    址：</w:t>
      </w:r>
    </w:p>
    <w:p>
      <w:pPr>
        <w:spacing w:line="360" w:lineRule="auto"/>
        <w:ind w:firstLine="480" w:firstLineChars="200"/>
        <w:rPr>
          <w:rFonts w:ascii="宋体" w:hAnsi="宋体"/>
          <w:sz w:val="24"/>
        </w:rPr>
      </w:pPr>
      <w:r>
        <w:rPr>
          <w:rFonts w:hint="eastAsia" w:ascii="宋体" w:hAnsi="宋体"/>
          <w:sz w:val="24"/>
        </w:rPr>
        <w:t>成立时间： 年 月 日</w:t>
      </w:r>
    </w:p>
    <w:p>
      <w:pPr>
        <w:spacing w:line="360" w:lineRule="auto"/>
        <w:ind w:firstLine="480" w:firstLineChars="200"/>
        <w:rPr>
          <w:rFonts w:ascii="宋体" w:hAnsi="宋体"/>
          <w:sz w:val="24"/>
        </w:rPr>
      </w:pPr>
      <w:r>
        <w:rPr>
          <w:rFonts w:hint="eastAsia" w:ascii="宋体" w:hAnsi="宋体"/>
          <w:sz w:val="24"/>
        </w:rPr>
        <w:t>经营期限：</w:t>
      </w:r>
    </w:p>
    <w:p>
      <w:pPr>
        <w:spacing w:line="360" w:lineRule="auto"/>
        <w:ind w:firstLine="480" w:firstLineChars="200"/>
        <w:rPr>
          <w:rFonts w:ascii="宋体" w:hAnsi="宋体"/>
          <w:sz w:val="24"/>
        </w:rPr>
      </w:pPr>
      <w:r>
        <w:rPr>
          <w:rFonts w:hint="eastAsia" w:ascii="宋体" w:hAnsi="宋体"/>
          <w:sz w:val="24"/>
        </w:rPr>
        <w:t>姓    名： 性     别：</w:t>
      </w:r>
    </w:p>
    <w:p>
      <w:pPr>
        <w:spacing w:line="360" w:lineRule="auto"/>
        <w:ind w:firstLine="480" w:firstLineChars="200"/>
        <w:rPr>
          <w:rFonts w:ascii="宋体" w:hAnsi="宋体"/>
          <w:sz w:val="24"/>
        </w:rPr>
      </w:pPr>
      <w:r>
        <w:rPr>
          <w:rFonts w:hint="eastAsia" w:ascii="宋体" w:hAnsi="宋体"/>
          <w:sz w:val="24"/>
        </w:rPr>
        <w:t>年    龄： 职     务：</w:t>
      </w:r>
    </w:p>
    <w:p>
      <w:pPr>
        <w:spacing w:line="360" w:lineRule="auto"/>
        <w:ind w:firstLine="480" w:firstLineChars="200"/>
        <w:rPr>
          <w:rFonts w:ascii="宋体" w:hAnsi="宋体"/>
          <w:sz w:val="24"/>
        </w:rPr>
      </w:pPr>
      <w:r>
        <w:rPr>
          <w:rFonts w:hint="eastAsia" w:ascii="宋体" w:hAnsi="宋体"/>
          <w:sz w:val="24"/>
        </w:rPr>
        <w:t>系 (投标人名称)的法定代表人。</w:t>
      </w:r>
    </w:p>
    <w:p>
      <w:pPr>
        <w:spacing w:line="440" w:lineRule="exact"/>
        <w:ind w:firstLine="480" w:firstLineChars="200"/>
        <w:rPr>
          <w:rFonts w:ascii="宋体" w:hAnsi="宋体"/>
          <w:sz w:val="24"/>
        </w:rPr>
      </w:pPr>
      <w:r>
        <w:rPr>
          <w:rFonts w:hint="eastAsia" w:ascii="宋体" w:hAnsi="宋体"/>
          <w:sz w:val="24"/>
        </w:rPr>
        <w:t>特此证明。</w:t>
      </w: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 xml:space="preserve">                                  投标人：(盖章)</w:t>
      </w:r>
    </w:p>
    <w:p>
      <w:pPr>
        <w:spacing w:line="440" w:lineRule="exact"/>
        <w:rPr>
          <w:rFonts w:ascii="宋体" w:hAnsi="宋体"/>
          <w:sz w:val="24"/>
        </w:rPr>
      </w:pPr>
    </w:p>
    <w:p>
      <w:pPr>
        <w:spacing w:line="440" w:lineRule="exact"/>
        <w:ind w:firstLine="5880" w:firstLineChars="2450"/>
        <w:rPr>
          <w:sz w:val="24"/>
        </w:rPr>
      </w:pPr>
      <w:r>
        <w:rPr>
          <w:rFonts w:hint="eastAsia"/>
          <w:sz w:val="24"/>
        </w:rPr>
        <w:t>2022年  月  日</w:t>
      </w:r>
    </w:p>
    <w:p>
      <w:pPr>
        <w:spacing w:line="440" w:lineRule="exact"/>
        <w:ind w:firstLine="3570" w:firstLineChars="1700"/>
        <w:rPr>
          <w:rFonts w:ascii="宋体" w:hAnsi="宋体"/>
          <w:szCs w:val="21"/>
        </w:rPr>
      </w:pPr>
    </w:p>
    <w:p>
      <w:pPr>
        <w:spacing w:line="440" w:lineRule="exact"/>
        <w:ind w:firstLine="3570" w:firstLineChars="1700"/>
        <w:rPr>
          <w:rFonts w:ascii="宋体" w:hAnsi="宋体"/>
          <w:szCs w:val="21"/>
        </w:rPr>
      </w:pPr>
    </w:p>
    <w:p>
      <w:pPr>
        <w:spacing w:line="440" w:lineRule="exact"/>
        <w:ind w:firstLine="3570" w:firstLineChars="1700"/>
        <w:rPr>
          <w:rFonts w:ascii="宋体"/>
          <w:color w:val="000000"/>
          <w:szCs w:val="21"/>
        </w:rPr>
      </w:pPr>
    </w:p>
    <w:p>
      <w:pPr>
        <w:spacing w:line="440" w:lineRule="exact"/>
        <w:ind w:firstLine="3570" w:firstLineChars="1700"/>
        <w:rPr>
          <w:rFonts w:ascii="宋体"/>
          <w:color w:val="000000"/>
          <w:szCs w:val="21"/>
        </w:rPr>
      </w:pPr>
    </w:p>
    <w:p>
      <w:pPr>
        <w:spacing w:line="440" w:lineRule="exact"/>
        <w:ind w:firstLine="3570" w:firstLineChars="1700"/>
        <w:rPr>
          <w:rFonts w:ascii="宋体"/>
          <w:color w:val="000000"/>
          <w:szCs w:val="21"/>
        </w:rPr>
      </w:pPr>
    </w:p>
    <w:p>
      <w:pPr>
        <w:spacing w:line="440" w:lineRule="exact"/>
        <w:ind w:firstLine="3570" w:firstLineChars="1700"/>
        <w:rPr>
          <w:rFonts w:ascii="宋体"/>
          <w:color w:val="000000"/>
          <w:szCs w:val="21"/>
        </w:rPr>
      </w:pPr>
    </w:p>
    <w:p>
      <w:pPr>
        <w:spacing w:line="440" w:lineRule="exact"/>
        <w:ind w:firstLine="3570" w:firstLineChars="1700"/>
        <w:rPr>
          <w:rFonts w:ascii="宋体"/>
          <w:color w:val="000000"/>
          <w:szCs w:val="21"/>
        </w:rPr>
      </w:pPr>
    </w:p>
    <w:p>
      <w:pPr>
        <w:spacing w:line="440" w:lineRule="exact"/>
        <w:ind w:firstLine="3570" w:firstLineChars="1700"/>
        <w:rPr>
          <w:rFonts w:ascii="宋体"/>
          <w:color w:val="000000"/>
          <w:szCs w:val="21"/>
        </w:rPr>
      </w:pPr>
    </w:p>
    <w:p>
      <w:pPr>
        <w:spacing w:line="440" w:lineRule="exact"/>
        <w:ind w:firstLine="3570" w:firstLineChars="1700"/>
        <w:rPr>
          <w:rFonts w:ascii="宋体"/>
          <w:color w:val="000000"/>
          <w:szCs w:val="21"/>
        </w:rPr>
      </w:pPr>
    </w:p>
    <w:p>
      <w:pPr>
        <w:spacing w:line="440" w:lineRule="exact"/>
        <w:jc w:val="center"/>
        <w:rPr>
          <w:rFonts w:ascii="宋体"/>
          <w:color w:val="000000"/>
          <w:sz w:val="20"/>
          <w:szCs w:val="20"/>
        </w:rPr>
      </w:pPr>
      <w:r>
        <w:rPr>
          <w:rFonts w:ascii="宋体"/>
          <w:color w:val="000000"/>
          <w:kern w:val="0"/>
          <w:sz w:val="20"/>
          <w:szCs w:val="20"/>
        </w:rPr>
        <w:br w:type="page"/>
      </w:r>
    </w:p>
    <w:p>
      <w:pPr>
        <w:pStyle w:val="4"/>
      </w:pPr>
      <w:bookmarkStart w:id="205" w:name="_Toc241459819"/>
      <w:bookmarkStart w:id="206" w:name="_Toc152042581"/>
      <w:bookmarkStart w:id="207" w:name="_Toc179632812"/>
      <w:bookmarkStart w:id="208" w:name="_Toc144974861"/>
      <w:bookmarkStart w:id="209" w:name="_Toc152045792"/>
      <w:bookmarkStart w:id="210" w:name="_Toc241484771"/>
      <w:bookmarkStart w:id="211" w:name="_Toc275956221"/>
    </w:p>
    <w:p>
      <w:pPr>
        <w:pStyle w:val="4"/>
      </w:pPr>
      <w:r>
        <w:rPr>
          <w:rFonts w:hint="eastAsia"/>
        </w:rPr>
        <w:t>三、授权委托书</w:t>
      </w:r>
      <w:bookmarkEnd w:id="205"/>
      <w:bookmarkEnd w:id="206"/>
      <w:bookmarkEnd w:id="207"/>
      <w:bookmarkEnd w:id="208"/>
      <w:bookmarkEnd w:id="209"/>
      <w:bookmarkEnd w:id="210"/>
      <w:bookmarkEnd w:id="211"/>
    </w:p>
    <w:p>
      <w:pPr>
        <w:spacing w:line="440" w:lineRule="exact"/>
        <w:rPr>
          <w:rFonts w:eastAsia="黑体"/>
          <w:szCs w:val="21"/>
        </w:rPr>
      </w:pPr>
    </w:p>
    <w:p>
      <w:pPr>
        <w:topLinePunct/>
        <w:spacing w:line="480" w:lineRule="auto"/>
        <w:ind w:firstLine="480" w:firstLineChars="200"/>
        <w:rPr>
          <w:sz w:val="24"/>
        </w:rPr>
      </w:pPr>
      <w:r>
        <w:rPr>
          <w:rFonts w:hint="eastAsia"/>
          <w:sz w:val="24"/>
        </w:rPr>
        <w:t>本人(姓名)系(投标人名称)的法定代表人，现委托(姓名)为我方代理人。代理人根据授权，以我方名义签署、澄清、说明、补正、递交、撤回、修改泰州职业技术学院泰州职业技术学院医学院外墙维修工程标段施工投标文件、签订合同和处理有关事宜，其法律后果由我方承担。</w:t>
      </w:r>
    </w:p>
    <w:p>
      <w:pPr>
        <w:spacing w:line="480" w:lineRule="auto"/>
        <w:ind w:firstLine="435"/>
        <w:rPr>
          <w:sz w:val="24"/>
        </w:rPr>
      </w:pPr>
      <w:r>
        <w:rPr>
          <w:rFonts w:hint="eastAsia"/>
          <w:sz w:val="24"/>
        </w:rPr>
        <w:t>委托期限：。</w:t>
      </w:r>
    </w:p>
    <w:p>
      <w:pPr>
        <w:spacing w:line="480" w:lineRule="auto"/>
        <w:ind w:firstLine="480" w:firstLineChars="200"/>
        <w:rPr>
          <w:sz w:val="24"/>
        </w:rPr>
      </w:pPr>
      <w:r>
        <w:rPr>
          <w:rFonts w:hint="eastAsia"/>
          <w:sz w:val="24"/>
        </w:rPr>
        <w:t>代理人无转委托权。</w:t>
      </w:r>
    </w:p>
    <w:p>
      <w:pPr>
        <w:spacing w:line="480" w:lineRule="auto"/>
        <w:ind w:firstLine="480" w:firstLineChars="200"/>
        <w:rPr>
          <w:sz w:val="24"/>
        </w:rPr>
      </w:pPr>
      <w:r>
        <w:rPr>
          <w:rFonts w:hint="eastAsia"/>
          <w:sz w:val="24"/>
        </w:rPr>
        <w:t>附：</w:t>
      </w:r>
      <w:r>
        <w:rPr>
          <w:rFonts w:hint="eastAsia"/>
          <w:b/>
          <w:bCs/>
          <w:sz w:val="24"/>
        </w:rPr>
        <w:t>法定代表人身份证明，委托身份证复印件</w:t>
      </w:r>
    </w:p>
    <w:p>
      <w:pPr>
        <w:spacing w:line="440" w:lineRule="exact"/>
        <w:rPr>
          <w:szCs w:val="21"/>
        </w:rPr>
      </w:pPr>
    </w:p>
    <w:p>
      <w:pPr>
        <w:spacing w:line="440" w:lineRule="exact"/>
        <w:rPr>
          <w:rFonts w:ascii="宋体" w:hAnsi="宋体"/>
          <w:sz w:val="24"/>
        </w:rPr>
      </w:pPr>
    </w:p>
    <w:p>
      <w:pPr>
        <w:spacing w:line="440" w:lineRule="exact"/>
        <w:ind w:firstLine="2409" w:firstLineChars="1004"/>
        <w:rPr>
          <w:rFonts w:ascii="宋体" w:hAnsi="宋体"/>
          <w:sz w:val="24"/>
        </w:rPr>
      </w:pPr>
      <w:r>
        <w:rPr>
          <w:rFonts w:hint="eastAsia" w:ascii="宋体" w:hAnsi="宋体"/>
          <w:sz w:val="24"/>
        </w:rPr>
        <w:t>投  标  人：(盖章)</w:t>
      </w:r>
    </w:p>
    <w:p>
      <w:pPr>
        <w:spacing w:line="440" w:lineRule="exact"/>
        <w:rPr>
          <w:rFonts w:ascii="宋体" w:hAnsi="宋体"/>
          <w:sz w:val="24"/>
        </w:rPr>
      </w:pPr>
    </w:p>
    <w:p>
      <w:pPr>
        <w:spacing w:line="440" w:lineRule="exact"/>
        <w:ind w:firstLine="2409" w:firstLineChars="1004"/>
        <w:rPr>
          <w:rFonts w:ascii="宋体" w:hAnsi="宋体"/>
          <w:sz w:val="24"/>
        </w:rPr>
      </w:pPr>
      <w:r>
        <w:rPr>
          <w:rFonts w:hint="eastAsia" w:ascii="宋体" w:hAnsi="宋体"/>
          <w:sz w:val="24"/>
        </w:rPr>
        <w:t>法定代表人：(签字或盖章)</w:t>
      </w:r>
    </w:p>
    <w:p>
      <w:pPr>
        <w:spacing w:line="440" w:lineRule="exact"/>
        <w:rPr>
          <w:rFonts w:ascii="宋体" w:hAnsi="宋体"/>
          <w:sz w:val="24"/>
        </w:rPr>
      </w:pPr>
    </w:p>
    <w:p>
      <w:pPr>
        <w:spacing w:line="440" w:lineRule="exact"/>
        <w:ind w:firstLine="2409" w:firstLineChars="1004"/>
        <w:rPr>
          <w:rFonts w:ascii="宋体" w:hAnsi="宋体"/>
          <w:sz w:val="24"/>
        </w:rPr>
      </w:pPr>
      <w:r>
        <w:rPr>
          <w:rFonts w:hint="eastAsia" w:ascii="宋体" w:hAnsi="宋体"/>
          <w:sz w:val="24"/>
        </w:rPr>
        <w:t>身份证号码：</w:t>
      </w:r>
    </w:p>
    <w:p>
      <w:pPr>
        <w:spacing w:line="440" w:lineRule="exact"/>
        <w:ind w:firstLine="2409" w:firstLineChars="1004"/>
        <w:rPr>
          <w:rFonts w:ascii="宋体" w:hAnsi="宋体"/>
          <w:sz w:val="24"/>
        </w:rPr>
      </w:pPr>
    </w:p>
    <w:p>
      <w:pPr>
        <w:spacing w:line="440" w:lineRule="exact"/>
        <w:ind w:firstLine="2409" w:firstLineChars="1004"/>
        <w:rPr>
          <w:rFonts w:ascii="宋体" w:hAnsi="宋体"/>
          <w:sz w:val="24"/>
        </w:rPr>
      </w:pPr>
      <w:r>
        <w:rPr>
          <w:rFonts w:hint="eastAsia" w:ascii="宋体" w:hAnsi="宋体"/>
          <w:sz w:val="24"/>
        </w:rPr>
        <w:t>委托代理人：</w:t>
      </w:r>
    </w:p>
    <w:p>
      <w:pPr>
        <w:spacing w:line="440" w:lineRule="exact"/>
        <w:ind w:firstLine="2409" w:firstLineChars="1004"/>
        <w:rPr>
          <w:rFonts w:ascii="宋体" w:hAnsi="宋体"/>
          <w:sz w:val="24"/>
        </w:rPr>
      </w:pPr>
    </w:p>
    <w:p>
      <w:pPr>
        <w:spacing w:line="440" w:lineRule="exact"/>
        <w:ind w:firstLine="2409" w:firstLineChars="1004"/>
        <w:rPr>
          <w:rFonts w:ascii="宋体" w:hAnsi="宋体"/>
          <w:sz w:val="24"/>
        </w:rPr>
      </w:pPr>
      <w:r>
        <w:rPr>
          <w:rFonts w:hint="eastAsia" w:ascii="宋体" w:hAnsi="宋体"/>
          <w:sz w:val="24"/>
        </w:rPr>
        <w:t>身份证号码：</w:t>
      </w:r>
    </w:p>
    <w:p>
      <w:pPr>
        <w:spacing w:line="440" w:lineRule="exact"/>
        <w:rPr>
          <w:rFonts w:ascii="宋体" w:hAnsi="宋体"/>
          <w:sz w:val="24"/>
        </w:rPr>
      </w:pPr>
    </w:p>
    <w:p>
      <w:pPr>
        <w:spacing w:line="440" w:lineRule="exact"/>
        <w:ind w:firstLine="5880" w:firstLineChars="2450"/>
        <w:rPr>
          <w:sz w:val="24"/>
        </w:rPr>
      </w:pPr>
      <w:r>
        <w:rPr>
          <w:rFonts w:hint="eastAsia"/>
          <w:sz w:val="24"/>
        </w:rPr>
        <w:t>2022年  月  日</w:t>
      </w:r>
    </w:p>
    <w:p>
      <w:pPr>
        <w:spacing w:line="440" w:lineRule="exact"/>
        <w:ind w:firstLine="5040" w:firstLineChars="2100"/>
        <w:rPr>
          <w:rFonts w:ascii="宋体" w:hAnsi="宋体"/>
          <w:sz w:val="24"/>
        </w:rPr>
      </w:pPr>
    </w:p>
    <w:p>
      <w:pPr>
        <w:spacing w:line="440" w:lineRule="exact"/>
        <w:ind w:firstLine="4410" w:firstLineChars="2100"/>
        <w:rPr>
          <w:rFonts w:ascii="宋体"/>
          <w:color w:val="000000"/>
          <w:szCs w:val="21"/>
        </w:rPr>
      </w:pPr>
    </w:p>
    <w:p>
      <w:pPr>
        <w:spacing w:line="440" w:lineRule="exact"/>
        <w:ind w:firstLine="4410" w:firstLineChars="2100"/>
        <w:rPr>
          <w:rFonts w:ascii="宋体"/>
          <w:color w:val="000000"/>
          <w:szCs w:val="21"/>
        </w:rPr>
      </w:pPr>
    </w:p>
    <w:p>
      <w:pPr>
        <w:widowControl/>
        <w:jc w:val="left"/>
        <w:rPr>
          <w:rFonts w:ascii="宋体"/>
          <w:color w:val="000000"/>
          <w:kern w:val="0"/>
          <w:szCs w:val="21"/>
        </w:rPr>
        <w:sectPr>
          <w:footerReference r:id="rId3" w:type="default"/>
          <w:footerReference r:id="rId4" w:type="even"/>
          <w:pgSz w:w="11906" w:h="16838"/>
          <w:pgMar w:top="1440" w:right="1133" w:bottom="1440" w:left="1797" w:header="851" w:footer="992" w:gutter="0"/>
          <w:cols w:space="720" w:num="1"/>
          <w:titlePg/>
        </w:sectPr>
      </w:pPr>
    </w:p>
    <w:p>
      <w:pPr>
        <w:pStyle w:val="4"/>
      </w:pPr>
      <w:bookmarkStart w:id="212" w:name="_Toc241484773"/>
      <w:bookmarkStart w:id="213" w:name="_Toc241459821"/>
      <w:bookmarkStart w:id="214" w:name="_Toc275956223"/>
      <w:bookmarkStart w:id="215" w:name="_Toc241484774"/>
      <w:bookmarkStart w:id="216" w:name="_Toc275956224"/>
      <w:bookmarkStart w:id="217" w:name="_Toc241459822"/>
      <w:bookmarkStart w:id="218" w:name="_Toc152045795"/>
      <w:bookmarkStart w:id="219" w:name="_Toc179632815"/>
      <w:bookmarkStart w:id="220" w:name="_Toc144974863"/>
      <w:bookmarkStart w:id="221" w:name="_Toc152042584"/>
    </w:p>
    <w:p>
      <w:pPr>
        <w:pStyle w:val="4"/>
      </w:pPr>
      <w:r>
        <w:rPr>
          <w:rFonts w:hint="eastAsia"/>
        </w:rPr>
        <w:t>四、</w:t>
      </w:r>
      <w:bookmarkEnd w:id="212"/>
      <w:bookmarkEnd w:id="213"/>
      <w:r>
        <w:rPr>
          <w:rFonts w:hint="eastAsia"/>
        </w:rPr>
        <w:t>投标保证金</w:t>
      </w:r>
      <w:bookmarkEnd w:id="214"/>
      <w:r>
        <w:rPr>
          <w:rFonts w:hint="eastAsia"/>
        </w:rPr>
        <w:t>缴纳证明（现金）</w:t>
      </w:r>
    </w:p>
    <w:bookmarkEnd w:id="215"/>
    <w:bookmarkEnd w:id="216"/>
    <w:bookmarkEnd w:id="217"/>
    <w:bookmarkEnd w:id="218"/>
    <w:bookmarkEnd w:id="219"/>
    <w:bookmarkEnd w:id="220"/>
    <w:bookmarkEnd w:id="221"/>
    <w:p>
      <w:pPr>
        <w:pStyle w:val="4"/>
        <w:rPr>
          <w:b w:val="0"/>
          <w:bCs w:val="0"/>
          <w:szCs w:val="21"/>
        </w:rPr>
      </w:pPr>
    </w:p>
    <w:p>
      <w:pPr>
        <w:pStyle w:val="4"/>
      </w:pPr>
      <w:r>
        <w:rPr>
          <w:rFonts w:hint="eastAsia"/>
          <w:b w:val="0"/>
          <w:bCs w:val="0"/>
          <w:szCs w:val="21"/>
        </w:rPr>
        <w:t>五</w:t>
      </w:r>
      <w:r>
        <w:rPr>
          <w:rFonts w:hint="eastAsia"/>
        </w:rPr>
        <w:t>、已标价工程量清单</w:t>
      </w:r>
    </w:p>
    <w:p/>
    <w:p/>
    <w:p>
      <w:pPr>
        <w:rPr>
          <w:rFonts w:ascii="宋体" w:hAnsi="宋体"/>
          <w:color w:val="000000"/>
          <w:sz w:val="22"/>
          <w:szCs w:val="22"/>
        </w:rPr>
      </w:pPr>
      <w:r>
        <w:rPr>
          <w:rFonts w:hint="eastAsia" w:ascii="黑体" w:hAnsi="宋体" w:eastAsia="黑体"/>
          <w:color w:val="000000"/>
          <w:sz w:val="22"/>
          <w:szCs w:val="22"/>
        </w:rPr>
        <w:t>说明：</w:t>
      </w:r>
      <w:r>
        <w:rPr>
          <w:rFonts w:hint="eastAsia" w:ascii="宋体" w:hAnsi="宋体"/>
          <w:color w:val="000000"/>
          <w:sz w:val="22"/>
          <w:szCs w:val="22"/>
        </w:rPr>
        <w:t>已标价工程量清单按</w:t>
      </w:r>
      <w:r>
        <w:fldChar w:fldCharType="begin"/>
      </w:r>
      <w:r>
        <w:instrText xml:space="preserve"> HYPERLINK "file:///H:\\泰州招标文件范本\\泰州市房屋建筑和市政工程施工2016.4.docx" \l "_第五章__工程量清单" </w:instrText>
      </w:r>
      <w:r>
        <w:fldChar w:fldCharType="separate"/>
      </w:r>
      <w:r>
        <w:rPr>
          <w:rFonts w:hint="eastAsia" w:ascii="宋体" w:hAnsi="宋体"/>
          <w:color w:val="000000"/>
          <w:sz w:val="22"/>
          <w:szCs w:val="22"/>
        </w:rPr>
        <w:t>第四章“工程量清单”</w:t>
      </w:r>
      <w:r>
        <w:rPr>
          <w:rFonts w:hint="eastAsia" w:ascii="宋体" w:hAnsi="宋体"/>
          <w:color w:val="000000"/>
          <w:sz w:val="22"/>
          <w:szCs w:val="22"/>
        </w:rPr>
        <w:fldChar w:fldCharType="end"/>
      </w:r>
      <w:r>
        <w:rPr>
          <w:rFonts w:hint="eastAsia" w:ascii="宋体" w:hAnsi="宋体"/>
          <w:color w:val="000000"/>
          <w:sz w:val="22"/>
          <w:szCs w:val="22"/>
        </w:rPr>
        <w:t>中的相关清单表格式填写。构成合同文件的已标价工程量清单包括第五章“工程量清单”有关工程量清单、投标报价以及其他说明的内容。</w:t>
      </w: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rPr>
          <w:rFonts w:ascii="宋体"/>
          <w:color w:val="000000"/>
          <w:kern w:val="0"/>
          <w:szCs w:val="21"/>
        </w:rPr>
      </w:pPr>
    </w:p>
    <w:p>
      <w:pPr>
        <w:pStyle w:val="37"/>
        <w:spacing w:before="0"/>
        <w:outlineLvl w:val="0"/>
        <w:rPr>
          <w:szCs w:val="28"/>
        </w:rPr>
      </w:pPr>
      <w:bookmarkStart w:id="222" w:name="_Toc362253055"/>
    </w:p>
    <w:p>
      <w:pPr>
        <w:pStyle w:val="37"/>
        <w:spacing w:before="0"/>
        <w:outlineLvl w:val="0"/>
        <w:rPr>
          <w:rFonts w:ascii="Arial" w:hAnsi="Arial" w:cs="Times New Roman"/>
          <w:b/>
          <w:bCs/>
          <w:sz w:val="32"/>
          <w:szCs w:val="32"/>
        </w:rPr>
      </w:pPr>
      <w:r>
        <w:rPr>
          <w:rFonts w:hint="eastAsia" w:ascii="Arial" w:hAnsi="Arial" w:cs="Times New Roman"/>
          <w:b/>
          <w:bCs/>
          <w:sz w:val="32"/>
          <w:szCs w:val="32"/>
        </w:rPr>
        <w:t>六、</w:t>
      </w:r>
      <w:bookmarkEnd w:id="222"/>
      <w:r>
        <w:rPr>
          <w:rFonts w:hint="eastAsia" w:ascii="Arial" w:hAnsi="Arial" w:cs="Times New Roman"/>
          <w:b/>
          <w:bCs/>
          <w:sz w:val="32"/>
          <w:szCs w:val="32"/>
        </w:rPr>
        <w:t>项目经理简历表</w:t>
      </w:r>
    </w:p>
    <w:p>
      <w:pPr>
        <w:pStyle w:val="5"/>
        <w:rPr>
          <w:rFonts w:ascii="黑体"/>
          <w:color w:val="000000"/>
          <w:sz w:val="24"/>
        </w:rPr>
      </w:pPr>
    </w:p>
    <w:p>
      <w:pPr>
        <w:spacing w:line="400" w:lineRule="exact"/>
      </w:pPr>
      <w:r>
        <w:rPr>
          <w:rFonts w:hint="eastAsia"/>
          <w:szCs w:val="21"/>
        </w:rPr>
        <w:t>本表后应附有效的</w:t>
      </w:r>
      <w:r>
        <w:rPr>
          <w:rFonts w:hint="eastAsia"/>
        </w:rPr>
        <w:t>项目经理身份证、注册资格证书。类似项目限于以项目经理身份参与的项目。</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64"/>
        <w:gridCol w:w="962"/>
        <w:gridCol w:w="1030"/>
        <w:gridCol w:w="166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01" w:type="dxa"/>
            <w:vAlign w:val="center"/>
          </w:tcPr>
          <w:p>
            <w:pPr>
              <w:spacing w:line="440" w:lineRule="exact"/>
              <w:jc w:val="center"/>
              <w:rPr>
                <w:rFonts w:ascii="宋体"/>
                <w:szCs w:val="21"/>
              </w:rPr>
            </w:pPr>
            <w:r>
              <w:rPr>
                <w:rFonts w:hint="eastAsia" w:ascii="宋体" w:hAnsi="宋体"/>
                <w:szCs w:val="21"/>
              </w:rPr>
              <w:t>姓名</w:t>
            </w:r>
          </w:p>
        </w:tc>
        <w:tc>
          <w:tcPr>
            <w:tcW w:w="1164" w:type="dxa"/>
            <w:vAlign w:val="center"/>
          </w:tcPr>
          <w:p>
            <w:pPr>
              <w:spacing w:line="440" w:lineRule="exact"/>
              <w:jc w:val="center"/>
              <w:rPr>
                <w:rFonts w:ascii="宋体"/>
                <w:szCs w:val="21"/>
              </w:rPr>
            </w:pPr>
          </w:p>
        </w:tc>
        <w:tc>
          <w:tcPr>
            <w:tcW w:w="962" w:type="dxa"/>
            <w:vAlign w:val="center"/>
          </w:tcPr>
          <w:p>
            <w:pPr>
              <w:spacing w:line="440" w:lineRule="exact"/>
              <w:jc w:val="center"/>
              <w:rPr>
                <w:rFonts w:ascii="宋体"/>
                <w:szCs w:val="21"/>
              </w:rPr>
            </w:pPr>
            <w:r>
              <w:rPr>
                <w:rFonts w:hint="eastAsia" w:ascii="宋体" w:hAnsi="宋体"/>
                <w:szCs w:val="21"/>
              </w:rPr>
              <w:t>年龄</w:t>
            </w:r>
          </w:p>
        </w:tc>
        <w:tc>
          <w:tcPr>
            <w:tcW w:w="1030" w:type="dxa"/>
            <w:vAlign w:val="center"/>
          </w:tcPr>
          <w:p>
            <w:pPr>
              <w:spacing w:line="440" w:lineRule="exact"/>
              <w:jc w:val="center"/>
              <w:rPr>
                <w:rFonts w:ascii="宋体"/>
                <w:szCs w:val="21"/>
              </w:rPr>
            </w:pPr>
          </w:p>
        </w:tc>
        <w:tc>
          <w:tcPr>
            <w:tcW w:w="1663" w:type="dxa"/>
            <w:vAlign w:val="center"/>
          </w:tcPr>
          <w:p>
            <w:pPr>
              <w:spacing w:line="440" w:lineRule="exact"/>
              <w:jc w:val="center"/>
              <w:rPr>
                <w:rFonts w:ascii="宋体"/>
                <w:szCs w:val="21"/>
              </w:rPr>
            </w:pPr>
            <w:r>
              <w:rPr>
                <w:rFonts w:hint="eastAsia" w:ascii="宋体" w:hAnsi="宋体"/>
                <w:szCs w:val="21"/>
              </w:rPr>
              <w:t>身份证号</w:t>
            </w:r>
          </w:p>
        </w:tc>
        <w:tc>
          <w:tcPr>
            <w:tcW w:w="2602"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440" w:lineRule="exact"/>
              <w:jc w:val="center"/>
              <w:rPr>
                <w:rFonts w:ascii="宋体"/>
                <w:szCs w:val="21"/>
              </w:rPr>
            </w:pPr>
            <w:r>
              <w:rPr>
                <w:rFonts w:hint="eastAsia" w:ascii="宋体" w:hAnsi="宋体"/>
                <w:szCs w:val="21"/>
              </w:rPr>
              <w:t>学历</w:t>
            </w:r>
          </w:p>
        </w:tc>
        <w:tc>
          <w:tcPr>
            <w:tcW w:w="1164" w:type="dxa"/>
            <w:vAlign w:val="center"/>
          </w:tcPr>
          <w:p>
            <w:pPr>
              <w:spacing w:line="440" w:lineRule="exact"/>
              <w:jc w:val="center"/>
              <w:rPr>
                <w:rFonts w:ascii="宋体"/>
                <w:szCs w:val="21"/>
              </w:rPr>
            </w:pPr>
          </w:p>
        </w:tc>
        <w:tc>
          <w:tcPr>
            <w:tcW w:w="962" w:type="dxa"/>
            <w:vAlign w:val="center"/>
          </w:tcPr>
          <w:p>
            <w:pPr>
              <w:spacing w:line="440" w:lineRule="exact"/>
              <w:jc w:val="center"/>
              <w:rPr>
                <w:rFonts w:ascii="宋体"/>
                <w:szCs w:val="21"/>
              </w:rPr>
            </w:pPr>
            <w:r>
              <w:rPr>
                <w:rFonts w:hint="eastAsia" w:ascii="宋体" w:hAnsi="宋体"/>
                <w:szCs w:val="21"/>
              </w:rPr>
              <w:t>职称</w:t>
            </w:r>
          </w:p>
        </w:tc>
        <w:tc>
          <w:tcPr>
            <w:tcW w:w="1030" w:type="dxa"/>
            <w:vAlign w:val="center"/>
          </w:tcPr>
          <w:p>
            <w:pPr>
              <w:spacing w:line="440" w:lineRule="exact"/>
              <w:jc w:val="center"/>
              <w:rPr>
                <w:rFonts w:ascii="宋体"/>
                <w:szCs w:val="21"/>
              </w:rPr>
            </w:pPr>
          </w:p>
        </w:tc>
        <w:tc>
          <w:tcPr>
            <w:tcW w:w="1663" w:type="dxa"/>
            <w:vAlign w:val="center"/>
          </w:tcPr>
          <w:p>
            <w:pPr>
              <w:spacing w:line="440" w:lineRule="exact"/>
              <w:jc w:val="center"/>
              <w:rPr>
                <w:rFonts w:ascii="宋体"/>
                <w:szCs w:val="21"/>
              </w:rPr>
            </w:pPr>
            <w:r>
              <w:rPr>
                <w:rFonts w:hint="eastAsia" w:ascii="宋体" w:hAnsi="宋体"/>
                <w:szCs w:val="21"/>
              </w:rPr>
              <w:t>职务</w:t>
            </w:r>
          </w:p>
        </w:tc>
        <w:tc>
          <w:tcPr>
            <w:tcW w:w="2602"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gridSpan w:val="3"/>
            <w:vAlign w:val="center"/>
          </w:tcPr>
          <w:p>
            <w:pPr>
              <w:spacing w:line="440" w:lineRule="exact"/>
              <w:jc w:val="center"/>
              <w:rPr>
                <w:rFonts w:ascii="宋体"/>
                <w:szCs w:val="21"/>
              </w:rPr>
            </w:pPr>
            <w:r>
              <w:rPr>
                <w:rFonts w:hint="eastAsia" w:ascii="宋体" w:hAnsi="宋体"/>
                <w:szCs w:val="21"/>
              </w:rPr>
              <w:t>注册建造师执业资格等级</w:t>
            </w:r>
          </w:p>
        </w:tc>
        <w:tc>
          <w:tcPr>
            <w:tcW w:w="1030" w:type="dxa"/>
            <w:vAlign w:val="center"/>
          </w:tcPr>
          <w:p>
            <w:pPr>
              <w:spacing w:line="440" w:lineRule="exact"/>
              <w:ind w:firstLine="525" w:firstLineChars="250"/>
              <w:rPr>
                <w:rFonts w:ascii="宋体"/>
                <w:szCs w:val="21"/>
              </w:rPr>
            </w:pPr>
            <w:r>
              <w:rPr>
                <w:rFonts w:hint="eastAsia" w:ascii="宋体" w:hAnsi="宋体"/>
                <w:szCs w:val="21"/>
              </w:rPr>
              <w:t>级</w:t>
            </w:r>
          </w:p>
        </w:tc>
        <w:tc>
          <w:tcPr>
            <w:tcW w:w="1663" w:type="dxa"/>
            <w:vAlign w:val="center"/>
          </w:tcPr>
          <w:p>
            <w:pPr>
              <w:spacing w:line="440" w:lineRule="exact"/>
              <w:jc w:val="center"/>
              <w:rPr>
                <w:rFonts w:ascii="宋体"/>
                <w:szCs w:val="21"/>
              </w:rPr>
            </w:pPr>
            <w:r>
              <w:rPr>
                <w:rFonts w:hint="eastAsia" w:ascii="宋体" w:hAnsi="宋体"/>
                <w:szCs w:val="21"/>
              </w:rPr>
              <w:t>建造师专业</w:t>
            </w:r>
          </w:p>
        </w:tc>
        <w:tc>
          <w:tcPr>
            <w:tcW w:w="2602"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440" w:lineRule="exact"/>
              <w:jc w:val="center"/>
              <w:rPr>
                <w:rFonts w:ascii="宋体"/>
                <w:szCs w:val="21"/>
              </w:rPr>
            </w:pPr>
            <w:r>
              <w:rPr>
                <w:rFonts w:hint="eastAsia" w:ascii="宋体" w:hAnsi="宋体"/>
                <w:szCs w:val="21"/>
              </w:rPr>
              <w:t>毕业学校</w:t>
            </w:r>
          </w:p>
        </w:tc>
        <w:tc>
          <w:tcPr>
            <w:tcW w:w="7421" w:type="dxa"/>
            <w:gridSpan w:val="5"/>
          </w:tcPr>
          <w:p>
            <w:pPr>
              <w:spacing w:line="440" w:lineRule="exact"/>
              <w:ind w:firstLine="1365" w:firstLineChars="650"/>
              <w:rPr>
                <w:rFonts w:asci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vAlign w:val="center"/>
          </w:tcPr>
          <w:p>
            <w:pPr>
              <w:spacing w:line="440" w:lineRule="exact"/>
              <w:jc w:val="center"/>
              <w:rPr>
                <w:rFonts w:ascii="宋体"/>
                <w:szCs w:val="21"/>
              </w:rPr>
            </w:pPr>
            <w:r>
              <w:rPr>
                <w:rFonts w:hint="eastAsia"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1" w:type="dxa"/>
            <w:vAlign w:val="center"/>
          </w:tcPr>
          <w:p>
            <w:pPr>
              <w:spacing w:line="440" w:lineRule="exact"/>
              <w:jc w:val="center"/>
              <w:rPr>
                <w:rFonts w:ascii="宋体"/>
                <w:szCs w:val="21"/>
              </w:rPr>
            </w:pPr>
            <w:r>
              <w:rPr>
                <w:rFonts w:hint="eastAsia" w:ascii="宋体" w:hAnsi="宋体"/>
                <w:szCs w:val="21"/>
              </w:rPr>
              <w:t>时间</w:t>
            </w:r>
          </w:p>
        </w:tc>
        <w:tc>
          <w:tcPr>
            <w:tcW w:w="3156" w:type="dxa"/>
            <w:gridSpan w:val="3"/>
            <w:vAlign w:val="center"/>
          </w:tcPr>
          <w:p>
            <w:pPr>
              <w:spacing w:line="440" w:lineRule="exact"/>
              <w:jc w:val="center"/>
              <w:rPr>
                <w:rFonts w:ascii="宋体"/>
                <w:szCs w:val="21"/>
              </w:rPr>
            </w:pPr>
            <w:r>
              <w:rPr>
                <w:rFonts w:hint="eastAsia" w:ascii="宋体" w:hAnsi="宋体"/>
                <w:szCs w:val="21"/>
              </w:rPr>
              <w:t>参加过的类似项目名称</w:t>
            </w:r>
          </w:p>
        </w:tc>
        <w:tc>
          <w:tcPr>
            <w:tcW w:w="1663" w:type="dxa"/>
            <w:vAlign w:val="center"/>
          </w:tcPr>
          <w:p>
            <w:pPr>
              <w:spacing w:line="440" w:lineRule="exact"/>
              <w:jc w:val="center"/>
              <w:rPr>
                <w:rFonts w:ascii="宋体"/>
                <w:szCs w:val="21"/>
              </w:rPr>
            </w:pPr>
            <w:r>
              <w:rPr>
                <w:rFonts w:hint="eastAsia" w:ascii="宋体" w:hAnsi="宋体"/>
                <w:szCs w:val="21"/>
              </w:rPr>
              <w:t>工程概况说明</w:t>
            </w:r>
          </w:p>
        </w:tc>
        <w:tc>
          <w:tcPr>
            <w:tcW w:w="2602" w:type="dxa"/>
            <w:vAlign w:val="center"/>
          </w:tcPr>
          <w:p>
            <w:pPr>
              <w:spacing w:line="440" w:lineRule="exact"/>
              <w:jc w:val="center"/>
              <w:rPr>
                <w:rFonts w:ascii="宋体"/>
                <w:szCs w:val="21"/>
              </w:rPr>
            </w:pPr>
            <w:r>
              <w:rPr>
                <w:rFonts w:hint="eastAsia"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tcPr>
          <w:p>
            <w:pPr>
              <w:spacing w:line="440" w:lineRule="exact"/>
              <w:rPr>
                <w:rFonts w:ascii="宋体"/>
                <w:szCs w:val="21"/>
              </w:rPr>
            </w:pPr>
          </w:p>
        </w:tc>
        <w:tc>
          <w:tcPr>
            <w:tcW w:w="3156" w:type="dxa"/>
            <w:gridSpan w:val="3"/>
          </w:tcPr>
          <w:p>
            <w:pPr>
              <w:spacing w:line="440" w:lineRule="exact"/>
              <w:rPr>
                <w:rFonts w:ascii="宋体"/>
                <w:szCs w:val="21"/>
              </w:rPr>
            </w:pPr>
          </w:p>
        </w:tc>
        <w:tc>
          <w:tcPr>
            <w:tcW w:w="1663" w:type="dxa"/>
          </w:tcPr>
          <w:p>
            <w:pPr>
              <w:spacing w:line="440" w:lineRule="exact"/>
              <w:rPr>
                <w:rFonts w:ascii="宋体"/>
                <w:szCs w:val="21"/>
              </w:rPr>
            </w:pPr>
          </w:p>
        </w:tc>
        <w:tc>
          <w:tcPr>
            <w:tcW w:w="2602" w:type="dxa"/>
          </w:tcPr>
          <w:p>
            <w:pPr>
              <w:spacing w:line="4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1" w:type="dxa"/>
            <w:vAlign w:val="center"/>
          </w:tcPr>
          <w:p>
            <w:pPr>
              <w:spacing w:line="440" w:lineRule="exact"/>
              <w:rPr>
                <w:rFonts w:eastAsia="黑体"/>
                <w:szCs w:val="21"/>
              </w:rPr>
            </w:pPr>
          </w:p>
        </w:tc>
        <w:tc>
          <w:tcPr>
            <w:tcW w:w="3156" w:type="dxa"/>
            <w:gridSpan w:val="3"/>
            <w:vAlign w:val="center"/>
          </w:tcPr>
          <w:p>
            <w:pPr>
              <w:spacing w:line="440" w:lineRule="exact"/>
              <w:rPr>
                <w:rFonts w:eastAsia="黑体"/>
                <w:szCs w:val="21"/>
              </w:rPr>
            </w:pPr>
          </w:p>
        </w:tc>
        <w:tc>
          <w:tcPr>
            <w:tcW w:w="1663" w:type="dxa"/>
            <w:vAlign w:val="center"/>
          </w:tcPr>
          <w:p>
            <w:pPr>
              <w:spacing w:line="440" w:lineRule="exact"/>
              <w:rPr>
                <w:rFonts w:eastAsia="黑体"/>
                <w:szCs w:val="21"/>
              </w:rPr>
            </w:pPr>
          </w:p>
        </w:tc>
        <w:tc>
          <w:tcPr>
            <w:tcW w:w="2602" w:type="dxa"/>
            <w:vAlign w:val="center"/>
          </w:tcPr>
          <w:p>
            <w:pPr>
              <w:spacing w:line="440" w:lineRule="exact"/>
              <w:rPr>
                <w:rFonts w:eastAsia="黑体"/>
                <w:szCs w:val="21"/>
              </w:rPr>
            </w:pPr>
          </w:p>
        </w:tc>
      </w:tr>
    </w:tbl>
    <w:p>
      <w:pPr>
        <w:spacing w:line="400" w:lineRule="exact"/>
        <w:ind w:firstLine="420" w:firstLineChars="200"/>
      </w:pPr>
    </w:p>
    <w:p>
      <w:pPr>
        <w:pStyle w:val="4"/>
        <w:rPr>
          <w:sz w:val="21"/>
          <w:szCs w:val="21"/>
        </w:rPr>
      </w:pPr>
      <w:bookmarkStart w:id="223" w:name="_Toc152045812"/>
      <w:bookmarkStart w:id="224" w:name="_Toc152042601"/>
      <w:bookmarkStart w:id="225" w:name="_Toc144974880"/>
      <w:bookmarkStart w:id="226" w:name="_Toc179632832"/>
    </w:p>
    <w:p>
      <w:pPr>
        <w:pStyle w:val="4"/>
      </w:pPr>
    </w:p>
    <w:p/>
    <w:p/>
    <w:p/>
    <w:p/>
    <w:p/>
    <w:p>
      <w:pPr>
        <w:pStyle w:val="5"/>
        <w:jc w:val="center"/>
        <w:rPr>
          <w:rFonts w:ascii="Arial" w:hAnsi="Arial"/>
          <w:b/>
          <w:bCs/>
          <w:sz w:val="21"/>
          <w:szCs w:val="21"/>
        </w:rPr>
      </w:pPr>
    </w:p>
    <w:p>
      <w:pPr>
        <w:pStyle w:val="5"/>
        <w:jc w:val="center"/>
        <w:rPr>
          <w:rFonts w:ascii="Arial" w:hAnsi="Arial"/>
          <w:b/>
          <w:bCs/>
          <w:sz w:val="32"/>
        </w:rPr>
      </w:pPr>
      <w:r>
        <w:rPr>
          <w:rFonts w:hint="eastAsia" w:ascii="Arial" w:hAnsi="Arial"/>
          <w:b/>
          <w:bCs/>
          <w:sz w:val="32"/>
        </w:rPr>
        <w:t>七、资格审查资料</w:t>
      </w:r>
    </w:p>
    <w:p>
      <w:pPr>
        <w:pStyle w:val="5"/>
        <w:jc w:val="center"/>
      </w:pPr>
      <w:bookmarkStart w:id="227" w:name="_Toc275956239"/>
      <w:bookmarkStart w:id="228" w:name="_Toc179632828"/>
      <w:bookmarkStart w:id="229" w:name="_Toc152042597"/>
      <w:bookmarkStart w:id="230" w:name="_Toc241459836"/>
      <w:bookmarkStart w:id="231" w:name="_Toc152045808"/>
      <w:bookmarkStart w:id="232" w:name="_Toc144974876"/>
      <w:bookmarkStart w:id="233" w:name="_Toc241484788"/>
      <w:r>
        <w:rPr>
          <w:rFonts w:hint="eastAsia"/>
        </w:rPr>
        <w:t>投标人基本情况表</w:t>
      </w:r>
      <w:bookmarkEnd w:id="227"/>
      <w:bookmarkEnd w:id="228"/>
      <w:bookmarkEnd w:id="229"/>
      <w:bookmarkEnd w:id="230"/>
      <w:bookmarkEnd w:id="231"/>
      <w:bookmarkEnd w:id="232"/>
      <w:bookmarkEnd w:id="233"/>
    </w:p>
    <w:tbl>
      <w:tblPr>
        <w:tblStyle w:val="19"/>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投标人名称</w:t>
            </w:r>
          </w:p>
        </w:tc>
        <w:tc>
          <w:tcPr>
            <w:tcW w:w="6839"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FF"/>
                <w:szCs w:val="21"/>
              </w:rPr>
            </w:pPr>
            <w:r>
              <w:rPr>
                <w:rFonts w:hint="eastAsia"/>
                <w:szCs w:val="21"/>
              </w:rPr>
              <w:t>组织机构代码</w:t>
            </w:r>
          </w:p>
        </w:tc>
        <w:tc>
          <w:tcPr>
            <w:tcW w:w="6839"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技术负责人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成立时间</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szCs w:val="21"/>
              </w:rPr>
            </w:pPr>
            <w:r>
              <w:rPr>
                <w:rFonts w:hint="eastAsia"/>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企业资质等级</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营业执照号</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注册资金</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开户银行</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账号</w:t>
            </w:r>
          </w:p>
        </w:tc>
        <w:tc>
          <w:tcPr>
            <w:tcW w:w="184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15"/>
            </w:pPr>
            <w:r>
              <w:rPr>
                <w:rFonts w:hint="eastAsia"/>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5" w:hRule="atLeast"/>
        </w:trPr>
        <w:tc>
          <w:tcPr>
            <w:tcW w:w="1726" w:type="dxa"/>
            <w:tcBorders>
              <w:top w:val="single" w:color="auto" w:sz="4" w:space="0"/>
              <w:left w:val="single" w:color="auto" w:sz="4" w:space="0"/>
              <w:bottom w:val="nil"/>
              <w:right w:val="single" w:color="auto" w:sz="4" w:space="0"/>
            </w:tcBorders>
            <w:vAlign w:val="center"/>
          </w:tcPr>
          <w:p>
            <w:pPr>
              <w:topLinePunct/>
              <w:spacing w:line="440" w:lineRule="exact"/>
              <w:ind w:firstLine="210" w:firstLineChars="100"/>
              <w:jc w:val="center"/>
              <w:rPr>
                <w:szCs w:val="21"/>
              </w:rPr>
            </w:pPr>
            <w:r>
              <w:rPr>
                <w:rFonts w:hint="eastAsia"/>
                <w:szCs w:val="21"/>
              </w:rPr>
              <w:t>经营范围</w:t>
            </w:r>
          </w:p>
        </w:tc>
        <w:tc>
          <w:tcPr>
            <w:tcW w:w="6839" w:type="dxa"/>
            <w:gridSpan w:val="9"/>
            <w:tcBorders>
              <w:top w:val="single" w:color="auto" w:sz="4" w:space="0"/>
              <w:left w:val="single" w:color="auto" w:sz="4" w:space="0"/>
              <w:bottom w:val="nil"/>
              <w:right w:val="single" w:color="auto" w:sz="4" w:space="0"/>
            </w:tcBorders>
            <w:vAlign w:val="center"/>
          </w:tcPr>
          <w:p>
            <w:pPr>
              <w:topLinePunct/>
              <w:spacing w:line="440" w:lineRule="exact"/>
              <w:jc w:val="center"/>
              <w:rPr>
                <w:szCs w:val="21"/>
              </w:rPr>
            </w:pPr>
          </w:p>
          <w:p>
            <w:pPr>
              <w:topLinePunct/>
              <w:spacing w:line="440" w:lineRule="exact"/>
              <w:jc w:val="center"/>
              <w:rPr>
                <w:szCs w:val="21"/>
              </w:rPr>
            </w:pPr>
          </w:p>
          <w:p>
            <w:pPr>
              <w:topLinePunct/>
              <w:spacing w:line="440" w:lineRule="exact"/>
              <w:jc w:val="center"/>
              <w:rPr>
                <w:szCs w:val="21"/>
              </w:rPr>
            </w:pPr>
          </w:p>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备注</w:t>
            </w:r>
          </w:p>
        </w:tc>
        <w:tc>
          <w:tcPr>
            <w:tcW w:w="6839"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rPr>
                <w:szCs w:val="21"/>
              </w:rPr>
            </w:pPr>
            <w:r>
              <w:rPr>
                <w:rFonts w:hint="eastAsia"/>
                <w:szCs w:val="21"/>
              </w:rPr>
              <w:t>账号是指：</w:t>
            </w:r>
            <w:r>
              <w:rPr>
                <w:rFonts w:hint="eastAsia" w:ascii="宋体" w:hAnsi="宋体" w:cs="仿宋_GB2312"/>
                <w:kern w:val="0"/>
                <w:szCs w:val="21"/>
              </w:rPr>
              <w:t>企业基本存款账户开户许可证上载明的账号</w:t>
            </w:r>
          </w:p>
        </w:tc>
      </w:tr>
    </w:tbl>
    <w:p>
      <w:pPr>
        <w:spacing w:line="280" w:lineRule="exact"/>
        <w:ind w:left="400" w:hanging="400" w:hangingChars="200"/>
        <w:rPr>
          <w:szCs w:val="21"/>
        </w:rPr>
      </w:pPr>
      <w:r>
        <w:rPr>
          <w:rFonts w:hint="eastAsia" w:ascii="黑体" w:hAnsi="宋体" w:eastAsia="黑体"/>
          <w:color w:val="000000"/>
          <w:sz w:val="20"/>
          <w:szCs w:val="20"/>
        </w:rPr>
        <w:t>备注：</w:t>
      </w:r>
      <w:r>
        <w:rPr>
          <w:rFonts w:hint="eastAsia"/>
          <w:szCs w:val="21"/>
        </w:rPr>
        <w:t>本表后应附企业法人营业执照、企业资质证书副本、安全生产许可证、</w:t>
      </w:r>
      <w:r>
        <w:rPr>
          <w:rFonts w:hint="eastAsia" w:ascii="宋体" w:hAnsi="宋体" w:cs="仿宋_GB2312"/>
          <w:kern w:val="0"/>
          <w:szCs w:val="21"/>
        </w:rPr>
        <w:t>企业基本存款账户开户许可证</w:t>
      </w:r>
      <w:r>
        <w:rPr>
          <w:rFonts w:hint="eastAsia"/>
          <w:szCs w:val="21"/>
        </w:rPr>
        <w:t>等材料的复印件。</w:t>
      </w:r>
    </w:p>
    <w:p>
      <w:pPr>
        <w:spacing w:line="280" w:lineRule="exact"/>
        <w:ind w:left="420" w:hanging="420" w:hangingChars="200"/>
        <w:rPr>
          <w:szCs w:val="21"/>
        </w:rPr>
      </w:pPr>
    </w:p>
    <w:p>
      <w:pPr>
        <w:spacing w:line="280" w:lineRule="exact"/>
        <w:ind w:left="420" w:hanging="420" w:hangingChars="200"/>
        <w:rPr>
          <w:color w:val="000000"/>
          <w:szCs w:val="21"/>
        </w:rPr>
      </w:pPr>
    </w:p>
    <w:bookmarkEnd w:id="223"/>
    <w:bookmarkEnd w:id="224"/>
    <w:bookmarkEnd w:id="225"/>
    <w:bookmarkEnd w:id="226"/>
    <w:p>
      <w:pPr>
        <w:pStyle w:val="5"/>
        <w:jc w:val="center"/>
        <w:rPr>
          <w:rFonts w:ascii="Arial" w:hAnsi="Arial"/>
          <w:b/>
          <w:bCs/>
          <w:sz w:val="32"/>
        </w:rPr>
      </w:pPr>
    </w:p>
    <w:p>
      <w:pPr>
        <w:pStyle w:val="5"/>
        <w:jc w:val="center"/>
        <w:rPr>
          <w:rFonts w:ascii="Arial" w:hAnsi="Arial"/>
          <w:b/>
          <w:bCs/>
          <w:sz w:val="32"/>
        </w:rPr>
      </w:pPr>
      <w:r>
        <w:rPr>
          <w:rFonts w:hint="eastAsia" w:ascii="Arial" w:hAnsi="Arial"/>
          <w:b/>
          <w:bCs/>
          <w:sz w:val="32"/>
        </w:rPr>
        <w:t>八、投标承诺书</w:t>
      </w:r>
    </w:p>
    <w:p>
      <w:pPr>
        <w:spacing w:line="500" w:lineRule="exact"/>
        <w:jc w:val="center"/>
        <w:rPr>
          <w:rFonts w:ascii="宋体" w:hAnsi="宋体"/>
          <w:sz w:val="32"/>
          <w:szCs w:val="32"/>
        </w:rPr>
      </w:pPr>
      <w:r>
        <w:rPr>
          <w:rFonts w:hint="eastAsia" w:ascii="黑体" w:hAnsi="Arial" w:eastAsia="黑体" w:cs="Arial"/>
          <w:sz w:val="32"/>
          <w:szCs w:val="32"/>
        </w:rPr>
        <w:t>投标承诺书</w:t>
      </w:r>
    </w:p>
    <w:p>
      <w:pPr>
        <w:spacing w:line="500" w:lineRule="exact"/>
        <w:rPr>
          <w:rFonts w:ascii="宋体" w:hAnsi="宋体"/>
          <w:sz w:val="24"/>
        </w:rPr>
      </w:pPr>
      <w:r>
        <w:rPr>
          <w:rFonts w:hint="eastAsia" w:ascii="宋体" w:hAnsi="宋体"/>
          <w:sz w:val="24"/>
        </w:rPr>
        <w:t>本公司承诺：</w:t>
      </w:r>
    </w:p>
    <w:p>
      <w:pPr>
        <w:spacing w:line="500" w:lineRule="exact"/>
        <w:ind w:firstLine="480" w:firstLineChars="200"/>
        <w:rPr>
          <w:rFonts w:ascii="宋体" w:hAnsi="宋体"/>
          <w:sz w:val="24"/>
        </w:rPr>
      </w:pPr>
      <w:r>
        <w:rPr>
          <w:rFonts w:hint="eastAsia" w:ascii="宋体" w:hAnsi="宋体"/>
          <w:sz w:val="24"/>
        </w:rPr>
        <w:t>一、不在企业诚信库、建筑市场信用管理平台和投标文件中提供虚假材料、信息。</w:t>
      </w:r>
    </w:p>
    <w:p>
      <w:pPr>
        <w:spacing w:line="500" w:lineRule="exact"/>
        <w:ind w:firstLine="480" w:firstLineChars="200"/>
        <w:rPr>
          <w:rFonts w:ascii="宋体" w:hAnsi="宋体"/>
          <w:sz w:val="24"/>
        </w:rPr>
      </w:pPr>
      <w:r>
        <w:rPr>
          <w:rFonts w:hint="eastAsia" w:ascii="宋体" w:hAnsi="宋体"/>
          <w:sz w:val="24"/>
        </w:rPr>
        <w:t>二、不与招标人（招标代理）或其他投标人串通投标。</w:t>
      </w:r>
    </w:p>
    <w:p>
      <w:pPr>
        <w:spacing w:line="500" w:lineRule="exact"/>
        <w:ind w:firstLine="480" w:firstLineChars="200"/>
        <w:rPr>
          <w:rFonts w:ascii="宋体" w:hAnsi="宋体"/>
          <w:sz w:val="24"/>
        </w:rPr>
      </w:pPr>
      <w:r>
        <w:rPr>
          <w:rFonts w:hint="eastAsia" w:ascii="宋体" w:hAnsi="宋体"/>
          <w:sz w:val="24"/>
        </w:rPr>
        <w:t>三、不向招标人（招标代理）或评标委员会成员行贿，以谋取中标。</w:t>
      </w:r>
    </w:p>
    <w:p>
      <w:pPr>
        <w:spacing w:line="500" w:lineRule="exact"/>
        <w:ind w:firstLine="480" w:firstLineChars="200"/>
        <w:rPr>
          <w:rFonts w:ascii="宋体" w:hAnsi="宋体"/>
          <w:sz w:val="24"/>
        </w:rPr>
      </w:pPr>
      <w:r>
        <w:rPr>
          <w:rFonts w:hint="eastAsia" w:ascii="宋体" w:hAnsi="宋体"/>
          <w:sz w:val="24"/>
        </w:rPr>
        <w:t>四、不以他人名义投标或者其他方式弄虚作假，骗取中标。</w:t>
      </w:r>
    </w:p>
    <w:p>
      <w:pPr>
        <w:spacing w:line="500" w:lineRule="exact"/>
        <w:ind w:firstLine="480" w:firstLineChars="200"/>
        <w:rPr>
          <w:rFonts w:ascii="宋体" w:hAnsi="宋体"/>
          <w:sz w:val="24"/>
        </w:rPr>
      </w:pPr>
      <w:r>
        <w:rPr>
          <w:rFonts w:hint="eastAsia" w:ascii="宋体" w:hAnsi="宋体"/>
          <w:sz w:val="24"/>
        </w:rPr>
        <w:t>五、中标后在招标文件规定的时间内依法与招标人签订合同。</w:t>
      </w:r>
    </w:p>
    <w:p>
      <w:pPr>
        <w:spacing w:line="500" w:lineRule="exact"/>
        <w:ind w:firstLine="480" w:firstLineChars="200"/>
        <w:rPr>
          <w:rFonts w:ascii="宋体" w:hAnsi="宋体"/>
          <w:sz w:val="24"/>
        </w:rPr>
      </w:pPr>
      <w:r>
        <w:rPr>
          <w:rFonts w:hint="eastAsia" w:ascii="宋体" w:hAnsi="宋体"/>
          <w:sz w:val="24"/>
        </w:rPr>
        <w:t>六、不转包、违法分包中标项目。</w:t>
      </w:r>
    </w:p>
    <w:p>
      <w:pPr>
        <w:spacing w:line="500" w:lineRule="exact"/>
        <w:ind w:firstLine="480" w:firstLineChars="200"/>
        <w:rPr>
          <w:rFonts w:ascii="宋体" w:hAnsi="宋体"/>
          <w:sz w:val="24"/>
        </w:rPr>
      </w:pPr>
      <w:r>
        <w:rPr>
          <w:rFonts w:hint="eastAsia" w:ascii="宋体" w:hAnsi="宋体"/>
          <w:sz w:val="24"/>
        </w:rPr>
        <w:t>七、不进行缺乏事实根据或者法律依据的投诉。</w:t>
      </w:r>
    </w:p>
    <w:p>
      <w:pPr>
        <w:spacing w:line="500" w:lineRule="exact"/>
        <w:ind w:firstLine="480" w:firstLineChars="200"/>
        <w:rPr>
          <w:rFonts w:ascii="宋体" w:hAnsi="宋体"/>
          <w:sz w:val="24"/>
        </w:rPr>
      </w:pPr>
      <w:r>
        <w:rPr>
          <w:rFonts w:hint="eastAsia" w:ascii="宋体" w:hAnsi="宋体"/>
          <w:sz w:val="24"/>
        </w:rPr>
        <w:t>八、本公司拟派往本工程的项目经理现阶段没有担任其他在建建设工程项目的项目经理。</w:t>
      </w:r>
    </w:p>
    <w:p>
      <w:pPr>
        <w:spacing w:line="500" w:lineRule="exact"/>
        <w:ind w:firstLine="480" w:firstLineChars="200"/>
        <w:rPr>
          <w:rFonts w:ascii="宋体" w:hAnsi="宋体"/>
          <w:sz w:val="24"/>
        </w:rPr>
      </w:pPr>
      <w:r>
        <w:rPr>
          <w:rFonts w:hint="eastAsia" w:ascii="宋体" w:hAnsi="宋体"/>
          <w:sz w:val="24"/>
        </w:rPr>
        <w:t>本公司一旦违反上述承诺，将无条件接受招标人、主管部门作出的取消中标资格、记入信用档案、不退还投标保证金等处理。</w:t>
      </w:r>
    </w:p>
    <w:p>
      <w:pPr>
        <w:spacing w:line="500" w:lineRule="exact"/>
        <w:ind w:firstLine="480" w:firstLineChars="200"/>
        <w:rPr>
          <w:rFonts w:ascii="宋体" w:hAnsi="宋体"/>
          <w:sz w:val="24"/>
        </w:rPr>
      </w:pPr>
    </w:p>
    <w:p>
      <w:pPr>
        <w:spacing w:line="480" w:lineRule="auto"/>
        <w:ind w:firstLine="424" w:firstLineChars="177"/>
        <w:rPr>
          <w:sz w:val="24"/>
        </w:rPr>
      </w:pPr>
      <w:r>
        <w:rPr>
          <w:rFonts w:hint="eastAsia"/>
          <w:sz w:val="24"/>
        </w:rPr>
        <w:t>投标人：(盖章)</w:t>
      </w:r>
    </w:p>
    <w:p>
      <w:pPr>
        <w:spacing w:line="480" w:lineRule="auto"/>
        <w:ind w:firstLine="424" w:firstLineChars="177"/>
        <w:rPr>
          <w:sz w:val="24"/>
        </w:rPr>
      </w:pPr>
      <w:r>
        <w:rPr>
          <w:rFonts w:hint="eastAsia"/>
          <w:sz w:val="24"/>
        </w:rPr>
        <w:t>法定代表人或其委托代理人：(签字或盖章)</w:t>
      </w:r>
    </w:p>
    <w:p>
      <w:pPr>
        <w:spacing w:line="400" w:lineRule="exact"/>
        <w:rPr>
          <w:szCs w:val="21"/>
        </w:rPr>
      </w:pPr>
    </w:p>
    <w:p>
      <w:pPr>
        <w:spacing w:line="440" w:lineRule="exact"/>
        <w:ind w:firstLine="5880" w:firstLineChars="2450"/>
        <w:rPr>
          <w:sz w:val="24"/>
        </w:rPr>
      </w:pPr>
      <w:r>
        <w:rPr>
          <w:rFonts w:hint="eastAsia"/>
          <w:sz w:val="24"/>
        </w:rPr>
        <w:t>2022年  月  日</w:t>
      </w:r>
    </w:p>
    <w:p>
      <w:pPr>
        <w:pStyle w:val="4"/>
        <w:rPr>
          <w:color w:val="000000"/>
        </w:rPr>
      </w:pPr>
    </w:p>
    <w:p>
      <w:pPr>
        <w:pStyle w:val="4"/>
        <w:numPr>
          <w:ilvl w:val="0"/>
          <w:numId w:val="5"/>
        </w:numPr>
        <w:rPr>
          <w:rFonts w:hint="eastAsia"/>
          <w:color w:val="000000"/>
        </w:rPr>
      </w:pPr>
      <w:r>
        <w:rPr>
          <w:rFonts w:hint="eastAsia"/>
          <w:color w:val="000000"/>
        </w:rPr>
        <w:t>其他材料</w:t>
      </w:r>
    </w:p>
    <w:p>
      <w:pPr>
        <w:numPr>
          <w:ilvl w:val="0"/>
          <w:numId w:val="0"/>
        </w:numPr>
      </w:pPr>
    </w:p>
    <w:p>
      <w:pPr>
        <w:pStyle w:val="2"/>
      </w:pPr>
    </w:p>
    <w:p>
      <w:pPr>
        <w:pStyle w:val="2"/>
      </w:pPr>
    </w:p>
    <w:p>
      <w:pPr>
        <w:pStyle w:val="2"/>
      </w:pPr>
    </w:p>
    <w:p>
      <w:pPr>
        <w:jc w:val="center"/>
        <w:rPr>
          <w:rFonts w:hint="eastAsia" w:ascii="Times New Roman" w:hAnsi="Times New Roman" w:eastAsia="仿宋_GB2312"/>
          <w:bCs/>
          <w:color w:val="000000"/>
          <w:sz w:val="28"/>
          <w:szCs w:val="28"/>
        </w:rPr>
      </w:pPr>
    </w:p>
    <w:p>
      <w:pPr>
        <w:jc w:val="center"/>
        <w:rPr>
          <w:rFonts w:ascii="Times New Roman" w:hAnsi="Times New Roman" w:eastAsia="华文中宋"/>
          <w:b/>
          <w:color w:val="000000"/>
          <w:sz w:val="28"/>
          <w:szCs w:val="28"/>
        </w:rPr>
      </w:pPr>
    </w:p>
    <w:p>
      <w:pPr>
        <w:jc w:val="center"/>
        <w:rPr>
          <w:rFonts w:ascii="Times New Roman" w:hAnsi="Times New Roman" w:eastAsia="华文中宋"/>
          <w:b/>
          <w:color w:val="000000"/>
          <w:sz w:val="28"/>
          <w:szCs w:val="28"/>
        </w:rPr>
      </w:pPr>
    </w:p>
    <w:p>
      <w:pPr>
        <w:jc w:val="center"/>
        <w:rPr>
          <w:rFonts w:ascii="Times New Roman" w:hAnsi="Times New Roman" w:eastAsia="华文中宋"/>
          <w:b/>
          <w:color w:val="000000"/>
          <w:sz w:val="28"/>
          <w:szCs w:val="28"/>
        </w:rPr>
      </w:pPr>
    </w:p>
    <w:p>
      <w:pPr>
        <w:jc w:val="center"/>
        <w:rPr>
          <w:rFonts w:ascii="Times New Roman" w:hAnsi="Times New Roman" w:eastAsia="华文中宋"/>
          <w:b/>
          <w:color w:val="000000"/>
          <w:sz w:val="28"/>
          <w:szCs w:val="28"/>
        </w:rPr>
      </w:pPr>
    </w:p>
    <w:p>
      <w:pPr>
        <w:jc w:val="center"/>
        <w:rPr>
          <w:rFonts w:ascii="Times New Roman" w:hAnsi="Times New Roman" w:eastAsia="华文中宋"/>
          <w:b/>
          <w:color w:val="000000"/>
          <w:sz w:val="52"/>
          <w:szCs w:val="52"/>
        </w:rPr>
      </w:pPr>
      <w:r>
        <w:rPr>
          <w:rFonts w:hint="eastAsia" w:eastAsia="华文中宋"/>
          <w:b/>
          <w:color w:val="000000"/>
          <w:sz w:val="52"/>
          <w:szCs w:val="52"/>
          <w:lang w:eastAsia="zh-CN"/>
        </w:rPr>
        <w:t>六、</w:t>
      </w:r>
      <w:r>
        <w:rPr>
          <w:rFonts w:ascii="Times New Roman" w:hAnsi="Times New Roman" w:eastAsia="华文中宋"/>
          <w:b/>
          <w:color w:val="000000"/>
          <w:sz w:val="52"/>
          <w:szCs w:val="52"/>
        </w:rPr>
        <w:t>建</w:t>
      </w:r>
      <w:r>
        <w:rPr>
          <w:rFonts w:hint="eastAsia" w:ascii="黑体" w:hAnsi="Times New Roman" w:eastAsia="黑体"/>
          <w:b/>
          <w:color w:val="000000"/>
          <w:sz w:val="52"/>
          <w:szCs w:val="52"/>
        </w:rPr>
        <w:t>设</w:t>
      </w:r>
      <w:r>
        <w:rPr>
          <w:rFonts w:ascii="Times New Roman" w:hAnsi="Times New Roman" w:eastAsia="华文中宋"/>
          <w:b/>
          <w:color w:val="000000"/>
          <w:sz w:val="52"/>
          <w:szCs w:val="52"/>
        </w:rPr>
        <w:t>工程施工合同</w:t>
      </w:r>
      <w:r>
        <w:rPr>
          <w:rFonts w:ascii="Times New Roman" w:hAnsi="Times New Roman" w:eastAsia="华文中宋"/>
          <w:b/>
          <w:color w:val="000000"/>
          <w:sz w:val="52"/>
          <w:szCs w:val="52"/>
        </w:rPr>
        <w:br w:type="textWrapping"/>
      </w:r>
    </w:p>
    <w:p>
      <w:pPr>
        <w:jc w:val="center"/>
        <w:rPr>
          <w:rFonts w:ascii="Times New Roman" w:hAnsi="Times New Roman" w:eastAsia="黑体"/>
          <w:b/>
          <w:color w:val="000000"/>
          <w:sz w:val="28"/>
          <w:szCs w:val="28"/>
        </w:rPr>
      </w:pPr>
    </w:p>
    <w:p>
      <w:pPr>
        <w:jc w:val="center"/>
        <w:rPr>
          <w:rFonts w:ascii="Times New Roman" w:hAnsi="Times New Roman" w:eastAsia="楷体_GB2312"/>
          <w:b/>
          <w:color w:val="000000"/>
          <w:sz w:val="28"/>
          <w:szCs w:val="28"/>
        </w:rPr>
      </w:pPr>
    </w:p>
    <w:p>
      <w:pPr>
        <w:jc w:val="center"/>
        <w:rPr>
          <w:rFonts w:ascii="Times New Roman" w:hAnsi="Times New Roman" w:eastAsia="黑体"/>
          <w:b/>
          <w:color w:val="000000"/>
          <w:sz w:val="28"/>
          <w:szCs w:val="28"/>
        </w:rPr>
      </w:pPr>
    </w:p>
    <w:p>
      <w:pPr>
        <w:rPr>
          <w:rFonts w:ascii="Times New Roman" w:hAnsi="Times New Roman"/>
          <w:b/>
          <w:color w:val="000000"/>
          <w:sz w:val="28"/>
          <w:szCs w:val="28"/>
        </w:rPr>
      </w:pPr>
    </w:p>
    <w:p>
      <w:pPr>
        <w:rPr>
          <w:rFonts w:ascii="Times New Roman" w:hAnsi="Times New Roman"/>
          <w:b/>
          <w:color w:val="000000"/>
          <w:sz w:val="28"/>
          <w:szCs w:val="28"/>
        </w:rPr>
      </w:pPr>
    </w:p>
    <w:p>
      <w:pPr>
        <w:rPr>
          <w:rFonts w:ascii="Times New Roman" w:hAnsi="Times New Roman"/>
          <w:b/>
          <w:color w:val="000000"/>
          <w:sz w:val="28"/>
          <w:szCs w:val="28"/>
        </w:rPr>
      </w:pPr>
    </w:p>
    <w:p>
      <w:pPr>
        <w:rPr>
          <w:rFonts w:ascii="Times New Roman" w:hAnsi="Times New Roman"/>
          <w:b/>
          <w:color w:val="000000"/>
          <w:sz w:val="28"/>
          <w:szCs w:val="28"/>
        </w:rPr>
      </w:pPr>
    </w:p>
    <w:p>
      <w:pPr>
        <w:rPr>
          <w:rFonts w:ascii="Times New Roman" w:hAnsi="Times New Roman"/>
          <w:b/>
          <w:color w:val="000000"/>
          <w:sz w:val="28"/>
          <w:szCs w:val="28"/>
        </w:rPr>
      </w:pPr>
    </w:p>
    <w:p>
      <w:pPr>
        <w:ind w:right="2719" w:rightChars="1295" w:firstLine="2700" w:firstLineChars="900"/>
        <w:rPr>
          <w:rFonts w:ascii="Times New Roman" w:hAnsi="Times New Roman"/>
          <w:b/>
          <w:color w:val="000000"/>
          <w:sz w:val="30"/>
          <w:szCs w:val="30"/>
        </w:rPr>
      </w:pPr>
      <w:r>
        <w:rPr>
          <w:rFonts w:ascii="Times New Roman" w:hAnsi="Times New Roman"/>
          <w:sz w:val="30"/>
          <w:szCs w:val="30"/>
        </w:rPr>
        <w:pict>
          <v:shape id="_x0000_s1026" o:spid="_x0000_s1026" o:spt="202" type="#_x0000_t202" style="position:absolute;left:0pt;margin-left:312.6pt;margin-top:9.45pt;height:36pt;width:57pt;z-index:251659264;mso-width-relative:page;mso-height-relative:page;" filled="f" stroked="t" coordsize="21600,21600">
            <v:path/>
            <v:fill on="f" focussize="0,0"/>
            <v:stroke color="#FFFFFF"/>
            <v:imagedata o:title=""/>
            <o:lock v:ext="edit" grouping="f" rotation="f" text="f" aspectratio="f"/>
            <v:textbox>
              <w:txbxContent>
                <w:p>
                  <w:pPr>
                    <w:rPr>
                      <w:rFonts w:hint="eastAsia"/>
                      <w:b/>
                      <w:bCs/>
                      <w:sz w:val="32"/>
                    </w:rPr>
                  </w:pPr>
                  <w:r>
                    <w:rPr>
                      <w:rFonts w:hint="eastAsia"/>
                      <w:b/>
                      <w:bCs/>
                      <w:sz w:val="32"/>
                    </w:rPr>
                    <w:t>制定</w:t>
                  </w:r>
                </w:p>
              </w:txbxContent>
            </v:textbox>
          </v:shape>
        </w:pict>
      </w:r>
      <w:r>
        <w:rPr>
          <w:rFonts w:ascii="Times New Roman" w:hAnsi="Times New Roman"/>
          <w:b/>
          <w:color w:val="000000"/>
          <w:sz w:val="30"/>
          <w:szCs w:val="30"/>
        </w:rPr>
        <w:t>住房和城乡建设部</w:t>
      </w:r>
    </w:p>
    <w:p>
      <w:pPr>
        <w:ind w:right="2719" w:rightChars="1295" w:firstLine="2578" w:firstLineChars="856"/>
        <w:jc w:val="distribute"/>
        <w:rPr>
          <w:rFonts w:ascii="Times New Roman" w:hAnsi="Times New Roman"/>
          <w:b/>
          <w:color w:val="000000"/>
          <w:sz w:val="30"/>
          <w:szCs w:val="30"/>
        </w:rPr>
      </w:pPr>
      <w:r>
        <w:rPr>
          <w:rFonts w:ascii="Times New Roman" w:hAnsi="Times New Roman"/>
          <w:b/>
          <w:color w:val="000000"/>
          <w:sz w:val="30"/>
          <w:szCs w:val="30"/>
        </w:rPr>
        <w:t>国家工商行政管理总局</w:t>
      </w:r>
    </w:p>
    <w:p>
      <w:pPr>
        <w:rPr>
          <w:rFonts w:ascii="Times New Roman" w:hAnsi="Times New Roman"/>
          <w:b/>
          <w:color w:val="000000"/>
          <w:sz w:val="28"/>
          <w:szCs w:val="28"/>
        </w:rPr>
      </w:pPr>
    </w:p>
    <w:p>
      <w:pPr>
        <w:pStyle w:val="46"/>
        <w:spacing w:before="0" w:after="0"/>
        <w:rPr>
          <w:rFonts w:ascii="Times New Roman" w:hAnsi="Times New Roman" w:eastAsia="仿宋_GB2312"/>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18" w:right="1555" w:bottom="1418" w:left="1531" w:header="851" w:footer="992" w:gutter="0"/>
          <w:pgNumType w:start="1"/>
          <w:cols w:space="720" w:num="1"/>
          <w:titlePg/>
          <w:docGrid w:type="lines" w:linePitch="312" w:charSpace="0"/>
        </w:sectPr>
      </w:pPr>
      <w:bookmarkStart w:id="234" w:name="_Toc296890982"/>
      <w:bookmarkStart w:id="235" w:name="_Toc351203480"/>
      <w:bookmarkStart w:id="236" w:name="_Toc296503025"/>
    </w:p>
    <w:p>
      <w:pPr>
        <w:pStyle w:val="5"/>
        <w:jc w:val="center"/>
        <w:rPr>
          <w:rFonts w:hint="eastAsia" w:ascii="黑体" w:hAnsi="Times New Roman" w:eastAsia="黑体"/>
          <w:b w:val="0"/>
          <w:color w:val="000000"/>
          <w:sz w:val="30"/>
          <w:szCs w:val="30"/>
        </w:rPr>
      </w:pPr>
      <w:r>
        <w:rPr>
          <w:rFonts w:hint="eastAsia" w:ascii="黑体" w:hAnsi="华文中宋" w:eastAsia="黑体"/>
          <w:sz w:val="30"/>
          <w:szCs w:val="30"/>
        </w:rPr>
        <w:t>第一部分 合同协议书</w:t>
      </w:r>
      <w:bookmarkEnd w:id="234"/>
      <w:bookmarkEnd w:id="235"/>
      <w:bookmarkEnd w:id="236"/>
    </w:p>
    <w:p>
      <w:pPr>
        <w:spacing w:line="360" w:lineRule="auto"/>
        <w:rPr>
          <w:rFonts w:ascii="Times New Roman" w:hAnsi="Times New Roman" w:eastAsia="仿宋_GB2312"/>
          <w:b/>
          <w:color w:val="000000"/>
          <w:szCs w:val="21"/>
          <w:u w:val="single"/>
        </w:rPr>
      </w:pPr>
      <w:r>
        <w:rPr>
          <w:rFonts w:ascii="Times New Roman" w:hAnsi="Times New Roman" w:eastAsia="仿宋_GB2312"/>
          <w:b/>
          <w:color w:val="000000"/>
          <w:szCs w:val="21"/>
        </w:rPr>
        <w:t>发包人（全称）：</w:t>
      </w:r>
      <w:r>
        <w:rPr>
          <w:rFonts w:ascii="Times New Roman" w:hAnsi="Times New Roman" w:eastAsia="仿宋_GB2312"/>
          <w:b/>
          <w:color w:val="000000"/>
          <w:szCs w:val="21"/>
          <w:u w:val="single"/>
        </w:rPr>
        <w:t></w:t>
      </w:r>
      <w:r>
        <w:rPr>
          <w:rFonts w:hint="eastAsia" w:ascii="Times New Roman" w:hAnsi="Times New Roman" w:eastAsia="仿宋_GB2312"/>
          <w:b/>
          <w:color w:val="000000"/>
          <w:szCs w:val="21"/>
          <w:u w:val="single"/>
        </w:rPr>
        <w:t>泰州职业技术学院</w:t>
      </w:r>
      <w:r>
        <w:rPr>
          <w:rFonts w:ascii="Times New Roman" w:hAnsi="Times New Roman" w:eastAsia="仿宋_GB2312"/>
          <w:b/>
          <w:color w:val="000000"/>
          <w:szCs w:val="21"/>
          <w:u w:val="single"/>
        </w:rPr>
        <w:t></w:t>
      </w:r>
    </w:p>
    <w:p>
      <w:pPr>
        <w:spacing w:line="360" w:lineRule="auto"/>
        <w:rPr>
          <w:rFonts w:ascii="Times New Roman" w:hAnsi="Times New Roman" w:eastAsia="仿宋_GB2312"/>
          <w:b/>
          <w:color w:val="000000"/>
          <w:szCs w:val="21"/>
          <w:u w:val="single"/>
        </w:rPr>
      </w:pPr>
      <w:r>
        <w:rPr>
          <w:rFonts w:ascii="Times New Roman" w:hAnsi="Times New Roman" w:eastAsia="仿宋_GB2312"/>
          <w:b/>
          <w:color w:val="000000"/>
          <w:szCs w:val="21"/>
        </w:rPr>
        <w:t>承包人（全称）：</w:t>
      </w:r>
      <w:r>
        <w:rPr>
          <w:rFonts w:ascii="Times New Roman" w:hAnsi="Times New Roman" w:eastAsia="仿宋_GB2312"/>
          <w:b/>
          <w:color w:val="000000"/>
          <w:szCs w:val="21"/>
          <w:u w:val="single"/>
        </w:rPr>
        <w:t></w:t>
      </w:r>
      <w:r>
        <w:rPr>
          <w:rFonts w:hint="eastAsia" w:ascii="Times New Roman" w:hAnsi="Times New Roman" w:eastAsia="仿宋_GB2312"/>
          <w:b/>
          <w:color w:val="000000"/>
          <w:szCs w:val="21"/>
          <w:u w:val="single"/>
        </w:rPr>
        <w:t xml:space="preserve">XXXXXXXXXXXXXX                   </w:t>
      </w:r>
    </w:p>
    <w:p>
      <w:pPr>
        <w:pStyle w:val="47"/>
        <w:adjustRightInd w:val="0"/>
        <w:snapToGrid w:val="0"/>
        <w:spacing w:line="560" w:lineRule="exact"/>
        <w:ind w:firstLine="400" w:firstLineChars="200"/>
        <w:rPr>
          <w:rFonts w:eastAsia="仿宋_GB2312"/>
          <w:color w:val="000000"/>
          <w:kern w:val="2"/>
          <w:sz w:val="21"/>
          <w:szCs w:val="21"/>
          <w:u w:val="single"/>
        </w:rPr>
      </w:pPr>
      <w:r>
        <w:rPr>
          <w:rFonts w:eastAsia="仿宋_GB2312"/>
          <w:color w:val="000000"/>
          <w:szCs w:val="21"/>
        </w:rPr>
        <w:t>根据《中华人民共和国合同法》、《中华人民共和国建筑法》及有关法律规定，遵循平等、自愿、公平和诚实信用的原则，双方就</w:t>
      </w:r>
      <w:r>
        <w:rPr>
          <w:rFonts w:hint="eastAsia" w:eastAsia="仿宋_GB2312"/>
          <w:color w:val="000000"/>
          <w:szCs w:val="21"/>
          <w:u w:val="single"/>
        </w:rPr>
        <w:t xml:space="preserve"> </w:t>
      </w:r>
      <w:r>
        <w:rPr>
          <w:rFonts w:hint="eastAsia" w:eastAsia="仿宋_GB2312"/>
          <w:color w:val="000000"/>
          <w:kern w:val="2"/>
          <w:sz w:val="21"/>
          <w:szCs w:val="21"/>
          <w:u w:val="single"/>
        </w:rPr>
        <w:t xml:space="preserve">???????????????? </w:t>
      </w:r>
      <w:r>
        <w:rPr>
          <w:rFonts w:eastAsia="仿宋_GB2312"/>
          <w:color w:val="000000"/>
          <w:szCs w:val="21"/>
        </w:rPr>
        <w:t>工程施工及有关事项协商一致</w:t>
      </w:r>
      <w:r>
        <w:rPr>
          <w:rFonts w:hint="eastAsia" w:eastAsia="仿宋_GB2312"/>
          <w:color w:val="000000"/>
          <w:szCs w:val="21"/>
        </w:rPr>
        <w:t>，</w:t>
      </w:r>
      <w:r>
        <w:rPr>
          <w:rFonts w:eastAsia="仿宋_GB2312"/>
          <w:color w:val="000000"/>
          <w:szCs w:val="21"/>
        </w:rPr>
        <w:t>共同达成如下协议：</w:t>
      </w:r>
    </w:p>
    <w:p>
      <w:pPr>
        <w:pStyle w:val="6"/>
        <w:spacing w:before="120" w:after="120" w:line="360" w:lineRule="auto"/>
        <w:rPr>
          <w:rFonts w:ascii="Times New Roman" w:hAnsi="Times New Roman" w:eastAsia="黑体"/>
          <w:bCs w:val="0"/>
          <w:color w:val="000000"/>
          <w:sz w:val="21"/>
          <w:szCs w:val="21"/>
        </w:rPr>
      </w:pPr>
      <w:r>
        <w:rPr>
          <w:rFonts w:ascii="Times New Roman" w:hAnsi="Times New Roman" w:eastAsia="黑体"/>
          <w:bCs w:val="0"/>
          <w:color w:val="000000"/>
          <w:sz w:val="21"/>
          <w:szCs w:val="21"/>
        </w:rPr>
        <w:t xml:space="preserve">   </w:t>
      </w:r>
      <w:r>
        <w:rPr>
          <w:rFonts w:ascii="Times New Roman" w:hAnsi="Times New Roman" w:eastAsia="黑体"/>
          <w:b w:val="0"/>
          <w:color w:val="000000"/>
          <w:sz w:val="21"/>
          <w:szCs w:val="21"/>
        </w:rPr>
        <w:t xml:space="preserve"> </w:t>
      </w:r>
      <w:bookmarkStart w:id="237" w:name="_Toc351203481"/>
      <w:r>
        <w:rPr>
          <w:rFonts w:ascii="Times New Roman" w:hAnsi="Times New Roman" w:eastAsia="黑体"/>
          <w:b w:val="0"/>
          <w:color w:val="000000"/>
          <w:sz w:val="21"/>
          <w:szCs w:val="21"/>
        </w:rPr>
        <w:t>一、工程概况</w:t>
      </w:r>
      <w:bookmarkEnd w:id="237"/>
    </w:p>
    <w:p>
      <w:pPr>
        <w:pStyle w:val="47"/>
        <w:adjustRightInd w:val="0"/>
        <w:snapToGrid w:val="0"/>
        <w:spacing w:line="560" w:lineRule="exact"/>
        <w:ind w:firstLine="400" w:firstLineChars="200"/>
        <w:rPr>
          <w:rFonts w:eastAsia="仿宋_GB2312"/>
          <w:color w:val="000000"/>
          <w:szCs w:val="21"/>
          <w:u w:val="single"/>
        </w:rPr>
      </w:pPr>
      <w:r>
        <w:rPr>
          <w:rFonts w:eastAsia="仿宋_GB2312"/>
          <w:bCs/>
          <w:color w:val="000000"/>
          <w:szCs w:val="21"/>
        </w:rPr>
        <w:t>1.工程名称</w:t>
      </w:r>
      <w:r>
        <w:rPr>
          <w:rFonts w:eastAsia="仿宋_GB2312"/>
          <w:color w:val="000000"/>
          <w:szCs w:val="21"/>
        </w:rPr>
        <w:t>：</w:t>
      </w:r>
      <w:r>
        <w:rPr>
          <w:rFonts w:hint="eastAsia" w:eastAsia="仿宋_GB2312"/>
          <w:color w:val="000000"/>
          <w:kern w:val="2"/>
          <w:sz w:val="21"/>
          <w:szCs w:val="21"/>
          <w:u w:val="single"/>
        </w:rPr>
        <w:t xml:space="preserve">  ????????????????</w:t>
      </w:r>
      <w:r>
        <w:rPr>
          <w:rFonts w:eastAsia="仿宋_GB2312"/>
          <w:color w:val="000000"/>
          <w:szCs w:val="21"/>
          <w:u w:val="single"/>
        </w:rPr>
        <w:t>工程</w:t>
      </w:r>
    </w:p>
    <w:p>
      <w:pPr>
        <w:spacing w:line="360" w:lineRule="auto"/>
        <w:ind w:firstLine="411" w:firstLineChars="196"/>
        <w:rPr>
          <w:rFonts w:ascii="Times New Roman" w:hAnsi="Times New Roman" w:eastAsia="仿宋_GB2312"/>
          <w:bCs/>
          <w:color w:val="000000"/>
          <w:szCs w:val="21"/>
        </w:rPr>
      </w:pPr>
      <w:r>
        <w:rPr>
          <w:rFonts w:ascii="Times New Roman" w:hAnsi="Times New Roman" w:eastAsia="仿宋_GB2312"/>
          <w:bCs/>
          <w:color w:val="000000"/>
          <w:szCs w:val="21"/>
        </w:rPr>
        <w:t>2.工程地点：</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泰州市天星路8号 </w:t>
      </w:r>
    </w:p>
    <w:p>
      <w:pPr>
        <w:spacing w:line="360" w:lineRule="auto"/>
        <w:ind w:firstLine="411" w:firstLineChars="196"/>
        <w:rPr>
          <w:rFonts w:ascii="Times New Roman" w:hAnsi="Times New Roman" w:eastAsia="仿宋_GB2312"/>
          <w:bCs/>
          <w:color w:val="000000"/>
          <w:szCs w:val="21"/>
        </w:rPr>
      </w:pPr>
      <w:r>
        <w:rPr>
          <w:rFonts w:ascii="Times New Roman" w:hAnsi="Times New Roman" w:eastAsia="仿宋_GB2312"/>
          <w:bCs/>
          <w:color w:val="000000"/>
          <w:szCs w:val="21"/>
        </w:rPr>
        <w:t>3.工程批准文号：</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ascii="Times New Roman" w:hAnsi="Times New Roman" w:eastAsia="仿宋_GB2312"/>
          <w:bCs/>
          <w:color w:val="000000"/>
          <w:szCs w:val="21"/>
        </w:rPr>
        <w:t>。</w:t>
      </w:r>
    </w:p>
    <w:p>
      <w:pPr>
        <w:spacing w:line="360" w:lineRule="auto"/>
        <w:ind w:firstLine="411" w:firstLineChars="196"/>
        <w:rPr>
          <w:rFonts w:hint="eastAsia" w:ascii="Times New Roman" w:hAnsi="Times New Roman" w:eastAsia="仿宋_GB2312"/>
          <w:bCs/>
          <w:color w:val="000000"/>
          <w:szCs w:val="21"/>
        </w:rPr>
      </w:pPr>
      <w:r>
        <w:rPr>
          <w:rFonts w:ascii="Times New Roman" w:hAnsi="Times New Roman" w:eastAsia="仿宋_GB2312"/>
          <w:bCs/>
          <w:color w:val="000000"/>
          <w:szCs w:val="21"/>
        </w:rPr>
        <w:t>4.资金来源：</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自筹</w:t>
      </w:r>
      <w:r>
        <w:rPr>
          <w:rFonts w:ascii="Times New Roman" w:hAnsi="Times New Roman" w:eastAsia="仿宋_GB2312"/>
          <w:color w:val="000000"/>
          <w:szCs w:val="21"/>
          <w:u w:val="single"/>
        </w:rPr>
        <w:t xml:space="preserve"> </w:t>
      </w:r>
      <w:r>
        <w:rPr>
          <w:rFonts w:ascii="Times New Roman" w:hAnsi="Times New Roman" w:eastAsia="仿宋_GB2312"/>
          <w:bCs/>
          <w:color w:val="000000"/>
          <w:szCs w:val="21"/>
        </w:rPr>
        <w:t>。</w:t>
      </w:r>
    </w:p>
    <w:p>
      <w:pPr>
        <w:ind w:firstLine="420" w:firstLineChars="200"/>
        <w:rPr>
          <w:rFonts w:hint="eastAsia" w:ascii="Times New Roman" w:hAnsi="Times New Roman" w:eastAsia="仿宋_GB2312"/>
          <w:color w:val="000000"/>
          <w:szCs w:val="21"/>
          <w:u w:val="single"/>
        </w:rPr>
      </w:pPr>
      <w:r>
        <w:rPr>
          <w:rFonts w:hint="eastAsia" w:ascii="Times New Roman" w:hAnsi="Times New Roman" w:eastAsia="仿宋_GB2312"/>
          <w:bCs/>
          <w:color w:val="000000"/>
          <w:szCs w:val="21"/>
        </w:rPr>
        <w:t>5.工程内容：</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详见工程量清单。 </w:t>
      </w:r>
    </w:p>
    <w:p>
      <w:pPr>
        <w:spacing w:line="360" w:lineRule="auto"/>
        <w:ind w:firstLine="411" w:firstLineChars="196"/>
        <w:rPr>
          <w:rFonts w:ascii="Times New Roman" w:hAnsi="Times New Roman" w:eastAsia="仿宋_GB2312"/>
          <w:bCs/>
          <w:color w:val="000000"/>
          <w:szCs w:val="21"/>
        </w:rPr>
      </w:pPr>
      <w:r>
        <w:rPr>
          <w:rFonts w:hint="eastAsia" w:ascii="Times New Roman" w:hAnsi="Times New Roman" w:eastAsia="仿宋_GB2312"/>
          <w:color w:val="000000"/>
          <w:szCs w:val="21"/>
        </w:rPr>
        <w:t>群体工程应附《</w:t>
      </w:r>
      <w:r>
        <w:rPr>
          <w:rFonts w:ascii="Times New Roman" w:hAnsi="Times New Roman" w:eastAsia="仿宋_GB2312"/>
          <w:color w:val="000000"/>
          <w:szCs w:val="21"/>
        </w:rPr>
        <w:t>承包人承揽工程项目一览表</w:t>
      </w:r>
      <w:r>
        <w:rPr>
          <w:rFonts w:hint="eastAsia" w:ascii="Times New Roman" w:hAnsi="Times New Roman" w:eastAsia="仿宋_GB2312"/>
          <w:color w:val="000000"/>
          <w:szCs w:val="21"/>
        </w:rPr>
        <w:t>》（附件1）。</w:t>
      </w:r>
    </w:p>
    <w:p>
      <w:pPr>
        <w:ind w:firstLine="420" w:firstLineChars="200"/>
        <w:rPr>
          <w:rFonts w:hint="eastAsia" w:ascii="Times New Roman" w:hAnsi="Times New Roman" w:eastAsia="仿宋_GB2312"/>
          <w:color w:val="000000"/>
          <w:szCs w:val="21"/>
          <w:u w:val="single"/>
        </w:rPr>
      </w:pPr>
      <w:r>
        <w:rPr>
          <w:rFonts w:hint="eastAsia" w:ascii="Times New Roman" w:hAnsi="Times New Roman" w:eastAsia="仿宋_GB2312"/>
          <w:bCs/>
          <w:color w:val="000000"/>
          <w:szCs w:val="21"/>
        </w:rPr>
        <w:t>6</w:t>
      </w:r>
      <w:r>
        <w:rPr>
          <w:rFonts w:ascii="Times New Roman" w:hAnsi="Times New Roman" w:eastAsia="仿宋_GB2312"/>
          <w:bCs/>
          <w:color w:val="000000"/>
          <w:szCs w:val="21"/>
        </w:rPr>
        <w:t>.工程承包范围：</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详见工程量清单。</w:t>
      </w:r>
    </w:p>
    <w:p>
      <w:pPr>
        <w:spacing w:line="360" w:lineRule="auto"/>
        <w:ind w:firstLine="413" w:firstLineChars="196"/>
        <w:rPr>
          <w:rFonts w:ascii="Times New Roman" w:hAnsi="Times New Roman" w:eastAsia="黑体"/>
          <w:b/>
          <w:color w:val="000000"/>
          <w:szCs w:val="21"/>
        </w:rPr>
      </w:pPr>
      <w:bookmarkStart w:id="238" w:name="_Toc351203482"/>
      <w:r>
        <w:rPr>
          <w:rFonts w:ascii="Times New Roman" w:hAnsi="Times New Roman" w:eastAsia="黑体"/>
          <w:b/>
          <w:color w:val="000000"/>
          <w:szCs w:val="21"/>
        </w:rPr>
        <w:t>二、合同工期</w:t>
      </w:r>
      <w:bookmarkEnd w:id="238"/>
    </w:p>
    <w:p>
      <w:pPr>
        <w:spacing w:line="360" w:lineRule="auto"/>
        <w:ind w:firstLine="459"/>
        <w:rPr>
          <w:rFonts w:ascii="Times New Roman" w:hAnsi="Times New Roman" w:eastAsia="仿宋_GB2312"/>
          <w:color w:val="000000"/>
          <w:szCs w:val="21"/>
          <w:u w:val="single"/>
        </w:rPr>
      </w:pPr>
      <w:r>
        <w:rPr>
          <w:rFonts w:ascii="Times New Roman" w:hAnsi="Times New Roman" w:eastAsia="仿宋_GB2312"/>
          <w:color w:val="000000"/>
          <w:szCs w:val="21"/>
        </w:rPr>
        <w:t>计划开工日期：</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p>
    <w:p>
      <w:pPr>
        <w:spacing w:line="360" w:lineRule="auto"/>
        <w:ind w:firstLine="459"/>
        <w:rPr>
          <w:rFonts w:ascii="Times New Roman" w:hAnsi="Times New Roman" w:eastAsia="仿宋_GB2312"/>
          <w:color w:val="000000"/>
          <w:szCs w:val="21"/>
        </w:rPr>
      </w:pPr>
      <w:r>
        <w:rPr>
          <w:rFonts w:ascii="Times New Roman" w:hAnsi="Times New Roman" w:eastAsia="仿宋_GB2312"/>
          <w:color w:val="000000"/>
          <w:szCs w:val="21"/>
        </w:rPr>
        <w:t>计划竣工日期：</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p>
    <w:p>
      <w:pPr>
        <w:spacing w:line="360" w:lineRule="auto"/>
        <w:ind w:firstLine="459"/>
        <w:rPr>
          <w:rFonts w:ascii="Times New Roman" w:hAnsi="Times New Roman" w:eastAsia="仿宋_GB2312"/>
          <w:color w:val="000000"/>
          <w:szCs w:val="21"/>
        </w:rPr>
      </w:pPr>
      <w:r>
        <w:rPr>
          <w:rFonts w:ascii="Times New Roman" w:hAnsi="Times New Roman" w:eastAsia="仿宋_GB2312"/>
          <w:color w:val="000000"/>
          <w:szCs w:val="21"/>
        </w:rPr>
        <w:t>工期总日历天数：</w:t>
      </w:r>
      <w:r>
        <w:rPr>
          <w:rFonts w:ascii="Times New Roman" w:hAnsi="Times New Roman" w:eastAsia="仿宋_GB2312"/>
          <w:color w:val="000000"/>
          <w:szCs w:val="21"/>
          <w:u w:val="single"/>
        </w:rPr>
        <w:t>              </w:t>
      </w:r>
      <w:r>
        <w:rPr>
          <w:rFonts w:hint="eastAsia" w:ascii="Times New Roman" w:hAnsi="Times New Roman" w:eastAsia="仿宋_GB2312"/>
          <w:color w:val="000000"/>
          <w:szCs w:val="21"/>
        </w:rPr>
        <w:t>日历</w:t>
      </w:r>
      <w:r>
        <w:rPr>
          <w:rFonts w:ascii="Times New Roman" w:hAnsi="Times New Roman" w:eastAsia="仿宋_GB2312"/>
          <w:color w:val="000000"/>
          <w:szCs w:val="21"/>
        </w:rPr>
        <w:t>天。工期总日历天数与根据前述计划开竣工日期计算的工期天数不一致的，以工期总日历天数为准。</w:t>
      </w:r>
    </w:p>
    <w:p>
      <w:pPr>
        <w:pStyle w:val="6"/>
        <w:spacing w:before="120" w:after="120" w:line="360" w:lineRule="auto"/>
        <w:rPr>
          <w:rFonts w:ascii="Times New Roman" w:hAnsi="Times New Roman" w:eastAsia="黑体"/>
          <w:bCs w:val="0"/>
          <w:color w:val="000000"/>
          <w:sz w:val="21"/>
          <w:szCs w:val="21"/>
        </w:rPr>
      </w:pPr>
      <w:r>
        <w:rPr>
          <w:rFonts w:ascii="Times New Roman" w:hAnsi="Times New Roman" w:eastAsia="黑体"/>
          <w:bCs w:val="0"/>
          <w:color w:val="000000"/>
          <w:sz w:val="21"/>
          <w:szCs w:val="21"/>
        </w:rPr>
        <w:t xml:space="preserve">    </w:t>
      </w:r>
      <w:bookmarkStart w:id="239" w:name="_Toc351203483"/>
      <w:r>
        <w:rPr>
          <w:rFonts w:ascii="Times New Roman" w:hAnsi="Times New Roman" w:eastAsia="黑体"/>
          <w:b w:val="0"/>
          <w:color w:val="000000"/>
          <w:sz w:val="21"/>
          <w:szCs w:val="21"/>
        </w:rPr>
        <w:t>三、质量标准</w:t>
      </w:r>
      <w:bookmarkEnd w:id="239"/>
    </w:p>
    <w:p>
      <w:pPr>
        <w:spacing w:line="360" w:lineRule="auto"/>
        <w:ind w:firstLine="459"/>
        <w:rPr>
          <w:rFonts w:ascii="Times New Roman" w:hAnsi="Times New Roman" w:eastAsia="仿宋_GB2312"/>
          <w:color w:val="000000"/>
          <w:szCs w:val="21"/>
        </w:rPr>
      </w:pPr>
      <w:r>
        <w:rPr>
          <w:rFonts w:ascii="Times New Roman" w:hAnsi="Times New Roman" w:eastAsia="仿宋_GB2312"/>
          <w:color w:val="000000"/>
          <w:szCs w:val="21"/>
        </w:rPr>
        <w:t>工程质量符合</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合格。 </w:t>
      </w:r>
    </w:p>
    <w:p>
      <w:pPr>
        <w:pStyle w:val="6"/>
        <w:spacing w:before="120" w:after="120" w:line="360" w:lineRule="auto"/>
        <w:rPr>
          <w:rFonts w:ascii="Times New Roman" w:hAnsi="Times New Roman" w:eastAsia="黑体"/>
          <w:bCs w:val="0"/>
          <w:color w:val="000000"/>
          <w:sz w:val="21"/>
          <w:szCs w:val="21"/>
        </w:rPr>
      </w:pPr>
      <w:r>
        <w:rPr>
          <w:rFonts w:ascii="Times New Roman" w:hAnsi="Times New Roman" w:eastAsia="黑体"/>
          <w:bCs w:val="0"/>
          <w:color w:val="000000"/>
          <w:sz w:val="21"/>
          <w:szCs w:val="21"/>
        </w:rPr>
        <w:t xml:space="preserve">   </w:t>
      </w:r>
      <w:r>
        <w:rPr>
          <w:rFonts w:ascii="Times New Roman" w:hAnsi="Times New Roman" w:eastAsia="黑体"/>
          <w:b w:val="0"/>
          <w:color w:val="000000"/>
          <w:sz w:val="21"/>
          <w:szCs w:val="21"/>
        </w:rPr>
        <w:t xml:space="preserve"> </w:t>
      </w:r>
      <w:bookmarkStart w:id="240" w:name="_Toc351203484"/>
      <w:r>
        <w:rPr>
          <w:rFonts w:ascii="Times New Roman" w:hAnsi="Times New Roman" w:eastAsia="黑体"/>
          <w:b w:val="0"/>
          <w:color w:val="000000"/>
          <w:sz w:val="21"/>
          <w:szCs w:val="21"/>
        </w:rPr>
        <w:t>四、签约合同价与合同价格形式</w:t>
      </w:r>
      <w:bookmarkEnd w:id="240"/>
      <w:r>
        <w:rPr>
          <w:rFonts w:ascii="Times New Roman" w:hAnsi="Times New Roman" w:eastAsia="黑体"/>
          <w:b w:val="0"/>
          <w:color w:val="000000"/>
          <w:sz w:val="21"/>
          <w:szCs w:val="21"/>
        </w:rPr>
        <w:tab/>
      </w:r>
    </w:p>
    <w:p>
      <w:pPr>
        <w:spacing w:line="360" w:lineRule="auto"/>
        <w:ind w:firstLine="420" w:firstLineChars="200"/>
        <w:rPr>
          <w:rFonts w:ascii="Times New Roman" w:hAnsi="Times New Roman" w:eastAsia="仿宋_GB2312"/>
          <w:color w:val="000000"/>
          <w:szCs w:val="21"/>
        </w:rPr>
      </w:pPr>
      <w:r>
        <w:rPr>
          <w:rFonts w:ascii="Times New Roman" w:hAnsi="Times New Roman" w:eastAsia="仿宋_GB2312"/>
          <w:color w:val="000000"/>
          <w:szCs w:val="21"/>
        </w:rPr>
        <w:t>1.签约合同价为：</w:t>
      </w:r>
    </w:p>
    <w:p>
      <w:pPr>
        <w:spacing w:line="360" w:lineRule="auto"/>
        <w:ind w:firstLine="420" w:firstLineChars="200"/>
        <w:rPr>
          <w:rFonts w:ascii="Times New Roman" w:hAnsi="Times New Roman" w:eastAsia="仿宋_GB2312"/>
          <w:color w:val="000000"/>
          <w:szCs w:val="21"/>
        </w:rPr>
      </w:pPr>
      <w:r>
        <w:rPr>
          <w:rFonts w:ascii="Times New Roman" w:hAnsi="Times New Roman" w:eastAsia="仿宋_GB2312"/>
          <w:color w:val="000000"/>
          <w:szCs w:val="21"/>
        </w:rPr>
        <w:t>人民币（大写）</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元)；</w:t>
      </w:r>
    </w:p>
    <w:p>
      <w:pPr>
        <w:spacing w:line="360" w:lineRule="auto"/>
        <w:ind w:firstLine="420" w:firstLineChars="200"/>
        <w:rPr>
          <w:rFonts w:ascii="Times New Roman" w:hAnsi="Times New Roman" w:eastAsia="仿宋_GB2312"/>
          <w:color w:val="000000"/>
          <w:szCs w:val="21"/>
        </w:rPr>
      </w:pPr>
      <w:r>
        <w:rPr>
          <w:rFonts w:ascii="Times New Roman" w:hAnsi="Times New Roman" w:eastAsia="仿宋_GB2312"/>
          <w:color w:val="000000"/>
          <w:szCs w:val="21"/>
        </w:rPr>
        <w:t>2.合同价格形式：</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单价合同</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w:t>
      </w:r>
    </w:p>
    <w:p>
      <w:pPr>
        <w:pStyle w:val="6"/>
        <w:spacing w:before="120" w:after="120" w:line="360" w:lineRule="auto"/>
        <w:rPr>
          <w:rFonts w:ascii="Times New Roman" w:hAnsi="Times New Roman" w:eastAsia="黑体"/>
          <w:b w:val="0"/>
          <w:color w:val="000000"/>
          <w:sz w:val="21"/>
          <w:szCs w:val="21"/>
        </w:rPr>
      </w:pPr>
      <w:r>
        <w:rPr>
          <w:rFonts w:ascii="Times New Roman" w:hAnsi="Times New Roman" w:eastAsia="黑体"/>
          <w:bCs w:val="0"/>
          <w:color w:val="000000"/>
          <w:sz w:val="21"/>
          <w:szCs w:val="21"/>
        </w:rPr>
        <w:t xml:space="preserve">   </w:t>
      </w:r>
      <w:r>
        <w:rPr>
          <w:rFonts w:ascii="Times New Roman" w:hAnsi="Times New Roman" w:eastAsia="黑体"/>
          <w:b w:val="0"/>
          <w:color w:val="000000"/>
          <w:sz w:val="21"/>
          <w:szCs w:val="21"/>
        </w:rPr>
        <w:t xml:space="preserve"> </w:t>
      </w:r>
      <w:bookmarkStart w:id="241" w:name="_Toc351203485"/>
      <w:r>
        <w:rPr>
          <w:rFonts w:ascii="Times New Roman" w:hAnsi="Times New Roman" w:eastAsia="黑体"/>
          <w:b w:val="0"/>
          <w:color w:val="000000"/>
          <w:sz w:val="21"/>
          <w:szCs w:val="21"/>
        </w:rPr>
        <w:t>五、</w:t>
      </w:r>
      <w:bookmarkEnd w:id="241"/>
      <w:r>
        <w:rPr>
          <w:rFonts w:ascii="Times New Roman" w:hAnsi="Times New Roman" w:eastAsia="黑体"/>
          <w:b w:val="0"/>
          <w:color w:val="000000"/>
          <w:sz w:val="21"/>
          <w:szCs w:val="21"/>
        </w:rPr>
        <w:t>项目经理</w:t>
      </w:r>
    </w:p>
    <w:p>
      <w:pPr>
        <w:spacing w:line="360" w:lineRule="auto"/>
        <w:ind w:firstLine="420" w:firstLineChars="200"/>
        <w:rPr>
          <w:rFonts w:ascii="Times New Roman" w:hAnsi="Times New Roman" w:eastAsia="仿宋_GB2312"/>
          <w:color w:val="000000"/>
          <w:szCs w:val="21"/>
        </w:rPr>
      </w:pPr>
      <w:r>
        <w:rPr>
          <w:rFonts w:ascii="Times New Roman" w:hAnsi="Times New Roman" w:eastAsia="仿宋_GB2312"/>
          <w:color w:val="000000"/>
          <w:szCs w:val="21"/>
        </w:rPr>
        <w:t>承包人项目经理：</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w:t>
      </w:r>
    </w:p>
    <w:p>
      <w:pPr>
        <w:pStyle w:val="6"/>
        <w:spacing w:before="120" w:after="120" w:line="360" w:lineRule="auto"/>
        <w:rPr>
          <w:rFonts w:ascii="Times New Roman" w:hAnsi="Times New Roman" w:eastAsia="黑体"/>
          <w:bCs w:val="0"/>
          <w:color w:val="000000"/>
          <w:sz w:val="21"/>
          <w:szCs w:val="21"/>
        </w:rPr>
      </w:pPr>
      <w:r>
        <w:rPr>
          <w:rFonts w:ascii="Times New Roman" w:hAnsi="Times New Roman" w:eastAsia="黑体"/>
          <w:bCs w:val="0"/>
          <w:color w:val="000000"/>
          <w:sz w:val="21"/>
          <w:szCs w:val="21"/>
        </w:rPr>
        <w:t xml:space="preserve">   </w:t>
      </w:r>
      <w:r>
        <w:rPr>
          <w:rFonts w:ascii="Times New Roman" w:hAnsi="Times New Roman" w:eastAsia="黑体"/>
          <w:b w:val="0"/>
          <w:color w:val="000000"/>
          <w:sz w:val="21"/>
          <w:szCs w:val="21"/>
        </w:rPr>
        <w:t xml:space="preserve"> </w:t>
      </w:r>
      <w:bookmarkStart w:id="242" w:name="_Toc351203486"/>
      <w:r>
        <w:rPr>
          <w:rFonts w:ascii="Times New Roman" w:hAnsi="Times New Roman" w:eastAsia="黑体"/>
          <w:b w:val="0"/>
          <w:color w:val="000000"/>
          <w:sz w:val="21"/>
          <w:szCs w:val="21"/>
        </w:rPr>
        <w:t>六、合同文件构成</w:t>
      </w:r>
      <w:bookmarkEnd w:id="242"/>
    </w:p>
    <w:p>
      <w:pPr>
        <w:spacing w:line="360" w:lineRule="auto"/>
        <w:ind w:firstLine="420" w:firstLineChars="200"/>
        <w:rPr>
          <w:rFonts w:ascii="Times New Roman" w:hAnsi="Times New Roman" w:eastAsia="仿宋_GB2312"/>
          <w:bCs/>
          <w:color w:val="000000"/>
          <w:szCs w:val="21"/>
        </w:rPr>
      </w:pPr>
      <w:r>
        <w:rPr>
          <w:rFonts w:ascii="Times New Roman" w:hAnsi="Times New Roman" w:eastAsia="仿宋_GB2312"/>
          <w:bCs/>
          <w:color w:val="000000"/>
          <w:szCs w:val="21"/>
        </w:rPr>
        <w:t>本协议书与下列文件一起构成合同文件：</w:t>
      </w:r>
    </w:p>
    <w:p>
      <w:pPr>
        <w:autoSpaceDE w:val="0"/>
        <w:autoSpaceDN w:val="0"/>
        <w:adjustRightInd w:val="0"/>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（1）中标通知书（如果有）；</w:t>
      </w:r>
    </w:p>
    <w:p>
      <w:pPr>
        <w:autoSpaceDE w:val="0"/>
        <w:autoSpaceDN w:val="0"/>
        <w:adjustRightInd w:val="0"/>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 xml:space="preserve">（2）投标函及其附录（如果有）； </w:t>
      </w:r>
    </w:p>
    <w:p>
      <w:pPr>
        <w:autoSpaceDE w:val="0"/>
        <w:autoSpaceDN w:val="0"/>
        <w:adjustRightInd w:val="0"/>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（3）专用合同条款及其附件；</w:t>
      </w:r>
    </w:p>
    <w:p>
      <w:pPr>
        <w:autoSpaceDE w:val="0"/>
        <w:autoSpaceDN w:val="0"/>
        <w:adjustRightInd w:val="0"/>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（4）通用合同条款；</w:t>
      </w:r>
    </w:p>
    <w:p>
      <w:pPr>
        <w:autoSpaceDE w:val="0"/>
        <w:autoSpaceDN w:val="0"/>
        <w:adjustRightInd w:val="0"/>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（5）技术标准和要求；</w:t>
      </w:r>
    </w:p>
    <w:p>
      <w:pPr>
        <w:autoSpaceDE w:val="0"/>
        <w:autoSpaceDN w:val="0"/>
        <w:adjustRightInd w:val="0"/>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（6）图纸；</w:t>
      </w:r>
    </w:p>
    <w:p>
      <w:pPr>
        <w:autoSpaceDE w:val="0"/>
        <w:autoSpaceDN w:val="0"/>
        <w:adjustRightInd w:val="0"/>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（7）已标价工程量清单或预算书；</w:t>
      </w:r>
    </w:p>
    <w:p>
      <w:pPr>
        <w:autoSpaceDE w:val="0"/>
        <w:autoSpaceDN w:val="0"/>
        <w:adjustRightInd w:val="0"/>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（8）其他合同文件。</w:t>
      </w:r>
    </w:p>
    <w:p>
      <w:pPr>
        <w:autoSpaceDE w:val="0"/>
        <w:autoSpaceDN w:val="0"/>
        <w:adjustRightInd w:val="0"/>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在合同订立及履行过程中形成的与合同有关的文件均构成合同文件组成部分。</w:t>
      </w:r>
    </w:p>
    <w:p>
      <w:pPr>
        <w:autoSpaceDE w:val="0"/>
        <w:autoSpaceDN w:val="0"/>
        <w:adjustRightInd w:val="0"/>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上述各项合同文件包括合同当事人就该项合同文件所作出的补充和修改，属于同一类内容的文件，应以最新签署的为准。</w:t>
      </w:r>
      <w:r>
        <w:rPr>
          <w:rFonts w:hint="eastAsia" w:ascii="Times New Roman" w:hAnsi="Times New Roman" w:eastAsia="仿宋_GB2312"/>
          <w:color w:val="000000"/>
          <w:szCs w:val="21"/>
        </w:rPr>
        <w:t>专用合同条款及其附件须经合同当事人签字或盖章。</w:t>
      </w:r>
    </w:p>
    <w:p>
      <w:pPr>
        <w:pStyle w:val="6"/>
        <w:spacing w:before="120" w:after="120" w:line="360" w:lineRule="auto"/>
        <w:rPr>
          <w:rFonts w:ascii="Times New Roman" w:hAnsi="Times New Roman" w:eastAsia="黑体"/>
          <w:b w:val="0"/>
          <w:bCs w:val="0"/>
          <w:color w:val="000000"/>
          <w:sz w:val="21"/>
          <w:szCs w:val="21"/>
        </w:rPr>
      </w:pPr>
      <w:r>
        <w:rPr>
          <w:rFonts w:ascii="Times New Roman" w:hAnsi="Times New Roman" w:eastAsia="黑体"/>
          <w:b w:val="0"/>
          <w:bCs w:val="0"/>
          <w:color w:val="000000"/>
          <w:sz w:val="21"/>
          <w:szCs w:val="21"/>
        </w:rPr>
        <w:t xml:space="preserve">   </w:t>
      </w:r>
      <w:r>
        <w:rPr>
          <w:rFonts w:ascii="Times New Roman" w:hAnsi="Times New Roman" w:eastAsia="黑体"/>
          <w:b w:val="0"/>
          <w:color w:val="000000"/>
          <w:sz w:val="21"/>
          <w:szCs w:val="21"/>
        </w:rPr>
        <w:t xml:space="preserve"> </w:t>
      </w:r>
      <w:bookmarkStart w:id="243" w:name="_Toc351203487"/>
      <w:r>
        <w:rPr>
          <w:rFonts w:ascii="Times New Roman" w:hAnsi="Times New Roman" w:eastAsia="黑体"/>
          <w:b w:val="0"/>
          <w:color w:val="000000"/>
          <w:sz w:val="21"/>
          <w:szCs w:val="21"/>
        </w:rPr>
        <w:t>七、承诺</w:t>
      </w:r>
      <w:bookmarkEnd w:id="243"/>
    </w:p>
    <w:p>
      <w:pPr>
        <w:spacing w:line="360" w:lineRule="auto"/>
        <w:ind w:firstLine="420" w:firstLineChars="200"/>
        <w:rPr>
          <w:rFonts w:ascii="Times New Roman" w:hAnsi="Times New Roman" w:eastAsia="仿宋_GB2312"/>
          <w:bCs/>
          <w:color w:val="000000"/>
          <w:szCs w:val="21"/>
        </w:rPr>
      </w:pPr>
      <w:r>
        <w:rPr>
          <w:rFonts w:ascii="Times New Roman" w:hAnsi="Times New Roman" w:eastAsia="仿宋_GB2312"/>
          <w:bCs/>
          <w:color w:val="000000"/>
          <w:szCs w:val="21"/>
        </w:rPr>
        <w:t>1.发包人承诺按照法律规定履行项目审批手续、筹集工程建设资金并按照合同约定的期限和方式支付合同价款。</w:t>
      </w:r>
    </w:p>
    <w:p>
      <w:pPr>
        <w:spacing w:line="360" w:lineRule="auto"/>
        <w:ind w:firstLine="420" w:firstLineChars="200"/>
        <w:rPr>
          <w:rFonts w:ascii="Times New Roman" w:hAnsi="Times New Roman" w:eastAsia="仿宋_GB2312"/>
          <w:bCs/>
          <w:color w:val="000000"/>
          <w:szCs w:val="21"/>
        </w:rPr>
      </w:pPr>
      <w:r>
        <w:rPr>
          <w:rFonts w:ascii="Times New Roman" w:hAnsi="Times New Roman" w:eastAsia="仿宋_GB2312"/>
          <w:bCs/>
          <w:color w:val="000000"/>
          <w:szCs w:val="21"/>
        </w:rPr>
        <w:t>2.承包人承诺按照法律规定及合同约定组织完成工程施工，确保工程质量和安全，不进行转包及违法分包，并在缺陷责任期及保修期内承担相应的工程维修责任。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200"/>
        <w:rPr>
          <w:rFonts w:ascii="Times New Roman" w:hAnsi="Times New Roman" w:eastAsia="仿宋_GB2312"/>
          <w:bCs/>
          <w:color w:val="000000"/>
          <w:szCs w:val="21"/>
        </w:rPr>
      </w:pPr>
      <w:r>
        <w:rPr>
          <w:rFonts w:ascii="Times New Roman" w:hAnsi="Times New Roman" w:eastAsia="仿宋_GB2312"/>
          <w:bCs/>
          <w:color w:val="000000"/>
          <w:szCs w:val="21"/>
        </w:rPr>
        <w:t>3.发包人和承包人通过招投标形式签订合同的，双方理解并</w:t>
      </w:r>
      <w:r>
        <w:rPr>
          <w:rFonts w:hint="eastAsia" w:ascii="Times New Roman" w:hAnsi="Times New Roman" w:eastAsia="仿宋_GB2312"/>
          <w:bCs/>
          <w:color w:val="000000"/>
          <w:szCs w:val="21"/>
        </w:rPr>
        <w:t>承诺</w:t>
      </w:r>
      <w:r>
        <w:rPr>
          <w:rFonts w:ascii="Times New Roman" w:hAnsi="Times New Roman" w:eastAsia="仿宋_GB2312"/>
          <w:bCs/>
          <w:color w:val="000000"/>
          <w:szCs w:val="21"/>
        </w:rPr>
        <w:t>不再就同一工程另行签订与合同实质性内容相背离的协议。</w:t>
      </w:r>
    </w:p>
    <w:p>
      <w:pPr>
        <w:spacing w:line="360" w:lineRule="auto"/>
        <w:rPr>
          <w:rFonts w:ascii="Times New Roman" w:hAnsi="Times New Roman" w:eastAsia="黑体"/>
          <w:bCs/>
          <w:color w:val="000000"/>
          <w:szCs w:val="21"/>
        </w:rPr>
      </w:pPr>
      <w:bookmarkStart w:id="244" w:name="_Toc351203488"/>
      <w:r>
        <w:rPr>
          <w:rFonts w:hint="eastAsia" w:ascii="Times New Roman" w:hAnsi="Times New Roman" w:eastAsia="黑体"/>
          <w:b/>
          <w:color w:val="000000"/>
          <w:szCs w:val="21"/>
        </w:rPr>
        <w:t xml:space="preserve">    </w:t>
      </w:r>
      <w:r>
        <w:rPr>
          <w:rFonts w:ascii="Times New Roman" w:hAnsi="Times New Roman" w:eastAsia="黑体"/>
          <w:b/>
          <w:color w:val="000000"/>
          <w:szCs w:val="21"/>
        </w:rPr>
        <w:t>八、词语含义</w:t>
      </w:r>
      <w:bookmarkEnd w:id="244"/>
    </w:p>
    <w:p>
      <w:pPr>
        <w:spacing w:line="360" w:lineRule="auto"/>
        <w:ind w:firstLine="420" w:firstLineChars="200"/>
        <w:rPr>
          <w:rFonts w:ascii="Times New Roman" w:hAnsi="Times New Roman" w:eastAsia="仿宋_GB2312"/>
          <w:bCs/>
          <w:color w:val="000000"/>
          <w:szCs w:val="21"/>
        </w:rPr>
      </w:pPr>
      <w:r>
        <w:rPr>
          <w:rFonts w:ascii="Times New Roman" w:hAnsi="Times New Roman" w:eastAsia="仿宋_GB2312"/>
          <w:bCs/>
          <w:color w:val="000000"/>
          <w:szCs w:val="21"/>
        </w:rPr>
        <w:t>本协议书中词语含义与第二部分通用合同条款中赋予的含义相同。</w:t>
      </w:r>
    </w:p>
    <w:p>
      <w:pPr>
        <w:pStyle w:val="6"/>
        <w:spacing w:before="120" w:after="120" w:line="360" w:lineRule="auto"/>
        <w:rPr>
          <w:rFonts w:ascii="Times New Roman" w:hAnsi="Times New Roman" w:eastAsia="黑体"/>
          <w:bCs w:val="0"/>
          <w:color w:val="000000"/>
          <w:sz w:val="21"/>
          <w:szCs w:val="21"/>
        </w:rPr>
      </w:pPr>
      <w:r>
        <w:rPr>
          <w:rFonts w:ascii="Times New Roman" w:hAnsi="Times New Roman" w:eastAsia="黑体"/>
          <w:bCs w:val="0"/>
          <w:color w:val="000000"/>
          <w:sz w:val="21"/>
          <w:szCs w:val="21"/>
        </w:rPr>
        <w:t xml:space="preserve">  </w:t>
      </w:r>
      <w:r>
        <w:rPr>
          <w:rFonts w:ascii="Times New Roman" w:hAnsi="Times New Roman" w:eastAsia="黑体"/>
          <w:b w:val="0"/>
          <w:color w:val="000000"/>
          <w:sz w:val="21"/>
          <w:szCs w:val="21"/>
        </w:rPr>
        <w:t xml:space="preserve">  </w:t>
      </w:r>
      <w:bookmarkStart w:id="245" w:name="_Toc351203489"/>
      <w:r>
        <w:rPr>
          <w:rFonts w:ascii="Times New Roman" w:hAnsi="Times New Roman" w:eastAsia="黑体"/>
          <w:b w:val="0"/>
          <w:color w:val="000000"/>
          <w:sz w:val="21"/>
          <w:szCs w:val="21"/>
        </w:rPr>
        <w:t>九、签订时间</w:t>
      </w:r>
      <w:bookmarkEnd w:id="245"/>
    </w:p>
    <w:p>
      <w:pPr>
        <w:spacing w:line="360" w:lineRule="auto"/>
        <w:ind w:firstLine="420" w:firstLineChars="200"/>
        <w:rPr>
          <w:rFonts w:ascii="Times New Roman" w:hAnsi="Times New Roman" w:eastAsia="仿宋_GB2312"/>
          <w:bCs/>
          <w:color w:val="000000"/>
          <w:szCs w:val="21"/>
        </w:rPr>
      </w:pPr>
      <w:r>
        <w:rPr>
          <w:rFonts w:ascii="Times New Roman" w:hAnsi="Times New Roman" w:eastAsia="仿宋_GB2312"/>
          <w:bCs/>
          <w:color w:val="000000"/>
          <w:szCs w:val="21"/>
        </w:rPr>
        <w:t>本合同于</w:t>
      </w:r>
      <w:r>
        <w:rPr>
          <w:rFonts w:ascii="Times New Roman" w:hAnsi="Times New Roman" w:eastAsia="仿宋_GB2312"/>
          <w:bCs/>
          <w:color w:val="000000"/>
          <w:szCs w:val="21"/>
          <w:u w:val="single"/>
        </w:rPr>
        <w:t xml:space="preserve"> </w:t>
      </w:r>
      <w:r>
        <w:rPr>
          <w:rFonts w:hint="eastAsia" w:ascii="Times New Roman" w:hAnsi="Times New Roman" w:eastAsia="仿宋_GB2312"/>
          <w:bCs/>
          <w:color w:val="000000"/>
          <w:szCs w:val="21"/>
          <w:u w:val="single"/>
          <w:lang w:val="en-US" w:eastAsia="zh-CN"/>
        </w:rPr>
        <w:t xml:space="preserve">       </w:t>
      </w:r>
      <w:r>
        <w:rPr>
          <w:rFonts w:ascii="Times New Roman" w:hAnsi="Times New Roman" w:eastAsia="仿宋_GB2312"/>
          <w:bCs/>
          <w:color w:val="000000"/>
          <w:szCs w:val="21"/>
        </w:rPr>
        <w:t>年</w:t>
      </w:r>
      <w:r>
        <w:rPr>
          <w:rFonts w:ascii="Times New Roman" w:hAnsi="Times New Roman" w:eastAsia="仿宋_GB2312"/>
          <w:bCs/>
          <w:color w:val="000000"/>
          <w:szCs w:val="21"/>
          <w:u w:val="single"/>
        </w:rPr>
        <w:t xml:space="preserve"> </w:t>
      </w:r>
      <w:r>
        <w:rPr>
          <w:rFonts w:hint="eastAsia" w:ascii="Times New Roman" w:hAnsi="Times New Roman" w:eastAsia="仿宋_GB2312"/>
          <w:bCs/>
          <w:color w:val="000000"/>
          <w:szCs w:val="21"/>
          <w:u w:val="single"/>
          <w:lang w:val="en-US" w:eastAsia="zh-CN"/>
        </w:rPr>
        <w:t xml:space="preserve">  </w:t>
      </w:r>
      <w:r>
        <w:rPr>
          <w:rFonts w:ascii="Times New Roman" w:hAnsi="Times New Roman" w:eastAsia="仿宋_GB2312"/>
          <w:bCs/>
          <w:color w:val="000000"/>
          <w:szCs w:val="21"/>
          <w:u w:val="single"/>
        </w:rPr>
        <w:t xml:space="preserve"> </w:t>
      </w:r>
      <w:r>
        <w:rPr>
          <w:rFonts w:ascii="Times New Roman" w:hAnsi="Times New Roman" w:eastAsia="仿宋_GB2312"/>
          <w:bCs/>
          <w:color w:val="000000"/>
          <w:szCs w:val="21"/>
        </w:rPr>
        <w:t>月</w:t>
      </w:r>
      <w:r>
        <w:rPr>
          <w:rFonts w:hint="eastAsia" w:ascii="Times New Roman" w:hAnsi="Times New Roman" w:eastAsia="仿宋_GB2312"/>
          <w:bCs/>
          <w:color w:val="000000"/>
          <w:szCs w:val="21"/>
          <w:u w:val="single"/>
          <w:lang w:val="en-US" w:eastAsia="zh-CN"/>
        </w:rPr>
        <w:t xml:space="preserve">    </w:t>
      </w:r>
      <w:r>
        <w:rPr>
          <w:rFonts w:ascii="Times New Roman" w:hAnsi="Times New Roman" w:eastAsia="仿宋_GB2312"/>
          <w:bCs/>
          <w:color w:val="000000"/>
          <w:szCs w:val="21"/>
          <w:u w:val="single"/>
        </w:rPr>
        <w:t xml:space="preserve"> </w:t>
      </w:r>
      <w:r>
        <w:rPr>
          <w:rFonts w:ascii="Times New Roman" w:hAnsi="Times New Roman" w:eastAsia="仿宋_GB2312"/>
          <w:bCs/>
          <w:color w:val="000000"/>
          <w:szCs w:val="21"/>
        </w:rPr>
        <w:t>日签订。</w:t>
      </w:r>
    </w:p>
    <w:p>
      <w:pPr>
        <w:pStyle w:val="6"/>
        <w:spacing w:before="120" w:after="120" w:line="360" w:lineRule="auto"/>
        <w:rPr>
          <w:rFonts w:ascii="Times New Roman" w:hAnsi="Times New Roman" w:eastAsia="黑体"/>
          <w:bCs w:val="0"/>
          <w:color w:val="000000"/>
          <w:sz w:val="21"/>
          <w:szCs w:val="21"/>
        </w:rPr>
      </w:pPr>
      <w:r>
        <w:rPr>
          <w:rFonts w:ascii="Times New Roman" w:hAnsi="Times New Roman" w:eastAsia="黑体"/>
          <w:bCs w:val="0"/>
          <w:color w:val="000000"/>
          <w:sz w:val="21"/>
          <w:szCs w:val="21"/>
        </w:rPr>
        <w:t xml:space="preserve">    </w:t>
      </w:r>
      <w:bookmarkStart w:id="246" w:name="_Toc351203490"/>
      <w:r>
        <w:rPr>
          <w:rFonts w:ascii="Times New Roman" w:hAnsi="Times New Roman" w:eastAsia="黑体"/>
          <w:b w:val="0"/>
          <w:color w:val="000000"/>
          <w:sz w:val="21"/>
          <w:szCs w:val="21"/>
        </w:rPr>
        <w:t>十、签订地点</w:t>
      </w:r>
      <w:bookmarkEnd w:id="246"/>
    </w:p>
    <w:p>
      <w:pPr>
        <w:spacing w:line="360" w:lineRule="auto"/>
        <w:ind w:firstLine="420" w:firstLineChars="200"/>
        <w:rPr>
          <w:rFonts w:ascii="Times New Roman" w:hAnsi="Times New Roman" w:eastAsia="仿宋_GB2312"/>
          <w:bCs/>
          <w:color w:val="000000"/>
          <w:szCs w:val="21"/>
        </w:rPr>
      </w:pPr>
      <w:r>
        <w:rPr>
          <w:rFonts w:ascii="Times New Roman" w:hAnsi="Times New Roman" w:eastAsia="仿宋_GB2312"/>
          <w:bCs/>
          <w:color w:val="000000"/>
          <w:szCs w:val="21"/>
        </w:rPr>
        <w:t>本合同在</w:t>
      </w:r>
      <w:r>
        <w:rPr>
          <w:rFonts w:ascii="Times New Roman" w:hAnsi="Times New Roman" w:eastAsia="仿宋_GB2312"/>
          <w:bCs/>
          <w:color w:val="000000"/>
          <w:szCs w:val="21"/>
          <w:u w:val="single"/>
        </w:rPr>
        <w:t xml:space="preserve">  </w:t>
      </w:r>
      <w:r>
        <w:rPr>
          <w:rFonts w:ascii="Times New Roman" w:hAnsi="Times New Roman" w:eastAsia="仿宋_GB2312"/>
          <w:bCs/>
          <w:szCs w:val="21"/>
          <w:u w:val="single"/>
        </w:rPr>
        <w:t>泰州职业技术学院</w:t>
      </w:r>
      <w:r>
        <w:rPr>
          <w:rFonts w:ascii="Times New Roman" w:hAnsi="Times New Roman" w:eastAsia="仿宋_GB2312"/>
          <w:bCs/>
          <w:color w:val="000000"/>
          <w:szCs w:val="21"/>
          <w:u w:val="single"/>
        </w:rPr>
        <w:t xml:space="preserve">  </w:t>
      </w:r>
      <w:r>
        <w:rPr>
          <w:rFonts w:ascii="Times New Roman" w:hAnsi="Times New Roman" w:eastAsia="仿宋_GB2312"/>
          <w:bCs/>
          <w:color w:val="000000"/>
          <w:szCs w:val="21"/>
        </w:rPr>
        <w:t>签订。</w:t>
      </w:r>
    </w:p>
    <w:p>
      <w:pPr>
        <w:pStyle w:val="6"/>
        <w:spacing w:before="120" w:after="120" w:line="360" w:lineRule="auto"/>
        <w:rPr>
          <w:rFonts w:ascii="Times New Roman" w:hAnsi="Times New Roman" w:eastAsia="黑体"/>
          <w:bCs w:val="0"/>
          <w:color w:val="000000"/>
          <w:sz w:val="21"/>
          <w:szCs w:val="21"/>
        </w:rPr>
      </w:pPr>
      <w:r>
        <w:rPr>
          <w:rFonts w:ascii="Times New Roman" w:hAnsi="Times New Roman" w:eastAsia="黑体"/>
          <w:bCs w:val="0"/>
          <w:color w:val="000000"/>
          <w:sz w:val="21"/>
          <w:szCs w:val="21"/>
        </w:rPr>
        <w:t xml:space="preserve">    </w:t>
      </w:r>
      <w:bookmarkStart w:id="247" w:name="_Toc351203491"/>
      <w:r>
        <w:rPr>
          <w:rFonts w:ascii="Times New Roman" w:hAnsi="Times New Roman" w:eastAsia="黑体"/>
          <w:b w:val="0"/>
          <w:color w:val="000000"/>
          <w:sz w:val="21"/>
          <w:szCs w:val="21"/>
        </w:rPr>
        <w:t>十一、补充协议</w:t>
      </w:r>
      <w:bookmarkEnd w:id="247"/>
    </w:p>
    <w:p>
      <w:pPr>
        <w:spacing w:line="360" w:lineRule="auto"/>
        <w:ind w:firstLine="420" w:firstLineChars="200"/>
        <w:rPr>
          <w:rFonts w:ascii="Times New Roman" w:hAnsi="Times New Roman" w:eastAsia="仿宋_GB2312"/>
          <w:b/>
          <w:bCs/>
          <w:color w:val="000000"/>
          <w:szCs w:val="21"/>
        </w:rPr>
      </w:pPr>
      <w:r>
        <w:rPr>
          <w:rFonts w:ascii="Times New Roman" w:hAnsi="Times New Roman" w:eastAsia="仿宋_GB2312"/>
          <w:bCs/>
          <w:color w:val="000000"/>
          <w:szCs w:val="21"/>
        </w:rPr>
        <w:t>合同未尽事宜，合同当事人另行签订补充协议</w:t>
      </w:r>
      <w:r>
        <w:rPr>
          <w:rFonts w:hint="eastAsia" w:ascii="Times New Roman" w:hAnsi="Times New Roman" w:eastAsia="仿宋_GB2312"/>
          <w:bCs/>
          <w:color w:val="000000"/>
          <w:szCs w:val="21"/>
        </w:rPr>
        <w:t>，</w:t>
      </w:r>
      <w:r>
        <w:rPr>
          <w:rFonts w:ascii="Times New Roman" w:hAnsi="Times New Roman" w:eastAsia="仿宋_GB2312"/>
          <w:bCs/>
          <w:color w:val="000000"/>
          <w:szCs w:val="21"/>
        </w:rPr>
        <w:t>补充协议是合同的组成部分。</w:t>
      </w:r>
    </w:p>
    <w:p>
      <w:pPr>
        <w:pStyle w:val="6"/>
        <w:spacing w:before="120" w:after="120" w:line="360" w:lineRule="auto"/>
        <w:rPr>
          <w:rFonts w:ascii="Times New Roman" w:hAnsi="Times New Roman" w:eastAsia="黑体"/>
          <w:bCs w:val="0"/>
          <w:color w:val="000000"/>
          <w:sz w:val="21"/>
          <w:szCs w:val="21"/>
        </w:rPr>
      </w:pPr>
      <w:r>
        <w:rPr>
          <w:rFonts w:ascii="Times New Roman" w:hAnsi="Times New Roman" w:eastAsia="黑体"/>
          <w:bCs w:val="0"/>
          <w:color w:val="000000"/>
          <w:sz w:val="21"/>
          <w:szCs w:val="21"/>
        </w:rPr>
        <w:t xml:space="preserve">    </w:t>
      </w:r>
      <w:bookmarkStart w:id="248" w:name="_Toc351203492"/>
      <w:r>
        <w:rPr>
          <w:rFonts w:ascii="Times New Roman" w:hAnsi="Times New Roman" w:eastAsia="黑体"/>
          <w:b w:val="0"/>
          <w:color w:val="000000"/>
          <w:sz w:val="21"/>
          <w:szCs w:val="21"/>
        </w:rPr>
        <w:t>十二、合同生效</w:t>
      </w:r>
      <w:bookmarkEnd w:id="248"/>
    </w:p>
    <w:p>
      <w:pPr>
        <w:spacing w:line="360" w:lineRule="auto"/>
        <w:ind w:firstLine="420" w:firstLineChars="200"/>
        <w:rPr>
          <w:rFonts w:ascii="Times New Roman" w:hAnsi="Times New Roman" w:eastAsia="仿宋_GB2312"/>
          <w:bCs/>
          <w:color w:val="000000"/>
          <w:szCs w:val="21"/>
        </w:rPr>
      </w:pPr>
      <w:r>
        <w:rPr>
          <w:rFonts w:ascii="Times New Roman" w:hAnsi="Times New Roman" w:eastAsia="仿宋_GB2312"/>
          <w:bCs/>
          <w:color w:val="000000"/>
          <w:szCs w:val="21"/>
        </w:rPr>
        <w:t>本合同自</w:t>
      </w:r>
      <w:r>
        <w:rPr>
          <w:rFonts w:ascii="Times New Roman" w:hAnsi="Times New Roman" w:eastAsia="仿宋_GB2312"/>
          <w:bCs/>
          <w:color w:val="000000"/>
          <w:szCs w:val="21"/>
          <w:u w:val="single"/>
        </w:rPr>
        <w:t xml:space="preserve"> </w:t>
      </w:r>
      <w:r>
        <w:rPr>
          <w:rFonts w:hint="eastAsia" w:ascii="Times New Roman" w:hAnsi="Times New Roman" w:eastAsia="仿宋_GB2312"/>
          <w:bCs/>
          <w:color w:val="000000"/>
          <w:szCs w:val="21"/>
          <w:u w:val="single"/>
        </w:rPr>
        <w:t>双方签字盖章后</w:t>
      </w:r>
      <w:r>
        <w:rPr>
          <w:rFonts w:ascii="Times New Roman" w:hAnsi="Times New Roman" w:eastAsia="仿宋_GB2312"/>
          <w:bCs/>
          <w:color w:val="000000"/>
          <w:szCs w:val="21"/>
          <w:u w:val="single"/>
        </w:rPr>
        <w:t xml:space="preserve">  </w:t>
      </w:r>
      <w:r>
        <w:rPr>
          <w:rFonts w:ascii="Times New Roman" w:hAnsi="Times New Roman" w:eastAsia="仿宋_GB2312"/>
          <w:bCs/>
          <w:color w:val="000000"/>
          <w:szCs w:val="21"/>
        </w:rPr>
        <w:t>生效。</w:t>
      </w:r>
    </w:p>
    <w:p>
      <w:pPr>
        <w:pStyle w:val="6"/>
        <w:spacing w:before="120" w:after="120" w:line="360" w:lineRule="auto"/>
        <w:rPr>
          <w:rFonts w:ascii="Times New Roman" w:hAnsi="Times New Roman" w:eastAsia="黑体"/>
          <w:b w:val="0"/>
          <w:color w:val="000000"/>
          <w:sz w:val="21"/>
          <w:szCs w:val="21"/>
        </w:rPr>
      </w:pPr>
      <w:r>
        <w:rPr>
          <w:rFonts w:ascii="Times New Roman" w:hAnsi="Times New Roman" w:eastAsia="黑体"/>
          <w:bCs w:val="0"/>
          <w:color w:val="000000"/>
          <w:sz w:val="21"/>
          <w:szCs w:val="21"/>
        </w:rPr>
        <w:t xml:space="preserve">    </w:t>
      </w:r>
      <w:bookmarkStart w:id="249" w:name="_Toc351203493"/>
      <w:r>
        <w:rPr>
          <w:rFonts w:ascii="Times New Roman" w:hAnsi="Times New Roman" w:eastAsia="黑体"/>
          <w:b w:val="0"/>
          <w:color w:val="000000"/>
          <w:sz w:val="21"/>
          <w:szCs w:val="21"/>
        </w:rPr>
        <w:t>十三、合同份数</w:t>
      </w:r>
      <w:bookmarkEnd w:id="249"/>
      <w:r>
        <w:rPr>
          <w:rFonts w:ascii="Times New Roman" w:hAnsi="Times New Roman" w:eastAsia="黑体"/>
          <w:b w:val="0"/>
          <w:color w:val="000000"/>
          <w:sz w:val="21"/>
          <w:szCs w:val="21"/>
        </w:rPr>
        <w:t>合同一式</w:t>
      </w:r>
      <w:r>
        <w:rPr>
          <w:rFonts w:hint="eastAsia" w:ascii="Times New Roman" w:hAnsi="Times New Roman" w:eastAsia="黑体"/>
          <w:b w:val="0"/>
          <w:color w:val="000000"/>
          <w:sz w:val="21"/>
          <w:szCs w:val="21"/>
          <w:u w:val="single"/>
        </w:rPr>
        <w:t>肆</w:t>
      </w:r>
      <w:r>
        <w:rPr>
          <w:rFonts w:ascii="Times New Roman" w:hAnsi="Times New Roman" w:eastAsia="黑体"/>
          <w:b w:val="0"/>
          <w:color w:val="000000"/>
          <w:sz w:val="21"/>
          <w:szCs w:val="21"/>
        </w:rPr>
        <w:t>份，均具有同等法律效力，发包人执</w:t>
      </w:r>
      <w:r>
        <w:rPr>
          <w:rFonts w:hint="eastAsia" w:ascii="Times New Roman" w:hAnsi="Times New Roman" w:eastAsia="黑体"/>
          <w:b w:val="0"/>
          <w:color w:val="000000"/>
          <w:sz w:val="21"/>
          <w:szCs w:val="21"/>
          <w:u w:val="single"/>
        </w:rPr>
        <w:t>贰</w:t>
      </w:r>
      <w:r>
        <w:rPr>
          <w:rFonts w:ascii="Times New Roman" w:hAnsi="Times New Roman" w:eastAsia="黑体"/>
          <w:b w:val="0"/>
          <w:color w:val="000000"/>
          <w:sz w:val="21"/>
          <w:szCs w:val="21"/>
        </w:rPr>
        <w:t>份，承包人执</w:t>
      </w:r>
      <w:r>
        <w:rPr>
          <w:rFonts w:hint="eastAsia" w:ascii="Times New Roman" w:hAnsi="Times New Roman" w:eastAsia="黑体"/>
          <w:b w:val="0"/>
          <w:color w:val="000000"/>
          <w:sz w:val="21"/>
          <w:szCs w:val="21"/>
          <w:u w:val="single"/>
        </w:rPr>
        <w:t>贰</w:t>
      </w:r>
      <w:r>
        <w:rPr>
          <w:rFonts w:ascii="Times New Roman" w:hAnsi="Times New Roman" w:eastAsia="黑体"/>
          <w:b w:val="0"/>
          <w:color w:val="000000"/>
          <w:sz w:val="21"/>
          <w:szCs w:val="21"/>
        </w:rPr>
        <w:t>份。</w:t>
      </w:r>
    </w:p>
    <w:p>
      <w:pPr>
        <w:spacing w:line="360" w:lineRule="auto"/>
        <w:rPr>
          <w:rFonts w:hint="eastAsia" w:ascii="Times New Roman" w:hAnsi="Times New Roman" w:eastAsia="仿宋_GB2312"/>
          <w:color w:val="000000"/>
          <w:szCs w:val="21"/>
        </w:rPr>
      </w:pPr>
      <w:r>
        <w:rPr>
          <w:rFonts w:ascii="Times New Roman" w:hAnsi="Times New Roman" w:eastAsia="仿宋_GB2312"/>
          <w:color w:val="000000"/>
          <w:szCs w:val="21"/>
        </w:rPr>
        <w:t>发包人</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(公章)</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承包人</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(公章)</w:t>
      </w:r>
    </w:p>
    <w:p>
      <w:pPr>
        <w:spacing w:line="360" w:lineRule="auto"/>
        <w:rPr>
          <w:rFonts w:hint="eastAsia" w:ascii="Times New Roman" w:hAnsi="Times New Roman" w:eastAsia="仿宋_GB2312"/>
          <w:color w:val="000000"/>
          <w:szCs w:val="21"/>
        </w:rPr>
      </w:pPr>
      <w:r>
        <w:rPr>
          <w:rFonts w:hint="eastAsia" w:ascii="Times New Roman" w:hAnsi="Times New Roman" w:eastAsia="仿宋_GB2312"/>
          <w:color w:val="000000"/>
          <w:szCs w:val="21"/>
        </w:rPr>
        <w:t>法定代表人或其委托代理人：               法定代表人或其委托代理人：</w:t>
      </w:r>
    </w:p>
    <w:p>
      <w:pPr>
        <w:spacing w:line="360" w:lineRule="auto"/>
        <w:rPr>
          <w:rFonts w:hint="eastAsia" w:ascii="Times New Roman" w:hAnsi="Times New Roman" w:eastAsia="仿宋_GB2312"/>
          <w:color w:val="000000"/>
          <w:szCs w:val="21"/>
        </w:rPr>
      </w:pPr>
      <w:r>
        <w:rPr>
          <w:rFonts w:hint="eastAsia" w:ascii="Times New Roman" w:hAnsi="Times New Roman" w:eastAsia="仿宋_GB2312"/>
          <w:color w:val="000000"/>
          <w:szCs w:val="21"/>
        </w:rPr>
        <w:t>（签字）</w:t>
      </w:r>
      <w:r>
        <w:rPr>
          <w:rFonts w:hint="eastAsia" w:ascii="Times New Roman" w:hAnsi="Times New Roman" w:eastAsia="仿宋_GB2312"/>
          <w:color w:val="000000"/>
          <w:szCs w:val="21"/>
          <w:u w:val="single"/>
        </w:rPr>
        <w:t xml:space="preserve">                   </w:t>
      </w:r>
      <w:r>
        <w:rPr>
          <w:rFonts w:hint="eastAsia" w:ascii="Times New Roman" w:hAnsi="Times New Roman" w:eastAsia="仿宋_GB2312"/>
          <w:color w:val="000000"/>
          <w:szCs w:val="21"/>
        </w:rPr>
        <w:t xml:space="preserve">             （签字）</w:t>
      </w:r>
      <w:r>
        <w:rPr>
          <w:rFonts w:hint="eastAsia" w:ascii="Times New Roman" w:hAnsi="Times New Roman" w:eastAsia="仿宋_GB2312"/>
          <w:color w:val="000000"/>
          <w:szCs w:val="21"/>
          <w:u w:val="single"/>
        </w:rPr>
        <w:t xml:space="preserve">                                  </w:t>
      </w:r>
      <w:r>
        <w:rPr>
          <w:rFonts w:hint="eastAsia" w:ascii="Times New Roman" w:hAnsi="Times New Roman" w:eastAsia="仿宋_GB2312"/>
          <w:color w:val="000000"/>
          <w:szCs w:val="21"/>
        </w:rPr>
        <w:t xml:space="preserve">          </w:t>
      </w:r>
    </w:p>
    <w:p>
      <w:pPr>
        <w:tabs>
          <w:tab w:val="left" w:pos="4410"/>
        </w:tabs>
        <w:spacing w:line="360" w:lineRule="auto"/>
        <w:rPr>
          <w:rFonts w:ascii="Times New Roman" w:hAnsi="Times New Roman" w:eastAsia="仿宋_GB2312"/>
          <w:color w:val="000000"/>
          <w:szCs w:val="21"/>
        </w:rPr>
      </w:pPr>
      <w:r>
        <w:rPr>
          <w:rFonts w:hint="eastAsia" w:ascii="Times New Roman" w:hAnsi="Times New Roman" w:eastAsia="仿宋_GB2312"/>
          <w:color w:val="000000"/>
          <w:szCs w:val="21"/>
        </w:rPr>
        <w:t>组织机构代码：</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 xml:space="preserve">            组织机构代码：</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 xml:space="preserve"> </w:t>
      </w:r>
    </w:p>
    <w:p>
      <w:pPr>
        <w:spacing w:line="360" w:lineRule="auto"/>
        <w:rPr>
          <w:rFonts w:ascii="Times New Roman" w:hAnsi="Times New Roman" w:eastAsia="仿宋_GB2312"/>
          <w:color w:val="000000"/>
          <w:szCs w:val="21"/>
        </w:rPr>
      </w:pPr>
      <w:r>
        <w:rPr>
          <w:rFonts w:ascii="Times New Roman" w:hAnsi="Times New Roman" w:eastAsia="仿宋_GB2312"/>
          <w:color w:val="000000"/>
          <w:szCs w:val="21"/>
        </w:rPr>
        <w:t>地  址：</w:t>
      </w:r>
      <w:r>
        <w:rPr>
          <w:rFonts w:ascii="Times New Roman" w:hAnsi="Times New Roman" w:eastAsia="仿宋_GB2312"/>
          <w:color w:val="000000"/>
          <w:szCs w:val="21"/>
          <w:u w:val="single"/>
        </w:rPr>
        <w:t xml:space="preserve">     </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地  址：</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p>
    <w:p>
      <w:pPr>
        <w:spacing w:line="360" w:lineRule="auto"/>
        <w:rPr>
          <w:rFonts w:ascii="Times New Roman" w:hAnsi="Times New Roman" w:eastAsia="仿宋_GB2312"/>
          <w:color w:val="000000"/>
          <w:szCs w:val="21"/>
        </w:rPr>
      </w:pPr>
      <w:r>
        <w:rPr>
          <w:rFonts w:ascii="Times New Roman" w:hAnsi="Times New Roman" w:eastAsia="仿宋_GB2312"/>
          <w:color w:val="000000"/>
          <w:szCs w:val="21"/>
        </w:rPr>
        <w:t>邮政编码：</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邮政编码：</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p>
    <w:p>
      <w:pPr>
        <w:spacing w:line="360" w:lineRule="auto"/>
        <w:rPr>
          <w:rFonts w:ascii="Times New Roman" w:hAnsi="Times New Roman" w:eastAsia="仿宋_GB2312"/>
          <w:color w:val="000000"/>
          <w:szCs w:val="21"/>
        </w:rPr>
      </w:pPr>
      <w:r>
        <w:rPr>
          <w:rFonts w:ascii="Times New Roman" w:hAnsi="Times New Roman" w:eastAsia="仿宋_GB2312"/>
          <w:color w:val="000000"/>
          <w:szCs w:val="21"/>
        </w:rPr>
        <w:t>法定代表人：</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法定代表人：</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p>
    <w:p>
      <w:pPr>
        <w:spacing w:line="360" w:lineRule="auto"/>
        <w:rPr>
          <w:rFonts w:ascii="Times New Roman" w:hAnsi="Times New Roman" w:eastAsia="仿宋_GB2312"/>
          <w:color w:val="000000"/>
          <w:szCs w:val="21"/>
        </w:rPr>
      </w:pPr>
      <w:r>
        <w:rPr>
          <w:rFonts w:ascii="Times New Roman" w:hAnsi="Times New Roman" w:eastAsia="仿宋_GB2312"/>
          <w:color w:val="000000"/>
          <w:szCs w:val="21"/>
        </w:rPr>
        <w:t>委托代理人：</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委托代理人：</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p>
    <w:p>
      <w:pPr>
        <w:spacing w:line="360" w:lineRule="auto"/>
        <w:rPr>
          <w:rFonts w:ascii="Times New Roman" w:hAnsi="Times New Roman" w:eastAsia="仿宋_GB2312"/>
          <w:color w:val="000000"/>
          <w:szCs w:val="21"/>
        </w:rPr>
      </w:pPr>
      <w:r>
        <w:rPr>
          <w:rFonts w:ascii="Times New Roman" w:hAnsi="Times New Roman" w:eastAsia="仿宋_GB2312"/>
          <w:color w:val="000000"/>
          <w:szCs w:val="21"/>
        </w:rPr>
        <w:t>电  话：</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电  话：</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p>
    <w:p>
      <w:pPr>
        <w:spacing w:line="360" w:lineRule="auto"/>
        <w:rPr>
          <w:rFonts w:ascii="Times New Roman" w:hAnsi="Times New Roman" w:eastAsia="仿宋_GB2312"/>
          <w:color w:val="000000"/>
          <w:szCs w:val="21"/>
        </w:rPr>
      </w:pPr>
      <w:r>
        <w:rPr>
          <w:rFonts w:ascii="Times New Roman" w:hAnsi="Times New Roman" w:eastAsia="仿宋_GB2312"/>
          <w:color w:val="000000"/>
          <w:szCs w:val="21"/>
        </w:rPr>
        <w:t>传  真：</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传  真：</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p>
    <w:p>
      <w:pPr>
        <w:spacing w:line="360" w:lineRule="auto"/>
        <w:rPr>
          <w:rFonts w:ascii="Times New Roman" w:hAnsi="Times New Roman" w:eastAsia="仿宋_GB2312"/>
          <w:color w:val="000000"/>
          <w:szCs w:val="21"/>
        </w:rPr>
      </w:pPr>
      <w:r>
        <w:rPr>
          <w:rFonts w:ascii="Times New Roman" w:hAnsi="Times New Roman" w:eastAsia="仿宋_GB2312"/>
          <w:color w:val="000000"/>
          <w:szCs w:val="21"/>
        </w:rPr>
        <w:t>电子信箱：</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电子信箱：</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p>
    <w:p>
      <w:pPr>
        <w:spacing w:line="360" w:lineRule="auto"/>
        <w:rPr>
          <w:rFonts w:hint="eastAsia" w:ascii="Times New Roman" w:hAnsi="Times New Roman" w:eastAsia="仿宋_GB2312"/>
          <w:color w:val="000000"/>
          <w:szCs w:val="21"/>
          <w:u w:val="single"/>
        </w:rPr>
      </w:pPr>
      <w:r>
        <w:rPr>
          <w:rFonts w:ascii="Times New Roman" w:hAnsi="Times New Roman" w:eastAsia="仿宋_GB2312"/>
          <w:color w:val="000000"/>
          <w:szCs w:val="21"/>
        </w:rPr>
        <w:t>开户银行：</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开户银行：</w:t>
      </w:r>
      <w:r>
        <w:rPr>
          <w:rFonts w:hint="eastAsia" w:ascii="Times New Roman" w:hAnsi="Times New Roman" w:eastAsia="仿宋_GB2312"/>
          <w:color w:val="000000"/>
          <w:szCs w:val="21"/>
          <w:u w:val="single"/>
        </w:rPr>
        <w:t xml:space="preserve">                                   </w:t>
      </w:r>
    </w:p>
    <w:p>
      <w:pPr>
        <w:spacing w:line="360" w:lineRule="auto"/>
        <w:rPr>
          <w:rFonts w:ascii="Times New Roman" w:hAnsi="Times New Roman" w:eastAsia="仿宋_GB2312"/>
          <w:color w:val="000000"/>
          <w:szCs w:val="21"/>
          <w:u w:val="single"/>
        </w:rPr>
      </w:pPr>
      <w:r>
        <w:rPr>
          <w:rFonts w:ascii="Times New Roman" w:hAnsi="Times New Roman" w:eastAsia="仿宋_GB2312"/>
          <w:color w:val="000000"/>
          <w:szCs w:val="21"/>
        </w:rPr>
        <w:t>账  号：</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账</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 xml:space="preserve"> 号：</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bookmarkStart w:id="250" w:name="_Toc351203632"/>
    </w:p>
    <w:p>
      <w:pPr>
        <w:spacing w:line="360" w:lineRule="auto"/>
        <w:rPr>
          <w:rFonts w:ascii="Times New Roman" w:hAnsi="Times New Roman" w:eastAsia="仿宋_GB2312"/>
          <w:color w:val="000000"/>
          <w:szCs w:val="21"/>
          <w:u w:val="single"/>
        </w:rPr>
      </w:pPr>
    </w:p>
    <w:p>
      <w:pPr>
        <w:spacing w:line="360" w:lineRule="auto"/>
        <w:rPr>
          <w:rFonts w:ascii="Times New Roman" w:hAnsi="Times New Roman" w:eastAsia="仿宋_GB2312"/>
          <w:color w:val="000000"/>
          <w:szCs w:val="21"/>
          <w:u w:val="single"/>
        </w:rPr>
      </w:pPr>
    </w:p>
    <w:p>
      <w:pPr>
        <w:spacing w:line="360" w:lineRule="auto"/>
        <w:rPr>
          <w:rFonts w:ascii="Times New Roman" w:hAnsi="Times New Roman" w:eastAsia="仿宋_GB2312"/>
          <w:color w:val="000000"/>
          <w:szCs w:val="21"/>
          <w:u w:val="single"/>
        </w:rPr>
      </w:pPr>
    </w:p>
    <w:p>
      <w:pPr>
        <w:spacing w:line="360" w:lineRule="auto"/>
        <w:rPr>
          <w:rFonts w:ascii="Times New Roman" w:hAnsi="Times New Roman" w:eastAsia="仿宋_GB2312"/>
          <w:color w:val="000000"/>
          <w:szCs w:val="21"/>
          <w:u w:val="single"/>
        </w:rPr>
      </w:pPr>
    </w:p>
    <w:p>
      <w:pPr>
        <w:spacing w:line="360" w:lineRule="auto"/>
        <w:rPr>
          <w:rFonts w:ascii="Times New Roman" w:hAnsi="Times New Roman" w:eastAsia="仿宋_GB2312"/>
          <w:color w:val="000000"/>
          <w:szCs w:val="21"/>
          <w:u w:val="single"/>
        </w:rPr>
      </w:pPr>
    </w:p>
    <w:p>
      <w:pPr>
        <w:spacing w:line="360" w:lineRule="auto"/>
        <w:rPr>
          <w:rFonts w:ascii="Times New Roman" w:hAnsi="Times New Roman" w:eastAsia="仿宋_GB2312"/>
          <w:color w:val="000000"/>
          <w:szCs w:val="21"/>
          <w:u w:val="single"/>
        </w:rPr>
      </w:pPr>
    </w:p>
    <w:p>
      <w:pPr>
        <w:spacing w:line="360" w:lineRule="auto"/>
        <w:rPr>
          <w:rFonts w:ascii="Times New Roman" w:hAnsi="Times New Roman" w:eastAsia="仿宋_GB2312"/>
          <w:color w:val="000000"/>
          <w:szCs w:val="21"/>
          <w:u w:val="single"/>
        </w:rPr>
      </w:pPr>
    </w:p>
    <w:p>
      <w:pPr>
        <w:spacing w:line="360" w:lineRule="auto"/>
        <w:rPr>
          <w:rFonts w:ascii="Times New Roman" w:hAnsi="Times New Roman" w:eastAsia="仿宋_GB2312"/>
          <w:color w:val="000000"/>
          <w:szCs w:val="21"/>
        </w:rPr>
      </w:pPr>
    </w:p>
    <w:p>
      <w:pPr>
        <w:pStyle w:val="5"/>
        <w:jc w:val="center"/>
        <w:rPr>
          <w:rFonts w:hint="eastAsia" w:ascii="黑体" w:hAnsi="华文中宋" w:eastAsia="黑体"/>
          <w:sz w:val="28"/>
          <w:szCs w:val="28"/>
        </w:rPr>
      </w:pPr>
      <w:r>
        <w:rPr>
          <w:rFonts w:hint="eastAsia" w:ascii="黑体" w:hAnsi="华文中宋" w:eastAsia="黑体"/>
          <w:sz w:val="28"/>
          <w:szCs w:val="28"/>
        </w:rPr>
        <w:t>第三部分 专用合同条款</w:t>
      </w:r>
      <w:bookmarkEnd w:id="250"/>
    </w:p>
    <w:p>
      <w:pPr>
        <w:pStyle w:val="6"/>
        <w:spacing w:before="120" w:after="120" w:line="360" w:lineRule="auto"/>
        <w:rPr>
          <w:rFonts w:ascii="Times New Roman" w:hAnsi="Times New Roman" w:eastAsia="黑体"/>
          <w:b w:val="0"/>
          <w:color w:val="000000"/>
          <w:sz w:val="21"/>
          <w:szCs w:val="21"/>
        </w:rPr>
      </w:pPr>
      <w:bookmarkStart w:id="251" w:name="_Toc351203633"/>
      <w:r>
        <w:rPr>
          <w:rFonts w:ascii="Times New Roman" w:hAnsi="Times New Roman" w:eastAsia="黑体"/>
          <w:b w:val="0"/>
          <w:color w:val="000000"/>
          <w:sz w:val="21"/>
          <w:szCs w:val="21"/>
        </w:rPr>
        <w:t>1</w:t>
      </w:r>
      <w:bookmarkStart w:id="252" w:name="_Toc296347155"/>
      <w:bookmarkStart w:id="253" w:name="_Toc297120456"/>
      <w:bookmarkStart w:id="254" w:name="_Toc296503156"/>
      <w:bookmarkStart w:id="255" w:name="_Toc296890984"/>
      <w:bookmarkStart w:id="256" w:name="_Toc296891196"/>
      <w:bookmarkStart w:id="257" w:name="_Toc296944495"/>
      <w:bookmarkStart w:id="258" w:name="_Toc296346657"/>
      <w:bookmarkStart w:id="259" w:name="_Toc297048342"/>
      <w:bookmarkStart w:id="260" w:name="_Toc292559866"/>
      <w:bookmarkStart w:id="261" w:name="_Toc292559361"/>
      <w:r>
        <w:rPr>
          <w:rFonts w:ascii="Times New Roman" w:hAnsi="Times New Roman" w:eastAsia="黑体"/>
          <w:b w:val="0"/>
          <w:color w:val="000000"/>
          <w:sz w:val="21"/>
          <w:szCs w:val="21"/>
        </w:rPr>
        <w:t>. 一般约定</w:t>
      </w:r>
      <w:bookmarkEnd w:id="251"/>
    </w:p>
    <w:bookmarkEnd w:id="252"/>
    <w:bookmarkEnd w:id="253"/>
    <w:bookmarkEnd w:id="254"/>
    <w:bookmarkEnd w:id="255"/>
    <w:bookmarkEnd w:id="256"/>
    <w:bookmarkEnd w:id="257"/>
    <w:bookmarkEnd w:id="258"/>
    <w:bookmarkEnd w:id="259"/>
    <w:bookmarkEnd w:id="260"/>
    <w:bookmarkEnd w:id="261"/>
    <w:p>
      <w:pPr>
        <w:spacing w:after="120" w:line="360" w:lineRule="auto"/>
        <w:ind w:firstLine="420" w:firstLineChars="200"/>
        <w:rPr>
          <w:rFonts w:ascii="Times New Roman" w:hAnsi="Times New Roman" w:eastAsia="黑体"/>
          <w:color w:val="000000"/>
          <w:szCs w:val="21"/>
        </w:rPr>
      </w:pPr>
      <w:r>
        <w:rPr>
          <w:rFonts w:ascii="Times New Roman" w:hAnsi="Times New Roman" w:eastAsia="黑体"/>
          <w:color w:val="000000"/>
          <w:szCs w:val="21"/>
        </w:rPr>
        <w:t>1.1 词语定义</w:t>
      </w:r>
    </w:p>
    <w:p>
      <w:pPr>
        <w:spacing w:line="360" w:lineRule="auto"/>
        <w:ind w:firstLine="420" w:firstLineChars="200"/>
        <w:rPr>
          <w:rFonts w:ascii="Times New Roman" w:hAnsi="Times New Roman" w:eastAsia="仿宋_GB2312"/>
          <w:color w:val="000000"/>
          <w:kern w:val="0"/>
          <w:szCs w:val="21"/>
        </w:rPr>
      </w:pPr>
      <w:r>
        <w:rPr>
          <w:rFonts w:ascii="Times New Roman" w:hAnsi="Times New Roman" w:eastAsia="仿宋_GB2312"/>
          <w:color w:val="000000"/>
          <w:kern w:val="0"/>
          <w:szCs w:val="21"/>
        </w:rPr>
        <w:t>1.1.1合同</w:t>
      </w:r>
    </w:p>
    <w:p>
      <w:pPr>
        <w:spacing w:line="360" w:lineRule="auto"/>
        <w:ind w:firstLine="420" w:firstLineChars="200"/>
        <w:rPr>
          <w:rFonts w:hint="eastAsia" w:ascii="Times New Roman" w:hAnsi="Times New Roman" w:eastAsia="仿宋_GB2312"/>
          <w:color w:val="000000"/>
          <w:szCs w:val="21"/>
          <w:u w:val="single"/>
        </w:rPr>
      </w:pPr>
      <w:r>
        <w:rPr>
          <w:rFonts w:ascii="Times New Roman" w:hAnsi="Times New Roman" w:eastAsia="仿宋_GB2312"/>
          <w:color w:val="000000"/>
          <w:kern w:val="0"/>
          <w:szCs w:val="21"/>
        </w:rPr>
        <w:t>1.1.1.10其他合同文件包括：</w:t>
      </w:r>
      <w:r>
        <w:rPr>
          <w:rFonts w:hint="eastAsia" w:ascii="Times New Roman" w:hAnsi="Times New Roman" w:eastAsia="仿宋_GB2312"/>
          <w:color w:val="000000"/>
          <w:szCs w:val="21"/>
          <w:u w:val="single"/>
        </w:rPr>
        <w:t>（1）本合同协议书（2）中标通知书（3）本合同专用条款（4）本合同通用条款（5）投标书及其附件（6）标准、规范及有关技术文件（7）图纸（8）工程量清单（9）工程报价单或预算书；合同履行中，发包人承包人有关工程的洽商、变更等书面协议或文件视为本合同的组成部分。</w:t>
      </w:r>
    </w:p>
    <w:p>
      <w:pPr>
        <w:spacing w:after="120" w:line="360" w:lineRule="auto"/>
        <w:ind w:firstLine="420" w:firstLineChars="200"/>
        <w:rPr>
          <w:rFonts w:ascii="Times New Roman" w:hAnsi="Times New Roman" w:eastAsia="黑体"/>
          <w:color w:val="000000"/>
          <w:szCs w:val="21"/>
        </w:rPr>
      </w:pPr>
      <w:r>
        <w:rPr>
          <w:rFonts w:ascii="Times New Roman" w:hAnsi="Times New Roman" w:eastAsia="黑体"/>
          <w:color w:val="000000"/>
          <w:szCs w:val="21"/>
        </w:rPr>
        <w:t xml:space="preserve">1.3法律 </w:t>
      </w:r>
    </w:p>
    <w:p>
      <w:pPr>
        <w:autoSpaceDE w:val="0"/>
        <w:autoSpaceDN w:val="0"/>
        <w:adjustRightInd w:val="0"/>
        <w:spacing w:line="360" w:lineRule="auto"/>
        <w:ind w:firstLine="630" w:firstLineChars="300"/>
        <w:jc w:val="left"/>
        <w:rPr>
          <w:rFonts w:ascii="Times New Roman" w:hAnsi="Times New Roman" w:eastAsia="仿宋_GB2312"/>
          <w:color w:val="000000"/>
          <w:szCs w:val="21"/>
          <w:u w:val="single"/>
        </w:rPr>
      </w:pPr>
      <w:r>
        <w:rPr>
          <w:rFonts w:ascii="Times New Roman" w:hAnsi="Times New Roman" w:eastAsia="仿宋_GB2312"/>
          <w:color w:val="000000"/>
          <w:szCs w:val="21"/>
        </w:rPr>
        <w:t>适用于合同的其他规范性文件：</w:t>
      </w:r>
      <w:r>
        <w:rPr>
          <w:rFonts w:ascii="Times New Roman" w:hAnsi="Times New Roman" w:eastAsia="仿宋_GB2312"/>
          <w:color w:val="000000"/>
          <w:szCs w:val="21"/>
          <w:u w:val="single"/>
        </w:rPr>
        <w:t>《中华人民共和国合同法》、《中华人民共和国建筑法》、《中华人民共和国招标投标法》</w:t>
      </w:r>
      <w:r>
        <w:rPr>
          <w:rFonts w:hint="eastAsia" w:ascii="Times New Roman" w:hAnsi="Times New Roman" w:eastAsia="仿宋_GB2312"/>
          <w:color w:val="000000"/>
          <w:szCs w:val="21"/>
          <w:u w:val="single"/>
        </w:rPr>
        <w:t>、《建设工程质量管理条例》、《建设工程安全生产管理例》及其他相关国家和地方法律、法规、规章。</w:t>
      </w:r>
    </w:p>
    <w:p>
      <w:pPr>
        <w:spacing w:after="120" w:line="360" w:lineRule="auto"/>
        <w:ind w:firstLine="420" w:firstLineChars="200"/>
        <w:rPr>
          <w:rFonts w:ascii="Times New Roman" w:hAnsi="Times New Roman" w:eastAsia="黑体"/>
          <w:color w:val="000000"/>
          <w:szCs w:val="21"/>
        </w:rPr>
      </w:pPr>
      <w:r>
        <w:rPr>
          <w:rFonts w:ascii="Times New Roman" w:hAnsi="Times New Roman" w:eastAsia="黑体"/>
          <w:color w:val="000000"/>
          <w:szCs w:val="21"/>
        </w:rPr>
        <w:t>1.4 标准和规范</w:t>
      </w:r>
    </w:p>
    <w:p>
      <w:pPr>
        <w:spacing w:line="360" w:lineRule="auto"/>
        <w:ind w:firstLine="525" w:firstLineChars="250"/>
        <w:rPr>
          <w:rFonts w:ascii="Times New Roman" w:hAnsi="Times New Roman" w:eastAsia="仿宋_GB2312"/>
          <w:color w:val="000000"/>
          <w:szCs w:val="21"/>
          <w:u w:val="single"/>
        </w:rPr>
      </w:pPr>
      <w:r>
        <w:rPr>
          <w:rFonts w:ascii="Times New Roman" w:hAnsi="Times New Roman" w:eastAsia="仿宋_GB2312"/>
          <w:color w:val="000000"/>
          <w:szCs w:val="21"/>
        </w:rPr>
        <w:t>1.4.1适用于工程的标准规范包括：</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现行有关建设工程的标准和规范、规程；现行建筑质量验收评定标准，施工图纸以及设计文件所载明的标准、规范、规程等。</w:t>
      </w:r>
    </w:p>
    <w:p>
      <w:pPr>
        <w:spacing w:after="120" w:line="360" w:lineRule="auto"/>
        <w:ind w:firstLine="420" w:firstLineChars="200"/>
        <w:rPr>
          <w:rFonts w:ascii="Times New Roman" w:hAnsi="Times New Roman" w:eastAsia="黑体"/>
          <w:color w:val="000000"/>
          <w:szCs w:val="21"/>
        </w:rPr>
      </w:pPr>
      <w:r>
        <w:rPr>
          <w:rFonts w:ascii="Times New Roman" w:hAnsi="Times New Roman" w:eastAsia="黑体"/>
          <w:color w:val="000000"/>
          <w:szCs w:val="21"/>
        </w:rPr>
        <w:t>1.5 合同文件的优先顺序</w:t>
      </w:r>
    </w:p>
    <w:p>
      <w:pPr>
        <w:widowControl/>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合同文件组成及优先顺序为：</w:t>
      </w:r>
      <w:r>
        <w:rPr>
          <w:rFonts w:ascii="Times New Roman" w:hAnsi="Times New Roman" w:eastAsia="仿宋_GB2312"/>
          <w:szCs w:val="21"/>
          <w:u w:val="single"/>
        </w:rPr>
        <w:t>合同协议书；中标通知书；投标函及其附录；专</w:t>
      </w:r>
      <w:r>
        <w:rPr>
          <w:rFonts w:hint="eastAsia" w:ascii="Times New Roman" w:hAnsi="Times New Roman" w:eastAsia="仿宋_GB2312"/>
          <w:szCs w:val="21"/>
          <w:u w:val="single"/>
        </w:rPr>
        <w:t>用</w:t>
      </w:r>
      <w:r>
        <w:rPr>
          <w:rFonts w:ascii="Times New Roman" w:hAnsi="Times New Roman" w:eastAsia="仿宋_GB2312"/>
          <w:szCs w:val="21"/>
          <w:u w:val="single"/>
        </w:rPr>
        <w:t>合同条款及其附件；通用合同条款；技术标准和要求；图纸；已标价工程量清单或预算书；其他合同文件</w:t>
      </w:r>
      <w:r>
        <w:rPr>
          <w:rFonts w:hint="eastAsia" w:ascii="Times New Roman" w:hAnsi="Times New Roman" w:eastAsia="仿宋_GB2312"/>
          <w:szCs w:val="21"/>
          <w:u w:val="single"/>
        </w:rPr>
        <w:t>。</w:t>
      </w:r>
    </w:p>
    <w:p>
      <w:pPr>
        <w:spacing w:after="120" w:line="360" w:lineRule="auto"/>
        <w:ind w:firstLine="420" w:firstLineChars="200"/>
        <w:rPr>
          <w:rFonts w:ascii="Times New Roman" w:hAnsi="Times New Roman" w:eastAsia="黑体"/>
          <w:color w:val="000000"/>
          <w:szCs w:val="21"/>
        </w:rPr>
      </w:pPr>
      <w:r>
        <w:rPr>
          <w:rFonts w:ascii="Times New Roman" w:hAnsi="Times New Roman" w:eastAsia="黑体"/>
          <w:color w:val="000000"/>
          <w:szCs w:val="21"/>
        </w:rPr>
        <w:t>1.11 知识产权</w:t>
      </w:r>
    </w:p>
    <w:p>
      <w:pPr>
        <w:spacing w:line="360" w:lineRule="auto"/>
        <w:ind w:firstLine="420" w:firstLineChars="200"/>
        <w:rPr>
          <w:rFonts w:ascii="Times New Roman" w:hAnsi="Times New Roman" w:eastAsia="仿宋_GB2312"/>
          <w:color w:val="000000"/>
          <w:szCs w:val="21"/>
        </w:rPr>
      </w:pPr>
      <w:r>
        <w:rPr>
          <w:rFonts w:ascii="Times New Roman" w:hAnsi="Times New Roman" w:eastAsia="仿宋_GB2312"/>
          <w:color w:val="000000"/>
          <w:szCs w:val="21"/>
        </w:rPr>
        <w:t>1.11.1关于发包人提供给承包人的图纸、发包人为实施工程自行编制或委托编制的技术规范以及反映发包人关于合同要求或其他类似性质的文件的著作权的归属：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仿宋_GB2312"/>
          <w:color w:val="000000"/>
          <w:szCs w:val="21"/>
          <w:u w:val="single"/>
        </w:rPr>
        <w:t>发包人</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w:t>
      </w:r>
    </w:p>
    <w:p>
      <w:pPr>
        <w:adjustRightInd w:val="0"/>
        <w:snapToGrid w:val="0"/>
        <w:spacing w:line="360" w:lineRule="auto"/>
        <w:ind w:firstLine="420" w:firstLineChars="200"/>
        <w:rPr>
          <w:rFonts w:ascii="Times New Roman" w:hAnsi="Times New Roman" w:eastAsia="仿宋_GB2312"/>
          <w:color w:val="000000"/>
          <w:szCs w:val="21"/>
          <w:u w:val="single"/>
        </w:rPr>
      </w:pPr>
      <w:r>
        <w:rPr>
          <w:rFonts w:ascii="Times New Roman" w:hAnsi="Times New Roman" w:eastAsia="仿宋_GB2312"/>
          <w:color w:val="000000"/>
          <w:szCs w:val="21"/>
        </w:rPr>
        <w:t>关于发包人提供的上述文件的使用限制的要求：</w:t>
      </w:r>
      <w:r>
        <w:rPr>
          <w:rFonts w:ascii="Times New Roman" w:hAnsi="Times New Roman" w:eastAsia="仿宋_GB2312"/>
          <w:color w:val="000000"/>
          <w:szCs w:val="21"/>
          <w:u w:val="single"/>
        </w:rPr>
        <w:t>不得复制、转让或其他方式传播给与本工程无关的第三者，工程竣工后承包人应将图纸的原件及所有副本交还发包人</w:t>
      </w:r>
    </w:p>
    <w:p>
      <w:pPr>
        <w:spacing w:line="360" w:lineRule="auto"/>
        <w:ind w:left="596" w:leftChars="284"/>
        <w:rPr>
          <w:rFonts w:ascii="Times New Roman" w:hAnsi="Times New Roman" w:eastAsia="仿宋_GB2312"/>
          <w:color w:val="000000"/>
          <w:szCs w:val="21"/>
        </w:rPr>
      </w:pPr>
      <w:r>
        <w:rPr>
          <w:rFonts w:ascii="Times New Roman" w:hAnsi="Times New Roman" w:eastAsia="仿宋_GB2312"/>
          <w:color w:val="000000"/>
          <w:szCs w:val="21"/>
        </w:rPr>
        <w:t>1.11.2 关于承包人为实施工程所编制文件的著作权的归属：</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发包人</w:t>
      </w:r>
      <w:r>
        <w:rPr>
          <w:rFonts w:hint="eastAsia" w:ascii="MingLiU_HKSCS" w:hAnsi="MingLiU_HKSCS" w:cs="MingLiU_HKSCS"/>
          <w:color w:val="000000"/>
          <w:szCs w:val="21"/>
          <w:u w:val="single"/>
        </w:rPr>
        <w:t xml:space="preserve"> </w:t>
      </w:r>
      <w:r>
        <w:rPr>
          <w:rFonts w:ascii="Times New Roman" w:hAnsi="Times New Roman" w:eastAsia="仿宋_GB2312"/>
          <w:color w:val="000000"/>
          <w:szCs w:val="21"/>
        </w:rPr>
        <w:t>。</w:t>
      </w:r>
    </w:p>
    <w:p>
      <w:pPr>
        <w:spacing w:after="120" w:line="360" w:lineRule="auto"/>
        <w:ind w:firstLine="420" w:firstLineChars="200"/>
        <w:rPr>
          <w:rFonts w:ascii="Times New Roman" w:hAnsi="Times New Roman" w:eastAsia="黑体"/>
          <w:color w:val="000000"/>
          <w:szCs w:val="21"/>
        </w:rPr>
      </w:pPr>
      <w:r>
        <w:rPr>
          <w:rFonts w:ascii="Times New Roman" w:hAnsi="Times New Roman" w:eastAsia="黑体"/>
          <w:color w:val="000000"/>
          <w:szCs w:val="21"/>
        </w:rPr>
        <w:t>1.13工程量清单错误的修正</w:t>
      </w:r>
    </w:p>
    <w:p>
      <w:pPr>
        <w:spacing w:line="360" w:lineRule="auto"/>
        <w:ind w:firstLine="420" w:firstLineChars="200"/>
        <w:rPr>
          <w:rFonts w:ascii="Times New Roman" w:hAnsi="Times New Roman" w:eastAsia="仿宋_GB2312"/>
          <w:color w:val="000000"/>
          <w:szCs w:val="21"/>
        </w:rPr>
      </w:pPr>
      <w:r>
        <w:rPr>
          <w:rFonts w:hint="eastAsia" w:ascii="Times New Roman" w:hAnsi="Times New Roman" w:eastAsia="仿宋_GB2312"/>
          <w:color w:val="000000"/>
          <w:szCs w:val="21"/>
        </w:rPr>
        <w:t>出现工程量清单错误时，是否调整合同价格：</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是 </w:t>
      </w:r>
      <w:r>
        <w:rPr>
          <w:rFonts w:ascii="Times New Roman" w:hAnsi="Times New Roman" w:eastAsia="仿宋_GB2312"/>
          <w:color w:val="000000"/>
          <w:szCs w:val="21"/>
          <w:u w:val="single"/>
        </w:rPr>
        <w:t xml:space="preserve">     </w:t>
      </w:r>
      <w:r>
        <w:rPr>
          <w:rFonts w:ascii="Times New Roman" w:hAnsi="Times New Roman" w:eastAsia="仿宋_GB2312"/>
          <w:color w:val="000000"/>
          <w:kern w:val="0"/>
          <w:szCs w:val="21"/>
        </w:rPr>
        <w:t>。</w:t>
      </w:r>
    </w:p>
    <w:p>
      <w:pPr>
        <w:spacing w:line="360" w:lineRule="auto"/>
        <w:ind w:firstLine="420" w:firstLineChars="200"/>
        <w:rPr>
          <w:rFonts w:ascii="Times New Roman" w:hAnsi="Times New Roman" w:eastAsia="仿宋_GB2312"/>
          <w:color w:val="000000"/>
          <w:szCs w:val="21"/>
        </w:rPr>
      </w:pPr>
      <w:r>
        <w:rPr>
          <w:rFonts w:ascii="Times New Roman" w:hAnsi="Times New Roman" w:eastAsia="仿宋_GB2312"/>
          <w:color w:val="000000"/>
          <w:szCs w:val="21"/>
        </w:rPr>
        <w:t>允许调整合同价格的工程量偏差范围：</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按实调整</w:t>
      </w:r>
      <w:r>
        <w:rPr>
          <w:rFonts w:ascii="Times New Roman" w:hAnsi="Times New Roman" w:eastAsia="仿宋_GB2312"/>
          <w:color w:val="000000"/>
          <w:szCs w:val="21"/>
          <w:u w:val="single"/>
        </w:rPr>
        <w:t xml:space="preserve">  </w:t>
      </w:r>
      <w:r>
        <w:rPr>
          <w:rFonts w:ascii="Times New Roman" w:hAnsi="Times New Roman" w:eastAsia="仿宋_GB2312"/>
          <w:color w:val="000000"/>
          <w:kern w:val="0"/>
          <w:szCs w:val="21"/>
        </w:rPr>
        <w:t>。</w:t>
      </w:r>
    </w:p>
    <w:p>
      <w:pPr>
        <w:pStyle w:val="6"/>
        <w:spacing w:before="120" w:after="120" w:line="360" w:lineRule="auto"/>
        <w:rPr>
          <w:rFonts w:ascii="Times New Roman" w:hAnsi="Times New Roman" w:eastAsia="黑体"/>
          <w:b w:val="0"/>
          <w:color w:val="000000"/>
          <w:sz w:val="21"/>
          <w:szCs w:val="21"/>
        </w:rPr>
      </w:pPr>
      <w:bookmarkStart w:id="262" w:name="_Toc351203634"/>
      <w:r>
        <w:rPr>
          <w:rFonts w:ascii="Times New Roman" w:hAnsi="Times New Roman" w:eastAsia="黑体"/>
          <w:b w:val="0"/>
          <w:color w:val="000000"/>
          <w:sz w:val="21"/>
          <w:szCs w:val="21"/>
        </w:rPr>
        <w:t>2</w:t>
      </w:r>
      <w:bookmarkStart w:id="263" w:name="_Toc296346658"/>
      <w:bookmarkStart w:id="264" w:name="_Toc297120457"/>
      <w:bookmarkStart w:id="265" w:name="_Toc296347156"/>
      <w:bookmarkStart w:id="266" w:name="_Toc296944496"/>
      <w:bookmarkStart w:id="267" w:name="_Toc297048343"/>
      <w:bookmarkStart w:id="268" w:name="_Toc292559362"/>
      <w:bookmarkStart w:id="269" w:name="_Toc296503157"/>
      <w:bookmarkStart w:id="270" w:name="_Toc296890985"/>
      <w:bookmarkStart w:id="271" w:name="_Toc292559867"/>
      <w:bookmarkStart w:id="272" w:name="_Toc296891197"/>
      <w:r>
        <w:rPr>
          <w:rFonts w:ascii="Times New Roman" w:hAnsi="Times New Roman" w:eastAsia="黑体"/>
          <w:b w:val="0"/>
          <w:color w:val="000000"/>
          <w:sz w:val="21"/>
          <w:szCs w:val="21"/>
        </w:rPr>
        <w:t>. 发包人</w:t>
      </w:r>
      <w:bookmarkEnd w:id="262"/>
    </w:p>
    <w:bookmarkEnd w:id="263"/>
    <w:bookmarkEnd w:id="264"/>
    <w:bookmarkEnd w:id="265"/>
    <w:bookmarkEnd w:id="266"/>
    <w:bookmarkEnd w:id="267"/>
    <w:bookmarkEnd w:id="268"/>
    <w:bookmarkEnd w:id="269"/>
    <w:bookmarkEnd w:id="270"/>
    <w:bookmarkEnd w:id="271"/>
    <w:bookmarkEnd w:id="272"/>
    <w:p>
      <w:pPr>
        <w:spacing w:after="120" w:line="360" w:lineRule="auto"/>
        <w:ind w:firstLine="420" w:firstLineChars="200"/>
        <w:rPr>
          <w:rFonts w:ascii="Times New Roman" w:hAnsi="Times New Roman" w:eastAsia="黑体"/>
          <w:color w:val="000000"/>
          <w:szCs w:val="21"/>
        </w:rPr>
      </w:pPr>
      <w:r>
        <w:rPr>
          <w:rFonts w:ascii="Times New Roman" w:hAnsi="Times New Roman" w:eastAsia="黑体"/>
          <w:color w:val="000000"/>
          <w:szCs w:val="21"/>
        </w:rPr>
        <w:t>2.2 发包人代表</w:t>
      </w:r>
    </w:p>
    <w:p>
      <w:pPr>
        <w:spacing w:line="360" w:lineRule="auto"/>
        <w:ind w:firstLine="420" w:firstLineChars="200"/>
        <w:rPr>
          <w:rFonts w:ascii="Times New Roman" w:hAnsi="Times New Roman" w:eastAsia="仿宋_GB2312"/>
          <w:color w:val="000000"/>
          <w:szCs w:val="21"/>
        </w:rPr>
      </w:pPr>
      <w:r>
        <w:rPr>
          <w:rFonts w:ascii="Times New Roman" w:hAnsi="Times New Roman" w:eastAsia="仿宋_GB2312"/>
          <w:color w:val="000000"/>
          <w:szCs w:val="21"/>
        </w:rPr>
        <w:t>发包人代表：</w:t>
      </w:r>
    </w:p>
    <w:p>
      <w:pPr>
        <w:spacing w:line="360" w:lineRule="auto"/>
        <w:ind w:firstLine="420" w:firstLineChars="200"/>
        <w:rPr>
          <w:rFonts w:ascii="Times New Roman" w:hAnsi="Times New Roman" w:eastAsia="仿宋_GB2312"/>
          <w:color w:val="000000"/>
          <w:szCs w:val="21"/>
        </w:rPr>
      </w:pPr>
      <w:r>
        <w:rPr>
          <w:rFonts w:ascii="Times New Roman" w:hAnsi="Times New Roman" w:eastAsia="仿宋_GB2312"/>
          <w:color w:val="000000"/>
          <w:szCs w:val="21"/>
        </w:rPr>
        <w:t>姓    名：</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w:t>
      </w:r>
      <w:r>
        <w:rPr>
          <w:rFonts w:ascii="Times New Roman" w:hAnsi="Times New Roman" w:eastAsia="仿宋_GB2312"/>
          <w:color w:val="000000"/>
          <w:szCs w:val="21"/>
        </w:rPr>
        <w:t>；</w:t>
      </w:r>
    </w:p>
    <w:p>
      <w:pPr>
        <w:spacing w:line="360" w:lineRule="auto"/>
        <w:ind w:firstLine="420" w:firstLineChars="200"/>
        <w:rPr>
          <w:rFonts w:ascii="Times New Roman" w:hAnsi="Times New Roman" w:eastAsia="仿宋_GB2312"/>
          <w:color w:val="000000"/>
          <w:szCs w:val="21"/>
        </w:rPr>
      </w:pPr>
      <w:r>
        <w:rPr>
          <w:rFonts w:ascii="Times New Roman" w:hAnsi="Times New Roman" w:eastAsia="仿宋_GB2312"/>
          <w:color w:val="000000"/>
          <w:szCs w:val="21"/>
        </w:rPr>
        <w:t>职    务：</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lang w:val="en-US" w:eastAsia="zh-CN"/>
        </w:rPr>
        <w:t xml:space="preserve">         </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rPr>
        <w:t>；</w:t>
      </w:r>
    </w:p>
    <w:p>
      <w:pPr>
        <w:spacing w:line="360" w:lineRule="auto"/>
        <w:ind w:firstLine="420" w:firstLineChars="200"/>
        <w:rPr>
          <w:rFonts w:ascii="Times New Roman" w:hAnsi="Times New Roman" w:eastAsia="仿宋_GB2312"/>
          <w:color w:val="000000"/>
          <w:szCs w:val="21"/>
        </w:rPr>
      </w:pPr>
      <w:r>
        <w:rPr>
          <w:rFonts w:ascii="Times New Roman" w:hAnsi="Times New Roman" w:eastAsia="仿宋_GB2312"/>
          <w:color w:val="000000"/>
          <w:szCs w:val="21"/>
        </w:rPr>
        <w:t>联系电话：</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lang w:val="en-US" w:eastAsia="zh-CN"/>
        </w:rPr>
        <w:t xml:space="preserve">           </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rPr>
        <w:t>；</w:t>
      </w:r>
    </w:p>
    <w:p>
      <w:pPr>
        <w:spacing w:line="360" w:lineRule="auto"/>
        <w:ind w:firstLine="420" w:firstLineChars="200"/>
        <w:rPr>
          <w:rFonts w:ascii="Times New Roman" w:hAnsi="Times New Roman" w:eastAsia="仿宋_GB2312"/>
          <w:b/>
          <w:color w:val="000000"/>
          <w:szCs w:val="21"/>
        </w:rPr>
      </w:pPr>
      <w:r>
        <w:rPr>
          <w:rFonts w:ascii="Times New Roman" w:hAnsi="Times New Roman" w:eastAsia="仿宋_GB2312"/>
          <w:color w:val="000000"/>
          <w:szCs w:val="21"/>
        </w:rPr>
        <w:t>发包人对发包人代表的授权范围如下：</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对整个施工过程进行全面监控、管理及协调等工作，主持工程验收 </w:t>
      </w:r>
      <w:r>
        <w:rPr>
          <w:rFonts w:ascii="Times New Roman" w:hAnsi="Times New Roman" w:eastAsia="仿宋_GB2312"/>
          <w:color w:val="000000"/>
          <w:szCs w:val="21"/>
        </w:rPr>
        <w:t>。</w:t>
      </w:r>
    </w:p>
    <w:p>
      <w:pPr>
        <w:spacing w:after="120" w:line="360" w:lineRule="auto"/>
        <w:ind w:firstLine="420" w:firstLineChars="200"/>
        <w:rPr>
          <w:rFonts w:ascii="Times New Roman" w:hAnsi="Times New Roman" w:eastAsia="黑体"/>
          <w:color w:val="000000"/>
          <w:szCs w:val="21"/>
        </w:rPr>
      </w:pPr>
      <w:r>
        <w:rPr>
          <w:rFonts w:ascii="Times New Roman" w:hAnsi="Times New Roman" w:eastAsia="黑体"/>
          <w:color w:val="000000"/>
          <w:szCs w:val="21"/>
        </w:rPr>
        <w:t>2.5 资金来源证明及支付担保</w:t>
      </w:r>
    </w:p>
    <w:p>
      <w:pPr>
        <w:spacing w:line="360" w:lineRule="auto"/>
        <w:ind w:firstLine="420" w:firstLineChars="200"/>
        <w:rPr>
          <w:rFonts w:ascii="Times New Roman" w:hAnsi="Times New Roman" w:eastAsia="仿宋_GB2312"/>
          <w:color w:val="000000"/>
          <w:szCs w:val="21"/>
        </w:rPr>
      </w:pPr>
      <w:r>
        <w:rPr>
          <w:rFonts w:ascii="Times New Roman" w:hAnsi="Times New Roman" w:eastAsia="仿宋_GB2312"/>
          <w:color w:val="000000"/>
          <w:szCs w:val="21"/>
        </w:rPr>
        <w:t>发包人是否提供支付担保：</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否</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w:t>
      </w:r>
    </w:p>
    <w:p>
      <w:pPr>
        <w:pStyle w:val="6"/>
        <w:spacing w:before="120" w:after="120" w:line="360" w:lineRule="auto"/>
        <w:rPr>
          <w:rFonts w:ascii="Times New Roman" w:hAnsi="Times New Roman" w:eastAsia="黑体"/>
          <w:b w:val="0"/>
          <w:color w:val="000000"/>
          <w:sz w:val="21"/>
          <w:szCs w:val="21"/>
        </w:rPr>
      </w:pPr>
      <w:bookmarkStart w:id="273" w:name="_Toc351203635"/>
      <w:r>
        <w:rPr>
          <w:rFonts w:ascii="Times New Roman" w:hAnsi="Times New Roman" w:eastAsia="黑体"/>
          <w:b w:val="0"/>
          <w:color w:val="000000"/>
          <w:sz w:val="21"/>
          <w:szCs w:val="21"/>
        </w:rPr>
        <w:t>3</w:t>
      </w:r>
      <w:bookmarkStart w:id="274" w:name="_Toc296347157"/>
      <w:bookmarkStart w:id="275" w:name="_Toc297048344"/>
      <w:bookmarkStart w:id="276" w:name="_Toc296503158"/>
      <w:bookmarkStart w:id="277" w:name="_Toc292559363"/>
      <w:bookmarkStart w:id="278" w:name="_Toc296890986"/>
      <w:bookmarkStart w:id="279" w:name="_Toc296346659"/>
      <w:bookmarkStart w:id="280" w:name="_Toc297120458"/>
      <w:bookmarkStart w:id="281" w:name="_Toc296891198"/>
      <w:bookmarkStart w:id="282" w:name="_Toc296944497"/>
      <w:bookmarkStart w:id="283" w:name="_Toc292559868"/>
      <w:r>
        <w:rPr>
          <w:rFonts w:ascii="Times New Roman" w:hAnsi="Times New Roman" w:eastAsia="黑体"/>
          <w:b w:val="0"/>
          <w:color w:val="000000"/>
          <w:sz w:val="21"/>
          <w:szCs w:val="21"/>
        </w:rPr>
        <w:t>. 承包人</w:t>
      </w:r>
      <w:bookmarkEnd w:id="273"/>
    </w:p>
    <w:bookmarkEnd w:id="274"/>
    <w:bookmarkEnd w:id="275"/>
    <w:bookmarkEnd w:id="276"/>
    <w:bookmarkEnd w:id="277"/>
    <w:bookmarkEnd w:id="278"/>
    <w:bookmarkEnd w:id="279"/>
    <w:bookmarkEnd w:id="280"/>
    <w:bookmarkEnd w:id="281"/>
    <w:bookmarkEnd w:id="282"/>
    <w:bookmarkEnd w:id="283"/>
    <w:p>
      <w:pPr>
        <w:spacing w:after="120" w:line="360" w:lineRule="auto"/>
        <w:ind w:firstLine="420" w:firstLineChars="200"/>
        <w:rPr>
          <w:rFonts w:ascii="Times New Roman" w:hAnsi="Times New Roman" w:eastAsia="黑体"/>
          <w:color w:val="000000"/>
          <w:szCs w:val="21"/>
        </w:rPr>
      </w:pPr>
      <w:r>
        <w:rPr>
          <w:rFonts w:ascii="Times New Roman" w:hAnsi="Times New Roman" w:eastAsia="黑体"/>
          <w:color w:val="000000"/>
          <w:szCs w:val="21"/>
        </w:rPr>
        <w:t>3.1 承包人的一般义务</w:t>
      </w:r>
    </w:p>
    <w:p>
      <w:pPr>
        <w:ind w:firstLine="315" w:firstLineChars="150"/>
        <w:rPr>
          <w:rFonts w:ascii="Times New Roman" w:hAnsi="Times New Roman" w:eastAsia="仿宋_GB2312"/>
          <w:color w:val="000000"/>
          <w:szCs w:val="21"/>
          <w:u w:val="single"/>
        </w:rPr>
      </w:pPr>
      <w:r>
        <w:rPr>
          <w:rFonts w:ascii="Times New Roman" w:hAnsi="Times New Roman" w:eastAsia="仿宋_GB2312"/>
          <w:color w:val="000000"/>
          <w:kern w:val="0"/>
          <w:szCs w:val="21"/>
        </w:rPr>
        <w:t>（5）</w:t>
      </w:r>
      <w:r>
        <w:rPr>
          <w:rFonts w:ascii="Times New Roman" w:hAnsi="Times New Roman" w:eastAsia="仿宋_GB2312"/>
          <w:color w:val="000000"/>
          <w:szCs w:val="21"/>
        </w:rPr>
        <w:t>承包人提交的竣工资料的内容：</w:t>
      </w:r>
      <w:r>
        <w:rPr>
          <w:rFonts w:ascii="Times New Roman" w:hAnsi="Times New Roman" w:eastAsia="仿宋_GB2312"/>
          <w:color w:val="000000"/>
          <w:szCs w:val="21"/>
          <w:u w:val="single"/>
        </w:rPr>
        <w:t>竣工图纸；设计变更、洽商记录、现场签证；施工资料</w:t>
      </w:r>
      <w:r>
        <w:rPr>
          <w:rFonts w:hint="eastAsia" w:ascii="Times New Roman" w:hAnsi="Times New Roman" w:eastAsia="仿宋_GB2312"/>
          <w:color w:val="000000"/>
          <w:szCs w:val="21"/>
          <w:u w:val="single"/>
        </w:rPr>
        <w:t>；</w:t>
      </w:r>
      <w:r>
        <w:rPr>
          <w:rFonts w:ascii="Times New Roman" w:hAnsi="Times New Roman" w:eastAsia="仿宋_GB2312"/>
          <w:color w:val="000000"/>
          <w:szCs w:val="21"/>
          <w:u w:val="single"/>
        </w:rPr>
        <w:t>控制资料；管理资料等</w:t>
      </w:r>
      <w:r>
        <w:rPr>
          <w:rFonts w:hint="eastAsia" w:ascii="Times New Roman" w:hAnsi="Times New Roman" w:eastAsia="仿宋_GB2312"/>
          <w:color w:val="000000"/>
          <w:szCs w:val="21"/>
          <w:u w:val="single"/>
        </w:rPr>
        <w:t>。</w:t>
      </w:r>
    </w:p>
    <w:p>
      <w:pPr>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承包人需要提交的竣工资料套数：</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按发包人要求 </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w:t>
      </w:r>
    </w:p>
    <w:p>
      <w:pPr>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承包人提交的竣工资料的费用承担：</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按发包人要求 </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w:t>
      </w:r>
    </w:p>
    <w:p>
      <w:pPr>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承包人提交的竣工资料移交时间：</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按发包人要求</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w:t>
      </w:r>
    </w:p>
    <w:p>
      <w:pPr>
        <w:spacing w:line="360" w:lineRule="auto"/>
        <w:ind w:firstLine="420" w:firstLineChars="200"/>
        <w:jc w:val="left"/>
        <w:rPr>
          <w:rFonts w:hint="eastAsia" w:ascii="Times New Roman" w:hAnsi="Times New Roman" w:eastAsia="仿宋_GB2312"/>
          <w:color w:val="000000"/>
          <w:szCs w:val="21"/>
        </w:rPr>
      </w:pPr>
      <w:r>
        <w:rPr>
          <w:rFonts w:ascii="Times New Roman" w:hAnsi="Times New Roman" w:eastAsia="仿宋_GB2312"/>
          <w:color w:val="000000"/>
          <w:szCs w:val="21"/>
        </w:rPr>
        <w:t>承包人提交的竣工资料形式要求：</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按发包人要求</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w:t>
      </w:r>
    </w:p>
    <w:p>
      <w:pPr>
        <w:spacing w:after="120" w:line="360" w:lineRule="auto"/>
        <w:ind w:firstLine="420" w:firstLineChars="200"/>
        <w:rPr>
          <w:rFonts w:ascii="Times New Roman" w:hAnsi="Times New Roman" w:eastAsia="黑体"/>
          <w:color w:val="000000"/>
          <w:szCs w:val="21"/>
        </w:rPr>
      </w:pPr>
      <w:r>
        <w:rPr>
          <w:rFonts w:ascii="Times New Roman" w:hAnsi="Times New Roman" w:eastAsia="黑体"/>
          <w:color w:val="000000"/>
          <w:szCs w:val="21"/>
        </w:rPr>
        <w:t>3.2 项目经理</w:t>
      </w:r>
    </w:p>
    <w:p>
      <w:pPr>
        <w:spacing w:line="360" w:lineRule="auto"/>
        <w:ind w:firstLine="420" w:firstLineChars="200"/>
        <w:rPr>
          <w:rFonts w:ascii="Times New Roman" w:hAnsi="Times New Roman" w:eastAsia="仿宋_GB2312"/>
          <w:szCs w:val="21"/>
        </w:rPr>
      </w:pPr>
      <w:r>
        <w:rPr>
          <w:rFonts w:ascii="Times New Roman" w:hAnsi="Times New Roman" w:eastAsia="仿宋_GB2312"/>
          <w:kern w:val="0"/>
          <w:szCs w:val="21"/>
        </w:rPr>
        <w:t xml:space="preserve">3.2.1 </w:t>
      </w:r>
      <w:r>
        <w:rPr>
          <w:rFonts w:ascii="Times New Roman" w:hAnsi="Times New Roman" w:eastAsia="仿宋_GB2312"/>
          <w:szCs w:val="21"/>
        </w:rPr>
        <w:t>项目经理：</w:t>
      </w:r>
    </w:p>
    <w:p>
      <w:pPr>
        <w:spacing w:line="360" w:lineRule="auto"/>
        <w:ind w:firstLine="420" w:firstLineChars="200"/>
        <w:rPr>
          <w:rFonts w:ascii="Times New Roman" w:hAnsi="Times New Roman" w:eastAsia="仿宋_GB2312"/>
          <w:szCs w:val="21"/>
          <w:u w:val="single"/>
        </w:rPr>
      </w:pPr>
      <w:r>
        <w:rPr>
          <w:rFonts w:ascii="Times New Roman" w:hAnsi="Times New Roman" w:eastAsia="仿宋_GB2312"/>
          <w:szCs w:val="21"/>
        </w:rPr>
        <w:t>姓    名：</w:t>
      </w:r>
      <w:r>
        <w:rPr>
          <w:rFonts w:hint="eastAsia" w:ascii="Times New Roman" w:hAnsi="Times New Roman" w:eastAsia="仿宋_GB2312"/>
          <w:szCs w:val="21"/>
          <w:u w:val="single"/>
        </w:rPr>
        <w:t xml:space="preserve">  </w:t>
      </w:r>
      <w:r>
        <w:rPr>
          <w:rFonts w:ascii="Times New Roman" w:hAnsi="Times New Roman" w:eastAsia="仿宋_GB2312"/>
          <w:szCs w:val="21"/>
          <w:u w:val="single"/>
        </w:rPr>
        <w:t xml:space="preserve">                         </w:t>
      </w:r>
      <w:r>
        <w:rPr>
          <w:rFonts w:ascii="Times New Roman" w:hAnsi="Times New Roman" w:eastAsia="仿宋_GB2312"/>
          <w:szCs w:val="21"/>
        </w:rPr>
        <w:t>；</w:t>
      </w:r>
    </w:p>
    <w:p>
      <w:pPr>
        <w:spacing w:line="360" w:lineRule="auto"/>
        <w:ind w:firstLine="420" w:firstLineChars="200"/>
        <w:rPr>
          <w:rFonts w:ascii="Times New Roman" w:hAnsi="Times New Roman" w:eastAsia="仿宋_GB2312"/>
          <w:szCs w:val="21"/>
        </w:rPr>
      </w:pPr>
      <w:r>
        <w:rPr>
          <w:rFonts w:ascii="Times New Roman" w:hAnsi="Times New Roman" w:eastAsia="仿宋_GB2312"/>
          <w:szCs w:val="21"/>
        </w:rPr>
        <w:t>身份证号：</w:t>
      </w:r>
      <w:r>
        <w:rPr>
          <w:rFonts w:hint="eastAsia" w:ascii="Times New Roman" w:hAnsi="Times New Roman" w:eastAsia="仿宋_GB2312"/>
          <w:szCs w:val="21"/>
          <w:u w:val="single"/>
        </w:rPr>
        <w:t xml:space="preserve">  </w:t>
      </w:r>
      <w:r>
        <w:rPr>
          <w:rFonts w:ascii="Times New Roman" w:hAnsi="Times New Roman" w:eastAsia="仿宋_GB2312"/>
          <w:szCs w:val="21"/>
          <w:u w:val="single"/>
        </w:rPr>
        <w:t xml:space="preserve">                         </w:t>
      </w:r>
      <w:r>
        <w:rPr>
          <w:rFonts w:ascii="Times New Roman" w:hAnsi="Times New Roman" w:eastAsia="仿宋_GB2312"/>
          <w:szCs w:val="21"/>
        </w:rPr>
        <w:t>；</w:t>
      </w:r>
    </w:p>
    <w:p>
      <w:pPr>
        <w:spacing w:line="360" w:lineRule="auto"/>
        <w:ind w:firstLine="420" w:firstLineChars="200"/>
        <w:rPr>
          <w:rFonts w:ascii="Times New Roman" w:hAnsi="Times New Roman" w:eastAsia="仿宋_GB2312"/>
          <w:szCs w:val="21"/>
        </w:rPr>
      </w:pPr>
      <w:r>
        <w:rPr>
          <w:rFonts w:ascii="Times New Roman" w:hAnsi="Times New Roman" w:eastAsia="仿宋_GB2312"/>
          <w:szCs w:val="21"/>
        </w:rPr>
        <w:t>建造师执业资格等级：</w:t>
      </w:r>
      <w:r>
        <w:rPr>
          <w:rFonts w:hint="eastAsia" w:ascii="Times New Roman" w:hAnsi="Times New Roman" w:eastAsia="仿宋_GB2312"/>
          <w:szCs w:val="21"/>
          <w:u w:val="single"/>
        </w:rPr>
        <w:t xml:space="preserve">  </w:t>
      </w:r>
      <w:r>
        <w:rPr>
          <w:rFonts w:ascii="Times New Roman" w:hAnsi="Times New Roman" w:eastAsia="仿宋_GB2312"/>
          <w:szCs w:val="21"/>
          <w:u w:val="single"/>
        </w:rPr>
        <w:t xml:space="preserve">                         </w:t>
      </w:r>
      <w:r>
        <w:rPr>
          <w:rFonts w:ascii="Times New Roman" w:hAnsi="Times New Roman" w:eastAsia="仿宋_GB2312"/>
          <w:szCs w:val="21"/>
        </w:rPr>
        <w:t>；</w:t>
      </w:r>
    </w:p>
    <w:p>
      <w:pPr>
        <w:spacing w:line="360" w:lineRule="auto"/>
        <w:ind w:firstLine="420" w:firstLineChars="200"/>
        <w:rPr>
          <w:rFonts w:ascii="Times New Roman" w:hAnsi="Times New Roman" w:eastAsia="仿宋_GB2312"/>
          <w:szCs w:val="21"/>
        </w:rPr>
      </w:pPr>
      <w:r>
        <w:rPr>
          <w:rFonts w:ascii="Times New Roman" w:hAnsi="Times New Roman" w:eastAsia="仿宋_GB2312"/>
          <w:szCs w:val="21"/>
        </w:rPr>
        <w:t>建造师注册证书号：</w:t>
      </w:r>
      <w:r>
        <w:rPr>
          <w:rFonts w:hint="eastAsia" w:ascii="Times New Roman" w:hAnsi="Times New Roman" w:eastAsia="仿宋_GB2312"/>
          <w:szCs w:val="21"/>
          <w:u w:val="single"/>
        </w:rPr>
        <w:t xml:space="preserve">  </w:t>
      </w:r>
      <w:r>
        <w:rPr>
          <w:rFonts w:ascii="Times New Roman" w:hAnsi="Times New Roman" w:eastAsia="仿宋_GB2312"/>
          <w:szCs w:val="21"/>
          <w:u w:val="single"/>
        </w:rPr>
        <w:t xml:space="preserve">                         </w:t>
      </w:r>
      <w:r>
        <w:rPr>
          <w:rFonts w:ascii="Times New Roman" w:hAnsi="Times New Roman" w:eastAsia="仿宋_GB2312"/>
          <w:szCs w:val="21"/>
        </w:rPr>
        <w:t>；</w:t>
      </w:r>
    </w:p>
    <w:p>
      <w:pPr>
        <w:spacing w:line="360" w:lineRule="auto"/>
        <w:ind w:firstLine="420" w:firstLineChars="200"/>
        <w:rPr>
          <w:rFonts w:ascii="Times New Roman" w:hAnsi="Times New Roman" w:eastAsia="仿宋_GB2312"/>
          <w:szCs w:val="21"/>
        </w:rPr>
      </w:pPr>
      <w:r>
        <w:rPr>
          <w:rFonts w:ascii="Times New Roman" w:hAnsi="Times New Roman" w:eastAsia="仿宋_GB2312"/>
          <w:szCs w:val="21"/>
        </w:rPr>
        <w:t>安全生产考核合格证书号：</w:t>
      </w:r>
      <w:r>
        <w:rPr>
          <w:rFonts w:hint="eastAsia" w:ascii="Times New Roman" w:hAnsi="Times New Roman" w:eastAsia="仿宋_GB2312"/>
          <w:szCs w:val="21"/>
          <w:u w:val="single"/>
        </w:rPr>
        <w:t xml:space="preserve">  </w:t>
      </w:r>
      <w:r>
        <w:rPr>
          <w:rFonts w:ascii="Times New Roman" w:hAnsi="Times New Roman" w:eastAsia="仿宋_GB2312"/>
          <w:szCs w:val="21"/>
          <w:u w:val="single"/>
        </w:rPr>
        <w:t xml:space="preserve">                         </w:t>
      </w:r>
      <w:r>
        <w:rPr>
          <w:rFonts w:ascii="Times New Roman" w:hAnsi="Times New Roman" w:eastAsia="仿宋_GB2312"/>
          <w:szCs w:val="21"/>
        </w:rPr>
        <w:t>；</w:t>
      </w:r>
    </w:p>
    <w:p>
      <w:pPr>
        <w:spacing w:line="360" w:lineRule="auto"/>
        <w:ind w:firstLine="420" w:firstLineChars="200"/>
        <w:rPr>
          <w:rFonts w:ascii="Times New Roman" w:hAnsi="Times New Roman" w:eastAsia="仿宋_GB2312"/>
          <w:szCs w:val="21"/>
        </w:rPr>
      </w:pPr>
      <w:r>
        <w:rPr>
          <w:rFonts w:ascii="Times New Roman" w:hAnsi="Times New Roman" w:eastAsia="仿宋_GB2312"/>
          <w:szCs w:val="21"/>
        </w:rPr>
        <w:t>联系电话：</w:t>
      </w:r>
      <w:r>
        <w:rPr>
          <w:rFonts w:hint="eastAsia" w:ascii="Times New Roman" w:hAnsi="Times New Roman" w:eastAsia="仿宋_GB2312"/>
          <w:szCs w:val="21"/>
          <w:u w:val="single"/>
        </w:rPr>
        <w:t xml:space="preserve">  </w:t>
      </w:r>
      <w:r>
        <w:rPr>
          <w:rFonts w:ascii="Times New Roman" w:hAnsi="Times New Roman" w:eastAsia="仿宋_GB2312"/>
          <w:szCs w:val="21"/>
          <w:u w:val="single"/>
        </w:rPr>
        <w:t xml:space="preserve">                         </w:t>
      </w:r>
      <w:r>
        <w:rPr>
          <w:rFonts w:ascii="Times New Roman" w:hAnsi="Times New Roman" w:eastAsia="仿宋_GB2312"/>
          <w:szCs w:val="21"/>
        </w:rPr>
        <w:t>；</w:t>
      </w:r>
    </w:p>
    <w:p>
      <w:pPr>
        <w:spacing w:line="360" w:lineRule="auto"/>
        <w:ind w:firstLine="420" w:firstLineChars="200"/>
        <w:jc w:val="left"/>
        <w:rPr>
          <w:rFonts w:hint="eastAsia" w:ascii="Times New Roman" w:hAnsi="Times New Roman" w:eastAsia="仿宋_GB2312"/>
          <w:szCs w:val="21"/>
          <w:u w:val="single"/>
        </w:rPr>
      </w:pPr>
      <w:r>
        <w:rPr>
          <w:rFonts w:ascii="Times New Roman" w:hAnsi="Times New Roman" w:eastAsia="仿宋_GB2312"/>
          <w:color w:val="000000"/>
          <w:kern w:val="0"/>
          <w:szCs w:val="21"/>
        </w:rPr>
        <w:t>关于项目经理每月在施工现场的时间要求：</w:t>
      </w:r>
      <w:r>
        <w:rPr>
          <w:rFonts w:hint="eastAsia" w:ascii="Times New Roman" w:hAnsi="Times New Roman" w:eastAsia="仿宋_GB2312"/>
          <w:szCs w:val="21"/>
          <w:u w:val="single"/>
        </w:rPr>
        <w:t>开工之日起到竣工结束，在保证工程质量、安全、进度的情况下，项目经理每周至少5日，每天不少于8小时在现场组织施工。</w:t>
      </w:r>
    </w:p>
    <w:p>
      <w:pPr>
        <w:spacing w:line="360" w:lineRule="auto"/>
        <w:ind w:firstLine="420" w:firstLineChars="200"/>
        <w:jc w:val="left"/>
        <w:rPr>
          <w:rFonts w:ascii="Times New Roman" w:hAnsi="Times New Roman" w:eastAsia="仿宋_GB2312"/>
          <w:szCs w:val="21"/>
          <w:u w:val="single"/>
        </w:rPr>
      </w:pPr>
      <w:r>
        <w:rPr>
          <w:rFonts w:ascii="Times New Roman" w:hAnsi="Times New Roman" w:eastAsia="仿宋_GB2312"/>
          <w:color w:val="000000"/>
          <w:szCs w:val="21"/>
        </w:rPr>
        <w:t>承包人未提交劳动合同，以及没有为项目经理缴</w:t>
      </w:r>
      <w:r>
        <w:rPr>
          <w:rFonts w:ascii="Times New Roman" w:hAnsi="Times New Roman" w:eastAsia="仿宋_GB2312"/>
          <w:color w:val="000000"/>
          <w:kern w:val="0"/>
          <w:szCs w:val="21"/>
        </w:rPr>
        <w:t>纳社会保险证明的违约责任：</w:t>
      </w:r>
      <w:r>
        <w:rPr>
          <w:rFonts w:hint="eastAsia" w:ascii="Times New Roman" w:hAnsi="Times New Roman" w:eastAsia="仿宋_GB2312"/>
          <w:szCs w:val="21"/>
          <w:u w:val="single"/>
        </w:rPr>
        <w:t>由承包人承担违约责任，责令限期提交劳动合同并补缴社会保险，并扣除履约保证金的10%。</w:t>
      </w:r>
    </w:p>
    <w:p>
      <w:pPr>
        <w:spacing w:line="360" w:lineRule="auto"/>
        <w:ind w:firstLine="420" w:firstLineChars="200"/>
        <w:rPr>
          <w:rFonts w:hint="eastAsia" w:ascii="Times New Roman" w:hAnsi="Times New Roman" w:eastAsia="仿宋_GB2312"/>
          <w:szCs w:val="21"/>
          <w:u w:val="single"/>
        </w:rPr>
      </w:pPr>
      <w:r>
        <w:rPr>
          <w:rFonts w:ascii="Times New Roman" w:hAnsi="Times New Roman" w:eastAsia="仿宋_GB2312"/>
          <w:color w:val="000000"/>
          <w:kern w:val="0"/>
          <w:szCs w:val="21"/>
        </w:rPr>
        <w:t>项目经理未经批准，擅自离开施工现场的违约责任：</w:t>
      </w:r>
      <w:r>
        <w:rPr>
          <w:rFonts w:hint="eastAsia" w:ascii="Times New Roman" w:hAnsi="Times New Roman" w:eastAsia="仿宋_GB2312"/>
          <w:szCs w:val="21"/>
          <w:u w:val="single"/>
        </w:rPr>
        <w:t>由承包人承担违约责任，发包人有权处违约金2000元</w:t>
      </w:r>
      <w:r>
        <w:rPr>
          <w:rFonts w:ascii="Times New Roman" w:hAnsi="Times New Roman" w:eastAsia="仿宋_GB2312"/>
          <w:szCs w:val="21"/>
          <w:u w:val="single"/>
        </w:rPr>
        <w:t>/</w:t>
      </w:r>
      <w:r>
        <w:rPr>
          <w:rFonts w:hint="eastAsia" w:ascii="Times New Roman" w:hAnsi="Times New Roman" w:eastAsia="仿宋_GB2312"/>
          <w:szCs w:val="21"/>
          <w:u w:val="single"/>
        </w:rPr>
        <w:t>人</w:t>
      </w:r>
      <w:r>
        <w:rPr>
          <w:rFonts w:ascii="Times New Roman" w:hAnsi="Times New Roman" w:eastAsia="仿宋_GB2312"/>
          <w:szCs w:val="21"/>
          <w:u w:val="single"/>
        </w:rPr>
        <w:t>•</w:t>
      </w:r>
      <w:r>
        <w:rPr>
          <w:rFonts w:hint="eastAsia" w:ascii="Times New Roman" w:hAnsi="Times New Roman" w:eastAsia="仿宋_GB2312"/>
          <w:szCs w:val="21"/>
          <w:u w:val="single"/>
        </w:rPr>
        <w:t>次</w:t>
      </w:r>
      <w:r>
        <w:rPr>
          <w:rFonts w:ascii="Times New Roman" w:hAnsi="Times New Roman" w:eastAsia="仿宋_GB2312"/>
          <w:szCs w:val="21"/>
          <w:u w:val="single"/>
        </w:rPr>
        <w:t>(</w:t>
      </w:r>
      <w:r>
        <w:rPr>
          <w:rFonts w:hint="eastAsia" w:ascii="Times New Roman" w:hAnsi="Times New Roman" w:eastAsia="仿宋_GB2312"/>
          <w:szCs w:val="21"/>
          <w:u w:val="single"/>
        </w:rPr>
        <w:t>人民币</w:t>
      </w:r>
      <w:r>
        <w:rPr>
          <w:rFonts w:ascii="Times New Roman" w:hAnsi="Times New Roman" w:eastAsia="仿宋_GB2312"/>
          <w:szCs w:val="21"/>
          <w:u w:val="single"/>
        </w:rPr>
        <w:t>)</w:t>
      </w:r>
      <w:r>
        <w:rPr>
          <w:rFonts w:hint="eastAsia" w:ascii="Times New Roman" w:hAnsi="Times New Roman" w:eastAsia="仿宋_GB2312"/>
          <w:szCs w:val="21"/>
          <w:u w:val="single"/>
        </w:rPr>
        <w:t>。</w:t>
      </w:r>
    </w:p>
    <w:p>
      <w:pPr>
        <w:spacing w:line="360" w:lineRule="auto"/>
        <w:ind w:firstLine="420" w:firstLineChars="200"/>
        <w:rPr>
          <w:rFonts w:hint="eastAsia" w:ascii="Times New Roman" w:hAnsi="Times New Roman" w:eastAsia="仿宋_GB2312"/>
          <w:szCs w:val="21"/>
          <w:u w:val="single"/>
        </w:rPr>
      </w:pPr>
      <w:r>
        <w:rPr>
          <w:rFonts w:ascii="Times New Roman" w:hAnsi="Times New Roman" w:eastAsia="仿宋_GB2312"/>
          <w:color w:val="000000"/>
          <w:szCs w:val="21"/>
        </w:rPr>
        <w:t>3.2.3 承包人擅自更换项目经理的违约责任：</w:t>
      </w:r>
      <w:r>
        <w:rPr>
          <w:rFonts w:hint="eastAsia" w:ascii="Times New Roman" w:hAnsi="Times New Roman" w:eastAsia="仿宋_GB2312"/>
          <w:szCs w:val="21"/>
          <w:u w:val="single"/>
        </w:rPr>
        <w:t>由承包人承担违约责任，并扣除履约保证金的20%。</w:t>
      </w:r>
    </w:p>
    <w:p>
      <w:pPr>
        <w:spacing w:line="360" w:lineRule="auto"/>
        <w:ind w:firstLine="420" w:firstLineChars="200"/>
        <w:rPr>
          <w:rFonts w:hint="eastAsia" w:ascii="Times New Roman" w:hAnsi="Times New Roman" w:eastAsia="仿宋_GB2312"/>
          <w:szCs w:val="21"/>
          <w:u w:val="single"/>
        </w:rPr>
      </w:pPr>
      <w:r>
        <w:rPr>
          <w:rFonts w:ascii="Times New Roman" w:hAnsi="Times New Roman" w:eastAsia="仿宋_GB2312"/>
          <w:color w:val="000000"/>
          <w:szCs w:val="21"/>
        </w:rPr>
        <w:t>3.2.4 承包人无正当理由拒绝更换项目经理的违约责任：</w:t>
      </w:r>
      <w:r>
        <w:rPr>
          <w:rFonts w:hint="eastAsia" w:ascii="Times New Roman" w:hAnsi="Times New Roman" w:eastAsia="仿宋_GB2312"/>
          <w:szCs w:val="21"/>
          <w:u w:val="single"/>
        </w:rPr>
        <w:t>由承包人承担违约责任，并扣除履约保证金的20%。</w:t>
      </w:r>
    </w:p>
    <w:p>
      <w:pPr>
        <w:spacing w:line="360" w:lineRule="auto"/>
        <w:ind w:firstLine="420" w:firstLineChars="200"/>
        <w:rPr>
          <w:rFonts w:ascii="Times New Roman" w:hAnsi="Times New Roman" w:eastAsia="黑体"/>
          <w:color w:val="000000"/>
          <w:szCs w:val="21"/>
        </w:rPr>
      </w:pPr>
      <w:r>
        <w:rPr>
          <w:rFonts w:ascii="Times New Roman" w:hAnsi="Times New Roman" w:eastAsia="黑体"/>
          <w:color w:val="000000"/>
          <w:szCs w:val="21"/>
        </w:rPr>
        <w:t>3.3 承包人人员</w:t>
      </w:r>
    </w:p>
    <w:p>
      <w:pPr>
        <w:spacing w:line="360" w:lineRule="auto"/>
        <w:ind w:firstLine="420" w:firstLineChars="200"/>
        <w:rPr>
          <w:rFonts w:ascii="Times New Roman" w:hAnsi="Times New Roman" w:eastAsia="仿宋_GB2312"/>
          <w:color w:val="000000"/>
          <w:szCs w:val="21"/>
        </w:rPr>
      </w:pPr>
      <w:r>
        <w:rPr>
          <w:rFonts w:ascii="Times New Roman" w:hAnsi="Times New Roman" w:eastAsia="仿宋_GB2312"/>
          <w:color w:val="000000"/>
          <w:szCs w:val="21"/>
        </w:rPr>
        <w:t>3.3.1 承包人提交项目管理机构及施工现场管理人员安排报告的期限：</w:t>
      </w:r>
      <w:r>
        <w:rPr>
          <w:rFonts w:hint="eastAsia" w:ascii="Times New Roman" w:hAnsi="Times New Roman" w:eastAsia="仿宋_GB2312"/>
          <w:color w:val="000000"/>
          <w:szCs w:val="21"/>
          <w:u w:val="single"/>
        </w:rPr>
        <w:t xml:space="preserve">    /     </w:t>
      </w:r>
      <w:r>
        <w:rPr>
          <w:rFonts w:ascii="Times New Roman" w:hAnsi="Times New Roman" w:eastAsia="仿宋_GB2312"/>
          <w:color w:val="000000"/>
          <w:szCs w:val="21"/>
        </w:rPr>
        <w:t xml:space="preserve"> </w:t>
      </w:r>
    </w:p>
    <w:p>
      <w:pPr>
        <w:spacing w:line="360" w:lineRule="auto"/>
        <w:ind w:firstLine="420" w:firstLineChars="200"/>
        <w:rPr>
          <w:rFonts w:hint="eastAsia" w:ascii="Times New Roman" w:hAnsi="Times New Roman" w:eastAsia="仿宋_GB2312"/>
          <w:szCs w:val="21"/>
          <w:u w:val="single"/>
        </w:rPr>
      </w:pPr>
      <w:r>
        <w:rPr>
          <w:rFonts w:ascii="Times New Roman" w:hAnsi="Times New Roman" w:eastAsia="仿宋_GB2312"/>
          <w:color w:val="000000"/>
          <w:szCs w:val="21"/>
        </w:rPr>
        <w:t>3.3.3 承包人无正当理由拒绝撤换主要施工管理人员的违约责任：</w:t>
      </w:r>
      <w:r>
        <w:rPr>
          <w:rFonts w:hint="eastAsia" w:ascii="Times New Roman" w:hAnsi="Times New Roman" w:eastAsia="仿宋_GB2312"/>
          <w:szCs w:val="21"/>
          <w:u w:val="single"/>
        </w:rPr>
        <w:t>由承包人承担违约责任，并扣除履约保证金的10%。</w:t>
      </w:r>
    </w:p>
    <w:p>
      <w:pPr>
        <w:spacing w:line="360" w:lineRule="auto"/>
        <w:ind w:firstLine="420" w:firstLineChars="200"/>
        <w:rPr>
          <w:rFonts w:ascii="Times New Roman" w:hAnsi="Times New Roman" w:eastAsia="仿宋_GB2312"/>
          <w:color w:val="000000"/>
          <w:szCs w:val="21"/>
          <w:u w:val="single"/>
        </w:rPr>
      </w:pPr>
      <w:r>
        <w:rPr>
          <w:rFonts w:ascii="Times New Roman" w:hAnsi="Times New Roman" w:eastAsia="仿宋_GB2312"/>
          <w:color w:val="000000"/>
          <w:szCs w:val="21"/>
        </w:rPr>
        <w:t>3.3.4 承包人主要施工管理人员离开施工现场的批准要求：</w:t>
      </w:r>
      <w:r>
        <w:rPr>
          <w:rFonts w:hint="eastAsia" w:ascii="Times New Roman" w:hAnsi="Times New Roman" w:eastAsia="仿宋_GB2312"/>
          <w:color w:val="000000"/>
          <w:szCs w:val="21"/>
          <w:u w:val="single"/>
        </w:rPr>
        <w:t xml:space="preserve">        /    </w:t>
      </w:r>
      <w:r>
        <w:rPr>
          <w:rFonts w:ascii="Times New Roman" w:hAnsi="Times New Roman" w:eastAsia="仿宋_GB2312"/>
          <w:color w:val="000000"/>
          <w:szCs w:val="21"/>
        </w:rPr>
        <w:t>。</w:t>
      </w:r>
    </w:p>
    <w:p>
      <w:pPr>
        <w:spacing w:line="360" w:lineRule="auto"/>
        <w:ind w:firstLine="420" w:firstLineChars="200"/>
        <w:rPr>
          <w:rFonts w:hint="eastAsia" w:ascii="Times New Roman" w:hAnsi="Times New Roman" w:eastAsia="仿宋_GB2312"/>
          <w:color w:val="000000"/>
          <w:szCs w:val="21"/>
          <w:u w:val="single"/>
        </w:rPr>
      </w:pPr>
      <w:r>
        <w:rPr>
          <w:rFonts w:ascii="Times New Roman" w:hAnsi="Times New Roman" w:eastAsia="仿宋_GB2312"/>
          <w:color w:val="000000"/>
          <w:szCs w:val="21"/>
        </w:rPr>
        <w:t>3.3.5承包人擅自更换主要施工管理人员的违约责任：</w:t>
      </w:r>
      <w:r>
        <w:rPr>
          <w:rFonts w:hint="eastAsia" w:ascii="Times New Roman" w:hAnsi="Times New Roman" w:eastAsia="仿宋_GB2312"/>
          <w:szCs w:val="21"/>
          <w:u w:val="single"/>
        </w:rPr>
        <w:t>由承包人承担违约责任，并扣除履约保证金的10%</w:t>
      </w:r>
      <w:r>
        <w:rPr>
          <w:rFonts w:hint="eastAsia" w:ascii="Times New Roman" w:hAnsi="Times New Roman" w:eastAsia="仿宋_GB2312"/>
          <w:color w:val="000000"/>
          <w:szCs w:val="21"/>
          <w:u w:val="single"/>
        </w:rPr>
        <w:t>。</w:t>
      </w:r>
    </w:p>
    <w:p>
      <w:pPr>
        <w:spacing w:line="360" w:lineRule="auto"/>
        <w:ind w:firstLine="420" w:firstLineChars="200"/>
        <w:rPr>
          <w:rFonts w:hint="eastAsia" w:ascii="Times New Roman" w:hAnsi="Times New Roman" w:eastAsia="仿宋_GB2312"/>
          <w:szCs w:val="21"/>
          <w:u w:val="single"/>
        </w:rPr>
      </w:pPr>
      <w:r>
        <w:rPr>
          <w:rFonts w:ascii="Times New Roman" w:hAnsi="Times New Roman" w:eastAsia="仿宋_GB2312"/>
          <w:color w:val="000000"/>
          <w:szCs w:val="21"/>
        </w:rPr>
        <w:t>承包人主要施工管理人员擅自离开施工现场的违约责任：</w:t>
      </w:r>
      <w:r>
        <w:rPr>
          <w:rFonts w:hint="eastAsia" w:ascii="Times New Roman" w:hAnsi="Times New Roman" w:eastAsia="仿宋_GB2312"/>
          <w:szCs w:val="21"/>
          <w:u w:val="single"/>
        </w:rPr>
        <w:t>由承包人承担违约责任，发包人有权处违约金1000元/人•次(人民币)。</w:t>
      </w:r>
    </w:p>
    <w:p>
      <w:pPr>
        <w:spacing w:line="360" w:lineRule="auto"/>
        <w:ind w:firstLine="420" w:firstLineChars="200"/>
        <w:rPr>
          <w:rFonts w:ascii="Times New Roman" w:hAnsi="Times New Roman" w:eastAsia="黑体"/>
          <w:color w:val="000000"/>
          <w:szCs w:val="21"/>
        </w:rPr>
      </w:pPr>
      <w:r>
        <w:rPr>
          <w:rFonts w:ascii="Times New Roman" w:hAnsi="Times New Roman" w:eastAsia="黑体"/>
          <w:color w:val="000000"/>
          <w:szCs w:val="21"/>
        </w:rPr>
        <w:t>3</w:t>
      </w:r>
      <w:bookmarkStart w:id="284" w:name="_Toc292559364"/>
      <w:bookmarkStart w:id="285" w:name="_Toc312677988"/>
      <w:bookmarkStart w:id="286" w:name="_Toc296503159"/>
      <w:bookmarkStart w:id="287" w:name="_Toc304295523"/>
      <w:bookmarkStart w:id="288" w:name="_Toc300934945"/>
      <w:bookmarkStart w:id="289" w:name="_Toc296944498"/>
      <w:bookmarkStart w:id="290" w:name="_Toc296891199"/>
      <w:bookmarkStart w:id="291" w:name="_Toc296890987"/>
      <w:bookmarkStart w:id="292" w:name="_Toc303539102"/>
      <w:bookmarkStart w:id="293" w:name="_Toc297216151"/>
      <w:bookmarkStart w:id="294" w:name="_Toc292559869"/>
      <w:bookmarkStart w:id="295" w:name="_Toc297120459"/>
      <w:bookmarkStart w:id="296" w:name="_Toc297123492"/>
      <w:bookmarkStart w:id="297" w:name="_Toc296346660"/>
      <w:bookmarkStart w:id="298" w:name="_Toc296347158"/>
      <w:bookmarkStart w:id="299" w:name="_Toc297048345"/>
      <w:r>
        <w:rPr>
          <w:rFonts w:ascii="Times New Roman" w:hAnsi="Times New Roman" w:eastAsia="黑体"/>
          <w:color w:val="000000"/>
          <w:szCs w:val="21"/>
        </w:rPr>
        <w:t>.5 分包</w:t>
      </w:r>
    </w:p>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Pr>
        <w:spacing w:line="360" w:lineRule="auto"/>
        <w:ind w:firstLine="420" w:firstLineChars="200"/>
        <w:rPr>
          <w:rFonts w:ascii="Times New Roman" w:hAnsi="Times New Roman" w:eastAsia="仿宋_GB2312"/>
          <w:szCs w:val="21"/>
        </w:rPr>
      </w:pPr>
      <w:r>
        <w:rPr>
          <w:rFonts w:ascii="Times New Roman" w:hAnsi="Times New Roman" w:eastAsia="仿宋_GB2312"/>
          <w:szCs w:val="21"/>
        </w:rPr>
        <w:t>3</w:t>
      </w:r>
      <w:bookmarkStart w:id="300" w:name="_Toc297048346"/>
      <w:bookmarkStart w:id="301" w:name="_Toc297216152"/>
      <w:bookmarkStart w:id="302" w:name="_Toc318581158"/>
      <w:bookmarkStart w:id="303" w:name="_Toc296891200"/>
      <w:bookmarkStart w:id="304" w:name="_Toc296503160"/>
      <w:bookmarkStart w:id="305" w:name="_Toc296944499"/>
      <w:bookmarkStart w:id="306" w:name="_Toc300934946"/>
      <w:bookmarkStart w:id="307" w:name="_Toc296346661"/>
      <w:bookmarkStart w:id="308" w:name="_Toc303539103"/>
      <w:bookmarkStart w:id="309" w:name="_Toc297123493"/>
      <w:bookmarkStart w:id="310" w:name="_Toc292559365"/>
      <w:bookmarkStart w:id="311" w:name="_Toc297120460"/>
      <w:bookmarkStart w:id="312" w:name="_Toc312677989"/>
      <w:bookmarkStart w:id="313" w:name="_Toc304295524"/>
      <w:bookmarkStart w:id="314" w:name="_Toc296347159"/>
      <w:bookmarkStart w:id="315" w:name="_Toc296890988"/>
      <w:bookmarkStart w:id="316" w:name="_Toc292559870"/>
      <w:r>
        <w:rPr>
          <w:rFonts w:ascii="Times New Roman" w:hAnsi="Times New Roman" w:eastAsia="仿宋_GB2312"/>
          <w:szCs w:val="21"/>
        </w:rPr>
        <w:t>.5.1 分包的一般约定</w:t>
      </w:r>
    </w:p>
    <w:p>
      <w:pPr>
        <w:spacing w:line="360" w:lineRule="auto"/>
        <w:ind w:firstLine="420" w:firstLineChars="200"/>
        <w:jc w:val="left"/>
        <w:rPr>
          <w:rFonts w:ascii="Times New Roman" w:hAnsi="Times New Roman" w:eastAsia="仿宋_GB2312"/>
          <w:szCs w:val="21"/>
        </w:rPr>
      </w:pPr>
      <w:r>
        <w:rPr>
          <w:rFonts w:ascii="Times New Roman" w:hAnsi="Times New Roman" w:eastAsia="仿宋_GB2312"/>
          <w:szCs w:val="21"/>
        </w:rPr>
        <w:t>禁止分包的工程包括：</w:t>
      </w:r>
      <w:r>
        <w:rPr>
          <w:rFonts w:ascii="Times New Roman" w:hAnsi="Times New Roman" w:eastAsia="仿宋_GB2312"/>
          <w:color w:val="000000"/>
          <w:szCs w:val="21"/>
          <w:u w:val="single"/>
        </w:rPr>
        <w:t></w:t>
      </w:r>
      <w:r>
        <w:rPr>
          <w:rFonts w:hint="eastAsia" w:ascii="Times New Roman" w:hAnsi="Times New Roman" w:eastAsia="仿宋_GB2312"/>
          <w:szCs w:val="21"/>
          <w:u w:val="single"/>
        </w:rPr>
        <w:t>本工程均不得分包</w:t>
      </w:r>
      <w:r>
        <w:rPr>
          <w:rFonts w:ascii="Times New Roman" w:hAnsi="Times New Roman" w:eastAsia="仿宋_GB2312"/>
          <w:szCs w:val="21"/>
          <w:u w:val="single"/>
        </w:rPr>
        <w:t xml:space="preserve"> </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w:t>
      </w:r>
    </w:p>
    <w:p>
      <w:pPr>
        <w:spacing w:line="360" w:lineRule="auto"/>
        <w:ind w:firstLine="420" w:firstLineChars="200"/>
        <w:jc w:val="left"/>
        <w:rPr>
          <w:rFonts w:hint="eastAsia" w:ascii="Times New Roman" w:hAnsi="Times New Roman" w:eastAsia="仿宋_GB2312"/>
          <w:color w:val="000000"/>
          <w:szCs w:val="21"/>
          <w:u w:val="single"/>
        </w:rPr>
      </w:pPr>
      <w:r>
        <w:rPr>
          <w:rFonts w:ascii="Times New Roman" w:hAnsi="Times New Roman" w:eastAsia="仿宋_GB2312"/>
          <w:szCs w:val="21"/>
        </w:rPr>
        <w:t>主体结构、关键性工作的范围：</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p>
    <w:p>
      <w:pPr>
        <w:spacing w:line="360" w:lineRule="auto"/>
        <w:jc w:val="left"/>
        <w:rPr>
          <w:rFonts w:ascii="Times New Roman" w:hAnsi="Times New Roman" w:eastAsia="仿宋_GB2312"/>
          <w:color w:val="000000"/>
          <w:szCs w:val="21"/>
          <w:u w:val="single"/>
        </w:rPr>
      </w:pP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pPr>
        <w:spacing w:after="120" w:line="360" w:lineRule="auto"/>
        <w:ind w:firstLine="420" w:firstLineChars="200"/>
        <w:rPr>
          <w:rFonts w:ascii="Times New Roman" w:hAnsi="Times New Roman" w:eastAsia="黑体"/>
          <w:color w:val="000000"/>
          <w:szCs w:val="21"/>
        </w:rPr>
      </w:pPr>
      <w:r>
        <w:rPr>
          <w:rFonts w:ascii="Times New Roman" w:hAnsi="Times New Roman" w:eastAsia="黑体"/>
          <w:color w:val="000000"/>
          <w:szCs w:val="21"/>
        </w:rPr>
        <w:t>3.7 履约担保</w:t>
      </w:r>
    </w:p>
    <w:p>
      <w:pPr>
        <w:spacing w:line="360" w:lineRule="auto"/>
        <w:ind w:firstLine="420" w:firstLineChars="200"/>
        <w:jc w:val="left"/>
        <w:rPr>
          <w:rFonts w:hint="eastAsia" w:ascii="Times New Roman" w:hAnsi="Times New Roman" w:eastAsia="仿宋_GB2312"/>
          <w:color w:val="000000"/>
          <w:szCs w:val="21"/>
        </w:rPr>
      </w:pPr>
      <w:r>
        <w:rPr>
          <w:rFonts w:hint="eastAsia" w:ascii="Times New Roman" w:hAnsi="Times New Roman" w:eastAsia="仿宋_GB2312"/>
          <w:color w:val="000000"/>
          <w:szCs w:val="21"/>
        </w:rPr>
        <w:t>承包人是否提供履约担保：</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是</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w:t>
      </w:r>
    </w:p>
    <w:p>
      <w:pPr>
        <w:spacing w:line="360" w:lineRule="auto"/>
        <w:ind w:firstLine="420" w:firstLineChars="200"/>
        <w:jc w:val="left"/>
        <w:rPr>
          <w:rFonts w:hint="eastAsia" w:ascii="Times New Roman" w:hAnsi="Times New Roman" w:eastAsia="仿宋_GB2312"/>
          <w:color w:val="000000"/>
          <w:szCs w:val="21"/>
          <w:u w:val="single"/>
        </w:rPr>
      </w:pPr>
      <w:r>
        <w:rPr>
          <w:rFonts w:ascii="Times New Roman" w:hAnsi="Times New Roman" w:eastAsia="仿宋_GB2312"/>
          <w:color w:val="000000"/>
          <w:szCs w:val="21"/>
        </w:rPr>
        <w:t>承包人提供履约担保的形式</w:t>
      </w:r>
      <w:r>
        <w:rPr>
          <w:rFonts w:hint="eastAsia" w:ascii="Times New Roman" w:hAnsi="Times New Roman" w:eastAsia="仿宋_GB2312"/>
          <w:color w:val="000000"/>
          <w:szCs w:val="21"/>
        </w:rPr>
        <w:t>、金额及期限的</w:t>
      </w:r>
      <w:r>
        <w:rPr>
          <w:rFonts w:ascii="Times New Roman" w:hAnsi="Times New Roman" w:eastAsia="仿宋_GB2312"/>
          <w:color w:val="000000"/>
          <w:szCs w:val="21"/>
        </w:rPr>
        <w:t>：</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形式为银行汇票、支票，金额为合同价5%，履约担保的期限在合同签订前</w:t>
      </w:r>
      <w:r>
        <w:rPr>
          <w:rFonts w:ascii="Times New Roman" w:hAnsi="Times New Roman" w:eastAsia="仿宋_GB2312"/>
          <w:color w:val="000000"/>
          <w:szCs w:val="21"/>
          <w:u w:val="single"/>
        </w:rPr>
        <w:t>。</w:t>
      </w:r>
      <w:bookmarkStart w:id="317" w:name="_Toc351203638"/>
    </w:p>
    <w:bookmarkEnd w:id="317"/>
    <w:p>
      <w:pPr>
        <w:spacing w:line="400" w:lineRule="exact"/>
        <w:ind w:firstLine="420" w:firstLineChars="200"/>
        <w:jc w:val="left"/>
        <w:rPr>
          <w:rFonts w:ascii="Times New Roman" w:hAnsi="Times New Roman" w:eastAsia="黑体"/>
          <w:color w:val="000000"/>
          <w:szCs w:val="21"/>
        </w:rPr>
      </w:pPr>
      <w:bookmarkStart w:id="318" w:name="_Toc296503163"/>
      <w:bookmarkStart w:id="319" w:name="_Toc297120463"/>
      <w:bookmarkStart w:id="320" w:name="_Toc296891203"/>
      <w:bookmarkStart w:id="321" w:name="_Toc296890991"/>
      <w:bookmarkStart w:id="322" w:name="_Toc296346664"/>
      <w:bookmarkStart w:id="323" w:name="_Toc292559367"/>
      <w:bookmarkStart w:id="324" w:name="_Toc296944502"/>
      <w:bookmarkStart w:id="325" w:name="_Toc292559872"/>
      <w:bookmarkStart w:id="326" w:name="_Toc297048349"/>
      <w:bookmarkStart w:id="327" w:name="_Toc296347162"/>
      <w:r>
        <w:rPr>
          <w:rFonts w:ascii="Times New Roman" w:hAnsi="Times New Roman" w:eastAsia="黑体"/>
          <w:color w:val="000000"/>
          <w:szCs w:val="21"/>
        </w:rPr>
        <w:t>7</w:t>
      </w:r>
      <w:bookmarkStart w:id="328" w:name="_Toc312677484"/>
      <w:bookmarkStart w:id="329" w:name="_Toc304295546"/>
      <w:bookmarkStart w:id="330" w:name="_Toc303539125"/>
      <w:bookmarkStart w:id="331" w:name="_Toc297123516"/>
      <w:bookmarkStart w:id="332" w:name="_Toc297216175"/>
      <w:bookmarkStart w:id="333" w:name="_Toc300934968"/>
      <w:bookmarkStart w:id="334" w:name="_Toc312678010"/>
      <w:r>
        <w:rPr>
          <w:rFonts w:ascii="Times New Roman" w:hAnsi="Times New Roman" w:eastAsia="黑体"/>
          <w:color w:val="000000"/>
          <w:szCs w:val="21"/>
        </w:rPr>
        <w:t>.5 工期延误</w:t>
      </w:r>
    </w:p>
    <w:bookmarkEnd w:id="328"/>
    <w:bookmarkEnd w:id="329"/>
    <w:bookmarkEnd w:id="330"/>
    <w:bookmarkEnd w:id="331"/>
    <w:bookmarkEnd w:id="332"/>
    <w:bookmarkEnd w:id="333"/>
    <w:bookmarkEnd w:id="334"/>
    <w:p>
      <w:pPr>
        <w:spacing w:line="360" w:lineRule="auto"/>
        <w:ind w:firstLine="420" w:firstLineChars="200"/>
        <w:jc w:val="left"/>
        <w:rPr>
          <w:rFonts w:ascii="Times New Roman" w:hAnsi="Times New Roman" w:eastAsia="仿宋_GB2312"/>
          <w:szCs w:val="21"/>
        </w:rPr>
      </w:pPr>
      <w:r>
        <w:rPr>
          <w:rFonts w:ascii="Times New Roman" w:hAnsi="Times New Roman" w:eastAsia="仿宋_GB2312"/>
          <w:szCs w:val="21"/>
        </w:rPr>
        <w:t>7</w:t>
      </w:r>
      <w:bookmarkStart w:id="335" w:name="_Toc318581169"/>
      <w:bookmarkStart w:id="336" w:name="_Toc312677486"/>
      <w:bookmarkStart w:id="337" w:name="_Toc312678012"/>
      <w:bookmarkStart w:id="338" w:name="_Toc304295548"/>
      <w:bookmarkStart w:id="339" w:name="_Toc300934970"/>
      <w:bookmarkStart w:id="340" w:name="_Toc297216177"/>
      <w:bookmarkStart w:id="341" w:name="_Toc297123518"/>
      <w:bookmarkStart w:id="342" w:name="_Toc303539127"/>
      <w:r>
        <w:rPr>
          <w:rFonts w:ascii="Times New Roman" w:hAnsi="Times New Roman" w:eastAsia="仿宋_GB2312"/>
          <w:szCs w:val="21"/>
        </w:rPr>
        <w:t>.5.2 因承包人原因导致工期延误</w:t>
      </w:r>
    </w:p>
    <w:bookmarkEnd w:id="335"/>
    <w:bookmarkEnd w:id="336"/>
    <w:bookmarkEnd w:id="337"/>
    <w:p>
      <w:pPr>
        <w:spacing w:line="360" w:lineRule="auto"/>
        <w:ind w:firstLine="420" w:firstLineChars="200"/>
        <w:jc w:val="left"/>
        <w:rPr>
          <w:rFonts w:ascii="Times New Roman" w:hAnsi="Times New Roman" w:eastAsia="仿宋_GB2312"/>
          <w:szCs w:val="21"/>
          <w:u w:val="single"/>
        </w:rPr>
      </w:pPr>
      <w:r>
        <w:rPr>
          <w:rFonts w:ascii="Times New Roman" w:hAnsi="Times New Roman" w:eastAsia="仿宋_GB2312"/>
          <w:szCs w:val="21"/>
        </w:rPr>
        <w:t>因</w:t>
      </w:r>
      <w:bookmarkStart w:id="343" w:name="_Toc312677487"/>
      <w:bookmarkStart w:id="344" w:name="_Toc312678013"/>
      <w:bookmarkStart w:id="345" w:name="_Toc318581170"/>
      <w:r>
        <w:rPr>
          <w:rFonts w:ascii="Times New Roman" w:hAnsi="Times New Roman" w:eastAsia="仿宋_GB2312"/>
          <w:szCs w:val="21"/>
        </w:rPr>
        <w:t>承包人原因造成工期延误，逾期竣工违约金的计算方法为：</w:t>
      </w:r>
      <w:r>
        <w:rPr>
          <w:rFonts w:hint="eastAsia" w:ascii="Times New Roman" w:hAnsi="Times New Roman" w:eastAsia="仿宋_GB2312"/>
          <w:szCs w:val="21"/>
          <w:u w:val="single"/>
        </w:rPr>
        <w:t>扣除1000元</w:t>
      </w:r>
      <w:r>
        <w:rPr>
          <w:rFonts w:ascii="Times New Roman" w:hAnsi="Times New Roman" w:eastAsia="仿宋_GB2312"/>
          <w:szCs w:val="21"/>
          <w:u w:val="single"/>
        </w:rPr>
        <w:t>/</w:t>
      </w:r>
      <w:r>
        <w:rPr>
          <w:rFonts w:hint="eastAsia" w:ascii="Times New Roman" w:hAnsi="Times New Roman" w:eastAsia="仿宋_GB2312"/>
          <w:szCs w:val="21"/>
          <w:u w:val="single"/>
        </w:rPr>
        <w:t>天。</w:t>
      </w:r>
      <w:bookmarkEnd w:id="338"/>
      <w:bookmarkEnd w:id="339"/>
      <w:bookmarkEnd w:id="340"/>
      <w:bookmarkEnd w:id="341"/>
      <w:bookmarkEnd w:id="342"/>
      <w:bookmarkEnd w:id="343"/>
      <w:bookmarkEnd w:id="344"/>
    </w:p>
    <w:bookmarkEnd w:id="345"/>
    <w:p>
      <w:pPr>
        <w:spacing w:line="360" w:lineRule="auto"/>
        <w:ind w:firstLine="420" w:firstLineChars="200"/>
        <w:jc w:val="left"/>
        <w:rPr>
          <w:rFonts w:hint="eastAsia" w:ascii="Times New Roman" w:hAnsi="Times New Roman" w:eastAsia="仿宋_GB2312"/>
          <w:szCs w:val="21"/>
          <w:u w:val="single"/>
        </w:rPr>
      </w:pPr>
      <w:r>
        <w:rPr>
          <w:rFonts w:ascii="Times New Roman" w:hAnsi="Times New Roman" w:eastAsia="仿宋_GB2312"/>
          <w:szCs w:val="21"/>
        </w:rPr>
        <w:t>因承包人原因造成工期延误，逾</w:t>
      </w:r>
      <w:bookmarkStart w:id="346" w:name="_Toc312678014"/>
      <w:bookmarkStart w:id="347" w:name="_Toc318581171"/>
      <w:r>
        <w:rPr>
          <w:rFonts w:ascii="Times New Roman" w:hAnsi="Times New Roman" w:eastAsia="仿宋_GB2312"/>
          <w:szCs w:val="21"/>
        </w:rPr>
        <w:t>期竣工违约金的上限：</w:t>
      </w:r>
      <w:r>
        <w:rPr>
          <w:rFonts w:hint="eastAsia" w:ascii="Times New Roman" w:hAnsi="Times New Roman" w:eastAsia="仿宋_GB2312"/>
          <w:szCs w:val="21"/>
          <w:u w:val="single"/>
        </w:rPr>
        <w:t>全部的履约保证金。</w:t>
      </w:r>
    </w:p>
    <w:bookmarkEnd w:id="318"/>
    <w:bookmarkEnd w:id="319"/>
    <w:bookmarkEnd w:id="320"/>
    <w:bookmarkEnd w:id="321"/>
    <w:bookmarkEnd w:id="322"/>
    <w:bookmarkEnd w:id="323"/>
    <w:bookmarkEnd w:id="324"/>
    <w:bookmarkEnd w:id="325"/>
    <w:bookmarkEnd w:id="326"/>
    <w:bookmarkEnd w:id="327"/>
    <w:bookmarkEnd w:id="346"/>
    <w:bookmarkEnd w:id="347"/>
    <w:p>
      <w:pPr>
        <w:spacing w:after="120" w:line="360" w:lineRule="auto"/>
        <w:ind w:firstLine="420" w:firstLineChars="200"/>
        <w:rPr>
          <w:rFonts w:ascii="Times New Roman" w:hAnsi="Times New Roman" w:eastAsia="黑体"/>
          <w:color w:val="000000"/>
          <w:szCs w:val="21"/>
        </w:rPr>
      </w:pPr>
      <w:bookmarkStart w:id="348" w:name="_Toc267251441"/>
      <w:bookmarkStart w:id="349" w:name="_Toc267251435"/>
      <w:bookmarkStart w:id="350" w:name="_Toc267251437"/>
      <w:bookmarkStart w:id="351" w:name="_Toc267251439"/>
      <w:bookmarkStart w:id="352" w:name="_Toc267251440"/>
      <w:bookmarkStart w:id="353" w:name="_Toc267251433"/>
      <w:bookmarkStart w:id="354" w:name="_Toc267251442"/>
      <w:r>
        <w:rPr>
          <w:rFonts w:ascii="Times New Roman" w:hAnsi="Times New Roman" w:eastAsia="黑体"/>
          <w:color w:val="000000"/>
          <w:szCs w:val="21"/>
        </w:rPr>
        <w:t>1</w:t>
      </w:r>
      <w:bookmarkStart w:id="355" w:name="_Toc292559404"/>
      <w:bookmarkStart w:id="356" w:name="_Toc303539154"/>
      <w:bookmarkStart w:id="357" w:name="_Toc296944538"/>
      <w:bookmarkStart w:id="358" w:name="_Toc312677507"/>
      <w:bookmarkStart w:id="359" w:name="_Toc296891239"/>
      <w:bookmarkStart w:id="360" w:name="_Toc297216207"/>
      <w:bookmarkStart w:id="361" w:name="_Toc296891027"/>
      <w:bookmarkStart w:id="362" w:name="_Toc296503199"/>
      <w:bookmarkStart w:id="363" w:name="_Toc292559909"/>
      <w:bookmarkStart w:id="364" w:name="_Toc297123548"/>
      <w:bookmarkStart w:id="365" w:name="_Toc296346700"/>
      <w:bookmarkStart w:id="366" w:name="_Toc297120499"/>
      <w:bookmarkStart w:id="367" w:name="_Toc296347198"/>
      <w:bookmarkStart w:id="368" w:name="_Toc300934997"/>
      <w:bookmarkStart w:id="369" w:name="_Toc304295574"/>
      <w:bookmarkStart w:id="370" w:name="_Toc312678033"/>
      <w:bookmarkStart w:id="371" w:name="_Toc297048385"/>
      <w:r>
        <w:rPr>
          <w:rFonts w:ascii="Times New Roman" w:hAnsi="Times New Roman" w:eastAsia="黑体"/>
          <w:color w:val="000000"/>
          <w:szCs w:val="21"/>
        </w:rPr>
        <w:t>0.7 暂估价</w:t>
      </w: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spacing w:line="360" w:lineRule="auto"/>
        <w:ind w:firstLine="420" w:firstLineChars="200"/>
        <w:jc w:val="left"/>
        <w:rPr>
          <w:rFonts w:ascii="Times New Roman" w:hAnsi="Times New Roman" w:eastAsia="仿宋_GB2312"/>
          <w:szCs w:val="21"/>
        </w:rPr>
      </w:pPr>
      <w:r>
        <w:rPr>
          <w:rFonts w:ascii="Times New Roman" w:hAnsi="Times New Roman" w:eastAsia="仿宋_GB2312"/>
          <w:kern w:val="0"/>
          <w:szCs w:val="21"/>
        </w:rPr>
        <w:t>暂</w:t>
      </w:r>
      <w:bookmarkStart w:id="372" w:name="_Toc312678034"/>
      <w:bookmarkStart w:id="373" w:name="_Toc312677508"/>
      <w:bookmarkStart w:id="374" w:name="_Toc318581176"/>
      <w:r>
        <w:rPr>
          <w:rFonts w:ascii="Times New Roman" w:hAnsi="Times New Roman" w:eastAsia="仿宋_GB2312"/>
          <w:kern w:val="0"/>
          <w:szCs w:val="21"/>
        </w:rPr>
        <w:t>估价材料和工程设备的明细详见附件</w:t>
      </w:r>
      <w:r>
        <w:rPr>
          <w:rFonts w:hint="eastAsia" w:ascii="Times New Roman" w:hAnsi="Times New Roman" w:eastAsia="仿宋_GB2312"/>
          <w:kern w:val="0"/>
          <w:szCs w:val="21"/>
        </w:rPr>
        <w:t>11：《</w:t>
      </w:r>
      <w:r>
        <w:rPr>
          <w:rFonts w:ascii="Times New Roman" w:hAnsi="Times New Roman" w:eastAsia="仿宋_GB2312"/>
          <w:color w:val="000000"/>
          <w:szCs w:val="21"/>
        </w:rPr>
        <w:t>暂估价一览表</w:t>
      </w:r>
      <w:r>
        <w:rPr>
          <w:rFonts w:hint="eastAsia" w:ascii="Times New Roman" w:hAnsi="Times New Roman" w:eastAsia="仿宋_GB2312"/>
          <w:color w:val="000000"/>
          <w:szCs w:val="21"/>
        </w:rPr>
        <w:t>》</w:t>
      </w:r>
      <w:r>
        <w:rPr>
          <w:rFonts w:hint="eastAsia" w:ascii="Times New Roman" w:hAnsi="Times New Roman" w:eastAsia="仿宋_GB2312"/>
          <w:kern w:val="0"/>
          <w:szCs w:val="21"/>
        </w:rPr>
        <w:t>。</w:t>
      </w:r>
    </w:p>
    <w:bookmarkEnd w:id="372"/>
    <w:bookmarkEnd w:id="373"/>
    <w:bookmarkEnd w:id="374"/>
    <w:p>
      <w:pPr>
        <w:spacing w:line="360" w:lineRule="auto"/>
        <w:ind w:firstLine="420" w:firstLineChars="200"/>
        <w:jc w:val="left"/>
        <w:rPr>
          <w:rFonts w:ascii="Times New Roman" w:hAnsi="Times New Roman" w:eastAsia="仿宋_GB2312"/>
          <w:szCs w:val="21"/>
        </w:rPr>
      </w:pPr>
      <w:r>
        <w:rPr>
          <w:rFonts w:ascii="Times New Roman" w:hAnsi="Times New Roman" w:eastAsia="仿宋_GB2312"/>
          <w:szCs w:val="21"/>
        </w:rPr>
        <w:t>1</w:t>
      </w:r>
      <w:bookmarkStart w:id="375" w:name="_Toc312678035"/>
      <w:bookmarkStart w:id="376" w:name="_Toc318581177"/>
      <w:bookmarkStart w:id="377" w:name="_Toc312677509"/>
      <w:r>
        <w:rPr>
          <w:rFonts w:ascii="Times New Roman" w:hAnsi="Times New Roman" w:eastAsia="仿宋_GB2312"/>
          <w:szCs w:val="21"/>
        </w:rPr>
        <w:t>0.7.1 依法必须招标的暂估价项目</w:t>
      </w:r>
    </w:p>
    <w:bookmarkEnd w:id="375"/>
    <w:bookmarkEnd w:id="376"/>
    <w:bookmarkEnd w:id="377"/>
    <w:p>
      <w:pPr>
        <w:spacing w:line="360" w:lineRule="auto"/>
        <w:ind w:firstLine="420" w:firstLineChars="200"/>
        <w:jc w:val="left"/>
        <w:rPr>
          <w:rFonts w:ascii="Times New Roman" w:hAnsi="Times New Roman" w:eastAsia="仿宋_GB2312"/>
          <w:szCs w:val="21"/>
        </w:rPr>
      </w:pPr>
      <w:r>
        <w:rPr>
          <w:rFonts w:ascii="Times New Roman" w:hAnsi="Times New Roman" w:eastAsia="仿宋_GB2312"/>
          <w:szCs w:val="21"/>
        </w:rPr>
        <w:t>对于依法必须招标的暂估价项目的确认和批准采取</w:t>
      </w:r>
      <w:r>
        <w:rPr>
          <w:rFonts w:hint="eastAsia" w:ascii="Times New Roman" w:hAnsi="Times New Roman" w:eastAsia="仿宋_GB2312"/>
          <w:szCs w:val="21"/>
          <w:u w:val="single"/>
        </w:rPr>
        <w:t xml:space="preserve"> 第（2）种 </w:t>
      </w:r>
      <w:r>
        <w:rPr>
          <w:rFonts w:hint="eastAsia" w:ascii="Times New Roman" w:hAnsi="Times New Roman" w:eastAsia="仿宋_GB2312"/>
          <w:szCs w:val="21"/>
        </w:rPr>
        <w:t>的方式确定。</w:t>
      </w:r>
    </w:p>
    <w:p>
      <w:pPr>
        <w:spacing w:line="360" w:lineRule="auto"/>
        <w:ind w:firstLine="420" w:firstLineChars="200"/>
        <w:jc w:val="left"/>
        <w:rPr>
          <w:rFonts w:ascii="Times New Roman" w:hAnsi="Times New Roman" w:eastAsia="仿宋_GB2312"/>
          <w:szCs w:val="21"/>
        </w:rPr>
      </w:pPr>
      <w:r>
        <w:rPr>
          <w:rFonts w:ascii="Times New Roman" w:hAnsi="Times New Roman" w:eastAsia="仿宋_GB2312"/>
          <w:szCs w:val="21"/>
        </w:rPr>
        <w:t>10.7.2 不属于依法必须招标的暂估价项目</w:t>
      </w:r>
    </w:p>
    <w:p>
      <w:pPr>
        <w:spacing w:line="360" w:lineRule="auto"/>
        <w:ind w:firstLine="420" w:firstLineChars="200"/>
        <w:jc w:val="left"/>
        <w:rPr>
          <w:rFonts w:hint="eastAsia" w:ascii="Times New Roman" w:hAnsi="Times New Roman" w:eastAsia="仿宋_GB2312"/>
          <w:szCs w:val="21"/>
        </w:rPr>
      </w:pPr>
      <w:r>
        <w:rPr>
          <w:rFonts w:ascii="Times New Roman" w:hAnsi="Times New Roman" w:eastAsia="仿宋_GB2312"/>
          <w:szCs w:val="21"/>
        </w:rPr>
        <w:t>对于不属于依法必须招标的暂估价项目的确认和批准</w:t>
      </w:r>
      <w:r>
        <w:rPr>
          <w:rFonts w:hint="eastAsia" w:ascii="Times New Roman" w:hAnsi="Times New Roman" w:eastAsia="仿宋_GB2312"/>
          <w:szCs w:val="21"/>
        </w:rPr>
        <w:t>采取</w:t>
      </w:r>
      <w:r>
        <w:rPr>
          <w:rFonts w:hint="eastAsia" w:ascii="Times New Roman" w:hAnsi="Times New Roman" w:eastAsia="仿宋_GB2312"/>
          <w:szCs w:val="21"/>
          <w:u w:val="single"/>
        </w:rPr>
        <w:t xml:space="preserve"> 第（1）种</w:t>
      </w:r>
      <w:r>
        <w:rPr>
          <w:rFonts w:ascii="Times New Roman" w:hAnsi="Times New Roman" w:eastAsia="仿宋_GB2312"/>
          <w:szCs w:val="21"/>
        </w:rPr>
        <w:t>方式确定。</w:t>
      </w:r>
    </w:p>
    <w:p>
      <w:pPr>
        <w:pStyle w:val="6"/>
        <w:spacing w:before="120" w:after="120" w:line="360" w:lineRule="auto"/>
        <w:rPr>
          <w:rFonts w:ascii="Times New Roman" w:hAnsi="Times New Roman" w:eastAsia="黑体"/>
          <w:b w:val="0"/>
          <w:color w:val="000000"/>
          <w:sz w:val="21"/>
          <w:szCs w:val="21"/>
        </w:rPr>
      </w:pPr>
      <w:bookmarkStart w:id="378" w:name="_Toc351203643"/>
      <w:r>
        <w:rPr>
          <w:rFonts w:ascii="Times New Roman" w:hAnsi="Times New Roman" w:eastAsia="黑体"/>
          <w:b w:val="0"/>
          <w:color w:val="000000"/>
          <w:sz w:val="21"/>
          <w:szCs w:val="21"/>
        </w:rPr>
        <w:t>11. 价格调整</w:t>
      </w:r>
      <w:bookmarkEnd w:id="378"/>
    </w:p>
    <w:p>
      <w:pPr>
        <w:spacing w:after="120" w:line="360" w:lineRule="auto"/>
        <w:ind w:firstLine="420" w:firstLineChars="200"/>
        <w:rPr>
          <w:rFonts w:ascii="Times New Roman" w:hAnsi="Times New Roman" w:eastAsia="黑体"/>
          <w:color w:val="000000"/>
          <w:szCs w:val="21"/>
        </w:rPr>
      </w:pPr>
      <w:bookmarkStart w:id="379" w:name="_Toc296346702"/>
      <w:bookmarkStart w:id="380" w:name="_Toc312678039"/>
      <w:bookmarkStart w:id="381" w:name="_Toc296503201"/>
      <w:bookmarkStart w:id="382" w:name="_Toc304295577"/>
      <w:bookmarkStart w:id="383" w:name="_Toc297216209"/>
      <w:bookmarkStart w:id="384" w:name="_Toc292559406"/>
      <w:bookmarkStart w:id="385" w:name="_Toc296891029"/>
      <w:bookmarkStart w:id="386" w:name="_Toc297123550"/>
      <w:bookmarkStart w:id="387" w:name="_Toc300935000"/>
      <w:bookmarkStart w:id="388" w:name="_Toc296891241"/>
      <w:bookmarkStart w:id="389" w:name="_Toc303539157"/>
      <w:bookmarkStart w:id="390" w:name="_Toc292559911"/>
      <w:bookmarkStart w:id="391" w:name="_Toc296347200"/>
      <w:bookmarkStart w:id="392" w:name="_Toc297048387"/>
      <w:bookmarkStart w:id="393" w:name="_Toc297120501"/>
      <w:bookmarkStart w:id="394" w:name="_Toc296944540"/>
      <w:r>
        <w:rPr>
          <w:rFonts w:ascii="Times New Roman" w:hAnsi="Times New Roman" w:eastAsia="黑体"/>
          <w:color w:val="000000"/>
          <w:szCs w:val="21"/>
        </w:rPr>
        <w:t>11.1 市场价格波动引起的调整</w:t>
      </w:r>
    </w:p>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Pr>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kern w:val="0"/>
          <w:szCs w:val="21"/>
        </w:rPr>
        <w:t>市场价格波动是否调整合同价格的约定：</w:t>
      </w:r>
      <w:r>
        <w:rPr>
          <w:rFonts w:ascii="Times New Roman" w:hAnsi="Times New Roman" w:eastAsia="仿宋_GB2312"/>
          <w:szCs w:val="21"/>
          <w:u w:val="single"/>
        </w:rPr>
        <w:t xml:space="preserve">   </w:t>
      </w:r>
      <w:r>
        <w:rPr>
          <w:rFonts w:hint="eastAsia" w:ascii="Times New Roman" w:hAnsi="Times New Roman" w:eastAsia="仿宋_GB2312"/>
          <w:szCs w:val="21"/>
          <w:u w:val="single"/>
        </w:rPr>
        <w:t xml:space="preserve">否 </w:t>
      </w:r>
      <w:r>
        <w:rPr>
          <w:rFonts w:ascii="Times New Roman" w:hAnsi="Times New Roman" w:eastAsia="仿宋_GB2312"/>
          <w:szCs w:val="21"/>
          <w:u w:val="single"/>
        </w:rPr>
        <w:t xml:space="preserve">  </w:t>
      </w:r>
      <w:r>
        <w:rPr>
          <w:rFonts w:ascii="Times New Roman" w:hAnsi="Times New Roman" w:eastAsia="仿宋_GB2312"/>
          <w:szCs w:val="21"/>
        </w:rPr>
        <w:t>。</w:t>
      </w:r>
    </w:p>
    <w:p>
      <w:pPr>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因市场价格波动调整合同价格，采用以下</w:t>
      </w:r>
      <w:r>
        <w:rPr>
          <w:rFonts w:ascii="Times New Roman" w:hAnsi="Times New Roman" w:eastAsia="仿宋_GB2312"/>
          <w:szCs w:val="21"/>
        </w:rPr>
        <w:t>第</w:t>
      </w:r>
      <w:r>
        <w:rPr>
          <w:rFonts w:hint="eastAsia" w:ascii="Times New Roman" w:hAnsi="Times New Roman" w:eastAsia="仿宋_GB2312"/>
          <w:szCs w:val="21"/>
          <w:u w:val="single"/>
        </w:rPr>
        <w:t xml:space="preserve"> </w:t>
      </w:r>
      <w:r>
        <w:rPr>
          <w:rFonts w:ascii="Times New Roman" w:hAnsi="Times New Roman" w:eastAsia="仿宋_GB2312"/>
          <w:szCs w:val="21"/>
          <w:u w:val="single"/>
        </w:rPr>
        <w:t xml:space="preserve">   </w:t>
      </w:r>
      <w:r>
        <w:rPr>
          <w:rFonts w:hint="eastAsia" w:ascii="Times New Roman" w:hAnsi="Times New Roman" w:eastAsia="仿宋_GB2312"/>
          <w:szCs w:val="21"/>
          <w:u w:val="single"/>
        </w:rPr>
        <w:t>/</w:t>
      </w:r>
      <w:r>
        <w:rPr>
          <w:rFonts w:ascii="Times New Roman" w:hAnsi="Times New Roman" w:eastAsia="仿宋_GB2312"/>
          <w:szCs w:val="21"/>
          <w:u w:val="single"/>
        </w:rPr>
        <w:t xml:space="preserve">     </w:t>
      </w:r>
      <w:r>
        <w:rPr>
          <w:rFonts w:ascii="Times New Roman" w:hAnsi="Times New Roman" w:eastAsia="仿宋_GB2312"/>
          <w:color w:val="000000"/>
          <w:szCs w:val="21"/>
        </w:rPr>
        <w:t>种方式对合同价格进行调整：</w:t>
      </w:r>
    </w:p>
    <w:p>
      <w:pPr>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第1种方式：采用价格指数</w:t>
      </w:r>
      <w:r>
        <w:rPr>
          <w:rFonts w:hint="eastAsia" w:ascii="Times New Roman" w:hAnsi="Times New Roman" w:eastAsia="仿宋_GB2312"/>
          <w:color w:val="000000"/>
          <w:szCs w:val="21"/>
        </w:rPr>
        <w:t>进行价格</w:t>
      </w:r>
      <w:r>
        <w:rPr>
          <w:rFonts w:ascii="Times New Roman" w:hAnsi="Times New Roman" w:eastAsia="仿宋_GB2312"/>
          <w:color w:val="000000"/>
          <w:szCs w:val="21"/>
        </w:rPr>
        <w:t>调整。</w:t>
      </w:r>
    </w:p>
    <w:p>
      <w:pPr>
        <w:spacing w:line="360" w:lineRule="auto"/>
        <w:ind w:firstLine="420" w:firstLineChars="200"/>
        <w:jc w:val="left"/>
        <w:rPr>
          <w:rFonts w:ascii="Times New Roman" w:hAnsi="Times New Roman" w:eastAsia="仿宋_GB2312"/>
          <w:color w:val="000000"/>
          <w:szCs w:val="21"/>
          <w:u w:val="single"/>
        </w:rPr>
      </w:pPr>
      <w:r>
        <w:rPr>
          <w:rFonts w:ascii="Times New Roman" w:hAnsi="Times New Roman" w:eastAsia="仿宋_GB2312"/>
          <w:color w:val="000000"/>
          <w:szCs w:val="21"/>
        </w:rPr>
        <w:t>关于各可调因子、定值和变值权重，以及基本价格指数及其来源的约定：</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 xml:space="preserve">；  </w:t>
      </w:r>
    </w:p>
    <w:p>
      <w:pPr>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第2种方式：采用造价信息</w:t>
      </w:r>
      <w:r>
        <w:rPr>
          <w:rFonts w:hint="eastAsia" w:ascii="Times New Roman" w:hAnsi="Times New Roman" w:eastAsia="仿宋_GB2312"/>
          <w:color w:val="000000"/>
          <w:szCs w:val="21"/>
        </w:rPr>
        <w:t>进行价格</w:t>
      </w:r>
      <w:r>
        <w:rPr>
          <w:rFonts w:ascii="Times New Roman" w:hAnsi="Times New Roman" w:eastAsia="仿宋_GB2312"/>
          <w:color w:val="000000"/>
          <w:szCs w:val="21"/>
        </w:rPr>
        <w:t>调整。</w:t>
      </w:r>
    </w:p>
    <w:p>
      <w:pPr>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（2）关于基准价格的约定：</w:t>
      </w:r>
      <w:r>
        <w:rPr>
          <w:rFonts w:ascii="Times New Roman" w:hAnsi="Times New Roman" w:eastAsia="仿宋_GB2312"/>
          <w:szCs w:val="21"/>
          <w:u w:val="single"/>
        </w:rPr>
        <w:t xml:space="preserve">          </w:t>
      </w:r>
      <w:r>
        <w:rPr>
          <w:rFonts w:hint="eastAsia" w:ascii="Times New Roman" w:hAnsi="Times New Roman" w:eastAsia="仿宋_GB2312"/>
          <w:szCs w:val="21"/>
          <w:u w:val="single"/>
        </w:rPr>
        <w:t>/</w:t>
      </w:r>
      <w:r>
        <w:rPr>
          <w:rFonts w:ascii="Times New Roman" w:hAnsi="Times New Roman" w:eastAsia="仿宋_GB2312"/>
          <w:szCs w:val="21"/>
          <w:u w:val="single"/>
        </w:rPr>
        <w:t xml:space="preserve">               </w:t>
      </w:r>
      <w:r>
        <w:rPr>
          <w:rFonts w:ascii="Times New Roman" w:hAnsi="Times New Roman" w:eastAsia="仿宋_GB2312"/>
          <w:szCs w:val="21"/>
        </w:rPr>
        <w:t>。</w:t>
      </w:r>
    </w:p>
    <w:p>
      <w:pPr>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专用合同条款</w:t>
      </w:r>
      <w:r>
        <w:rPr>
          <w:rFonts w:hint="eastAsia" w:ascii="宋体" w:hAnsi="宋体" w:cs="宋体"/>
          <w:color w:val="000000"/>
          <w:szCs w:val="21"/>
        </w:rPr>
        <w:t>①</w:t>
      </w:r>
      <w:r>
        <w:rPr>
          <w:rFonts w:ascii="Times New Roman" w:hAnsi="Times New Roman" w:eastAsia="仿宋_GB2312"/>
          <w:color w:val="000000"/>
          <w:szCs w:val="21"/>
        </w:rPr>
        <w:t>承包人在已标价工程量清单或预算书中载明的材料单价低于基准价格的：专用合同条款合同履行期间材料单价涨幅以基准价格为基础超过</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%时，或材料单价跌幅以已标价工程量清单或预算书中载明材料单价为基础超过</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%时，其超过部分据实调整。</w:t>
      </w:r>
    </w:p>
    <w:p>
      <w:pPr>
        <w:spacing w:line="360" w:lineRule="auto"/>
        <w:ind w:firstLine="420" w:firstLineChars="200"/>
        <w:jc w:val="left"/>
        <w:rPr>
          <w:rFonts w:ascii="Times New Roman" w:hAnsi="Times New Roman" w:eastAsia="仿宋_GB2312"/>
          <w:color w:val="000000"/>
          <w:szCs w:val="21"/>
        </w:rPr>
      </w:pPr>
      <w:r>
        <w:rPr>
          <w:rFonts w:hint="eastAsia" w:ascii="宋体" w:hAnsi="宋体" w:cs="宋体"/>
          <w:color w:val="000000"/>
          <w:szCs w:val="21"/>
        </w:rPr>
        <w:t>②</w:t>
      </w:r>
      <w:r>
        <w:rPr>
          <w:rFonts w:ascii="Times New Roman" w:hAnsi="Times New Roman" w:eastAsia="仿宋_GB2312"/>
          <w:color w:val="000000"/>
          <w:szCs w:val="21"/>
        </w:rPr>
        <w:t>承包人在已标价工程量清单或预算书中载明的材料单价高于基准价格的：专用合同条款合同履行期间材料单价跌幅以基准价格为基础超过</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%时，材料单价涨幅以已标价工程量清单或预算书中载明材料单价为基础超过</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%时，其超过部分据实调整。</w:t>
      </w:r>
    </w:p>
    <w:p>
      <w:pPr>
        <w:spacing w:line="360" w:lineRule="auto"/>
        <w:ind w:firstLine="645"/>
        <w:jc w:val="left"/>
        <w:rPr>
          <w:rFonts w:ascii="Times New Roman" w:hAnsi="Times New Roman" w:eastAsia="仿宋_GB2312"/>
          <w:color w:val="000000"/>
          <w:szCs w:val="21"/>
        </w:rPr>
      </w:pPr>
      <w:r>
        <w:rPr>
          <w:rFonts w:hint="eastAsia" w:ascii="宋体" w:hAnsi="宋体" w:cs="宋体"/>
          <w:color w:val="000000"/>
          <w:szCs w:val="21"/>
        </w:rPr>
        <w:t>③</w:t>
      </w:r>
      <w:r>
        <w:rPr>
          <w:rFonts w:ascii="Times New Roman" w:hAnsi="Times New Roman" w:eastAsia="仿宋_GB2312"/>
          <w:color w:val="000000"/>
          <w:szCs w:val="21"/>
        </w:rPr>
        <w:t>承包人在已标价工程量清单或预算书中载明的材料单价等于基准单价的：专用合同条款合同履行期间材料单价涨跌幅以基准单价为基础超过±</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%时，其超过部分据实调整。</w:t>
      </w:r>
    </w:p>
    <w:p>
      <w:pPr>
        <w:spacing w:line="360" w:lineRule="auto"/>
        <w:ind w:firstLine="645"/>
        <w:jc w:val="left"/>
        <w:rPr>
          <w:rFonts w:hint="eastAsia" w:ascii="Times New Roman" w:hAnsi="Times New Roman" w:eastAsia="仿宋_GB2312"/>
          <w:color w:val="000000"/>
          <w:szCs w:val="21"/>
          <w:u w:val="single"/>
        </w:rPr>
      </w:pPr>
      <w:r>
        <w:rPr>
          <w:rFonts w:ascii="Times New Roman" w:hAnsi="Times New Roman" w:eastAsia="仿宋_GB2312"/>
          <w:color w:val="000000"/>
          <w:szCs w:val="21"/>
        </w:rPr>
        <w:t>第3种方式：其他价格调整方式：</w:t>
      </w:r>
      <w:r>
        <w:rPr>
          <w:rFonts w:hint="eastAsia" w:ascii="Times New Roman" w:hAnsi="Times New Roman" w:eastAsia="仿宋_GB2312"/>
          <w:color w:val="000000"/>
          <w:szCs w:val="21"/>
          <w:u w:val="single"/>
        </w:rPr>
        <w:t>1、人工单价：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645"/>
        <w:jc w:val="left"/>
        <w:rPr>
          <w:rFonts w:hint="eastAsia" w:ascii="Times New Roman" w:hAnsi="Times New Roman" w:eastAsia="仿宋_GB2312"/>
          <w:color w:val="000000"/>
          <w:szCs w:val="21"/>
          <w:u w:val="single"/>
        </w:rPr>
      </w:pPr>
      <w:r>
        <w:rPr>
          <w:rFonts w:hint="eastAsia" w:ascii="Times New Roman" w:hAnsi="Times New Roman" w:eastAsia="仿宋_GB2312"/>
          <w:color w:val="000000"/>
          <w:szCs w:val="21"/>
          <w:u w:val="single"/>
        </w:rPr>
        <w:t>2、材料、工程设备价格：按泰建价〔</w:t>
      </w:r>
      <w:r>
        <w:rPr>
          <w:rFonts w:ascii="Times New Roman" w:hAnsi="Times New Roman" w:eastAsia="仿宋_GB2312"/>
          <w:color w:val="000000"/>
          <w:szCs w:val="21"/>
          <w:u w:val="single"/>
        </w:rPr>
        <w:t>2008</w:t>
      </w:r>
      <w:r>
        <w:rPr>
          <w:rFonts w:hint="eastAsia" w:ascii="Times New Roman" w:hAnsi="Times New Roman" w:eastAsia="仿宋_GB2312"/>
          <w:color w:val="000000"/>
          <w:szCs w:val="21"/>
          <w:u w:val="single"/>
        </w:rPr>
        <w:t>〕</w:t>
      </w:r>
      <w:r>
        <w:rPr>
          <w:rFonts w:ascii="Times New Roman" w:hAnsi="Times New Roman" w:eastAsia="仿宋_GB2312"/>
          <w:color w:val="000000"/>
          <w:szCs w:val="21"/>
          <w:u w:val="single"/>
        </w:rPr>
        <w:t>2</w:t>
      </w:r>
      <w:r>
        <w:rPr>
          <w:rFonts w:hint="eastAsia" w:ascii="Times New Roman" w:hAnsi="Times New Roman" w:eastAsia="仿宋_GB2312"/>
          <w:color w:val="000000"/>
          <w:szCs w:val="21"/>
          <w:u w:val="single"/>
        </w:rPr>
        <w:t>号《关于转发江苏省建设厅</w:t>
      </w:r>
      <w:r>
        <w:rPr>
          <w:rFonts w:ascii="Times New Roman" w:hAnsi="Times New Roman" w:eastAsia="仿宋_GB2312"/>
          <w:color w:val="000000"/>
          <w:szCs w:val="21"/>
          <w:u w:val="single"/>
        </w:rPr>
        <w:t>&lt;</w:t>
      </w:r>
      <w:r>
        <w:rPr>
          <w:rFonts w:hint="eastAsia" w:ascii="Times New Roman" w:hAnsi="Times New Roman" w:eastAsia="仿宋_GB2312"/>
          <w:color w:val="000000"/>
          <w:szCs w:val="21"/>
          <w:u w:val="single"/>
        </w:rPr>
        <w:t>关于加强建筑材料价格风险控制的指导意见</w:t>
      </w:r>
      <w:r>
        <w:rPr>
          <w:rFonts w:ascii="Times New Roman" w:hAnsi="Times New Roman" w:eastAsia="仿宋_GB2312"/>
          <w:color w:val="000000"/>
          <w:szCs w:val="21"/>
          <w:u w:val="single"/>
        </w:rPr>
        <w:t>&gt;</w:t>
      </w:r>
      <w:r>
        <w:rPr>
          <w:rFonts w:hint="eastAsia" w:ascii="Times New Roman" w:hAnsi="Times New Roman" w:eastAsia="仿宋_GB2312"/>
          <w:color w:val="000000"/>
          <w:szCs w:val="21"/>
          <w:u w:val="single"/>
        </w:rPr>
        <w:t>的通知》调整工程价款。</w:t>
      </w:r>
    </w:p>
    <w:p>
      <w:pPr>
        <w:spacing w:line="360" w:lineRule="auto"/>
        <w:ind w:firstLine="645"/>
        <w:jc w:val="left"/>
        <w:rPr>
          <w:rFonts w:ascii="Times New Roman" w:hAnsi="Times New Roman" w:eastAsia="仿宋_GB2312"/>
          <w:color w:val="000000"/>
          <w:szCs w:val="21"/>
          <w:u w:val="single"/>
        </w:rPr>
      </w:pPr>
      <w:r>
        <w:rPr>
          <w:rFonts w:hint="eastAsia" w:ascii="Times New Roman" w:hAnsi="Times New Roman" w:eastAsia="仿宋_GB2312"/>
          <w:color w:val="000000"/>
          <w:szCs w:val="21"/>
          <w:u w:val="single"/>
        </w:rPr>
        <w:t>3、施工机械台班单价或施工机械使用费：施工机械台班单价或施工机械使用费发生变化超过省级或行业建设主管部门或其授权的工程造价管理机构规定的范围时，按规定调整合同价格</w:t>
      </w:r>
      <w:r>
        <w:rPr>
          <w:rFonts w:ascii="Times New Roman" w:hAnsi="Times New Roman" w:eastAsia="仿宋_GB2312"/>
          <w:color w:val="000000"/>
          <w:szCs w:val="21"/>
          <w:u w:val="single"/>
        </w:rPr>
        <w:t>。</w:t>
      </w:r>
    </w:p>
    <w:bookmarkEnd w:id="348"/>
    <w:bookmarkEnd w:id="349"/>
    <w:bookmarkEnd w:id="350"/>
    <w:bookmarkEnd w:id="351"/>
    <w:bookmarkEnd w:id="352"/>
    <w:bookmarkEnd w:id="353"/>
    <w:p>
      <w:pPr>
        <w:pStyle w:val="6"/>
        <w:spacing w:before="120" w:after="120" w:line="360" w:lineRule="auto"/>
        <w:rPr>
          <w:rFonts w:ascii="Times New Roman" w:hAnsi="Times New Roman" w:eastAsia="黑体"/>
          <w:b w:val="0"/>
          <w:color w:val="000000"/>
          <w:sz w:val="21"/>
          <w:szCs w:val="21"/>
        </w:rPr>
      </w:pPr>
      <w:bookmarkStart w:id="395" w:name="_Toc296891245"/>
      <w:bookmarkStart w:id="396" w:name="_Toc296347204"/>
      <w:bookmarkStart w:id="397" w:name="_Toc297120505"/>
      <w:bookmarkStart w:id="398" w:name="_Toc292559410"/>
      <w:bookmarkStart w:id="399" w:name="_Toc292559915"/>
      <w:bookmarkStart w:id="400" w:name="_Toc296503205"/>
      <w:bookmarkStart w:id="401" w:name="_Toc296346706"/>
      <w:bookmarkStart w:id="402" w:name="_Toc296891033"/>
      <w:bookmarkStart w:id="403" w:name="_Toc296944544"/>
      <w:bookmarkStart w:id="404" w:name="_Toc297048391"/>
      <w:bookmarkStart w:id="405" w:name="_Toc351203644"/>
      <w:bookmarkStart w:id="406" w:name="_Toc303539159"/>
      <w:bookmarkStart w:id="407" w:name="_Toc304295579"/>
      <w:bookmarkStart w:id="408" w:name="_Toc312678040"/>
      <w:bookmarkStart w:id="409" w:name="_Toc297123552"/>
      <w:bookmarkStart w:id="410" w:name="_Toc297216211"/>
      <w:bookmarkStart w:id="411" w:name="_Toc300935002"/>
      <w:r>
        <w:rPr>
          <w:rFonts w:ascii="Times New Roman" w:hAnsi="Times New Roman" w:eastAsia="黑体"/>
          <w:b w:val="0"/>
          <w:color w:val="000000"/>
          <w:sz w:val="21"/>
          <w:szCs w:val="21"/>
        </w:rPr>
        <w:t xml:space="preserve">12. </w:t>
      </w:r>
      <w:bookmarkEnd w:id="395"/>
      <w:bookmarkEnd w:id="396"/>
      <w:bookmarkEnd w:id="397"/>
      <w:bookmarkEnd w:id="398"/>
      <w:bookmarkEnd w:id="399"/>
      <w:bookmarkEnd w:id="400"/>
      <w:bookmarkEnd w:id="401"/>
      <w:bookmarkEnd w:id="402"/>
      <w:bookmarkEnd w:id="403"/>
      <w:bookmarkEnd w:id="404"/>
      <w:r>
        <w:rPr>
          <w:rFonts w:ascii="Times New Roman" w:hAnsi="Times New Roman" w:eastAsia="黑体"/>
          <w:b w:val="0"/>
          <w:color w:val="000000"/>
          <w:sz w:val="21"/>
          <w:szCs w:val="21"/>
        </w:rPr>
        <w:t>合同价格、计量与支付</w:t>
      </w:r>
      <w:bookmarkEnd w:id="405"/>
    </w:p>
    <w:bookmarkEnd w:id="406"/>
    <w:bookmarkEnd w:id="407"/>
    <w:bookmarkEnd w:id="408"/>
    <w:bookmarkEnd w:id="409"/>
    <w:bookmarkEnd w:id="410"/>
    <w:bookmarkEnd w:id="411"/>
    <w:p>
      <w:pPr>
        <w:spacing w:after="120" w:line="360" w:lineRule="auto"/>
        <w:ind w:firstLine="420" w:firstLineChars="200"/>
        <w:rPr>
          <w:rFonts w:ascii="Times New Roman" w:hAnsi="Times New Roman" w:eastAsia="黑体"/>
          <w:color w:val="000000"/>
          <w:szCs w:val="21"/>
        </w:rPr>
      </w:pPr>
      <w:bookmarkStart w:id="412" w:name="_Toc292559916"/>
      <w:bookmarkStart w:id="413" w:name="_Toc292559411"/>
      <w:bookmarkStart w:id="414" w:name="_Toc267251461"/>
      <w:bookmarkStart w:id="415" w:name="_Toc296503206"/>
      <w:bookmarkStart w:id="416" w:name="_Toc296346707"/>
      <w:bookmarkStart w:id="417" w:name="_Toc296891246"/>
      <w:bookmarkStart w:id="418" w:name="_Toc296347205"/>
      <w:bookmarkStart w:id="419" w:name="_Toc297120506"/>
      <w:bookmarkStart w:id="420" w:name="_Toc297048392"/>
      <w:bookmarkStart w:id="421" w:name="_Toc296891034"/>
      <w:bookmarkStart w:id="422" w:name="_Toc296944545"/>
      <w:bookmarkStart w:id="423" w:name="_Toc312678041"/>
      <w:bookmarkStart w:id="424" w:name="_Toc297216212"/>
      <w:bookmarkStart w:id="425" w:name="_Toc304295580"/>
      <w:bookmarkStart w:id="426" w:name="_Toc303539160"/>
      <w:bookmarkStart w:id="427" w:name="_Toc297123553"/>
      <w:bookmarkStart w:id="428" w:name="_Toc300935003"/>
      <w:r>
        <w:rPr>
          <w:rFonts w:ascii="Times New Roman" w:hAnsi="Times New Roman" w:eastAsia="黑体"/>
          <w:color w:val="000000"/>
          <w:szCs w:val="21"/>
        </w:rPr>
        <w:t>12.1 合</w:t>
      </w:r>
      <w:bookmarkEnd w:id="412"/>
      <w:bookmarkEnd w:id="413"/>
      <w:bookmarkEnd w:id="414"/>
      <w:r>
        <w:rPr>
          <w:rFonts w:ascii="Times New Roman" w:hAnsi="Times New Roman" w:eastAsia="黑体"/>
          <w:color w:val="000000"/>
          <w:szCs w:val="21"/>
        </w:rPr>
        <w:t>同价</w:t>
      </w:r>
      <w:bookmarkEnd w:id="415"/>
      <w:bookmarkEnd w:id="416"/>
      <w:bookmarkEnd w:id="417"/>
      <w:bookmarkEnd w:id="418"/>
      <w:bookmarkEnd w:id="419"/>
      <w:bookmarkEnd w:id="420"/>
      <w:bookmarkEnd w:id="421"/>
      <w:bookmarkEnd w:id="422"/>
      <w:r>
        <w:rPr>
          <w:rFonts w:ascii="Times New Roman" w:hAnsi="Times New Roman" w:eastAsia="黑体"/>
          <w:color w:val="000000"/>
          <w:szCs w:val="21"/>
        </w:rPr>
        <w:t>格形式</w:t>
      </w:r>
    </w:p>
    <w:bookmarkEnd w:id="423"/>
    <w:bookmarkEnd w:id="424"/>
    <w:bookmarkEnd w:id="425"/>
    <w:bookmarkEnd w:id="426"/>
    <w:bookmarkEnd w:id="427"/>
    <w:bookmarkEnd w:id="428"/>
    <w:p>
      <w:pPr>
        <w:spacing w:line="360" w:lineRule="auto"/>
        <w:ind w:firstLine="420" w:firstLineChars="200"/>
        <w:jc w:val="left"/>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1、单价合同。</w:t>
      </w:r>
    </w:p>
    <w:p>
      <w:pPr>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综合单价包含的风险范围：</w:t>
      </w:r>
      <w:r>
        <w:rPr>
          <w:rFonts w:hint="eastAsia" w:ascii="Times New Roman" w:hAnsi="Times New Roman" w:eastAsia="仿宋_GB2312"/>
          <w:color w:val="000000"/>
          <w:szCs w:val="21"/>
          <w:u w:val="single"/>
        </w:rPr>
        <w:t>除招标文件约定工程价款调整以外的全部风险</w:t>
      </w:r>
      <w:r>
        <w:rPr>
          <w:rFonts w:ascii="Times New Roman" w:hAnsi="Times New Roman" w:eastAsia="仿宋_GB2312"/>
          <w:color w:val="000000"/>
          <w:szCs w:val="21"/>
        </w:rPr>
        <w:t>。</w:t>
      </w:r>
    </w:p>
    <w:p>
      <w:pPr>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风险费用的计算方法：</w:t>
      </w:r>
      <w:r>
        <w:rPr>
          <w:rFonts w:hint="eastAsia" w:ascii="Times New Roman" w:hAnsi="Times New Roman" w:eastAsia="仿宋_GB2312"/>
          <w:color w:val="000000"/>
          <w:szCs w:val="21"/>
          <w:u w:val="single"/>
        </w:rPr>
        <w:t>按招标文件约定的工程价款调整条款执行</w:t>
      </w:r>
      <w:r>
        <w:rPr>
          <w:rFonts w:ascii="Times New Roman" w:hAnsi="Times New Roman" w:eastAsia="仿宋_GB2312"/>
          <w:color w:val="000000"/>
          <w:szCs w:val="21"/>
        </w:rPr>
        <w:t>。</w:t>
      </w:r>
    </w:p>
    <w:p>
      <w:pPr>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风险范围以外合同价</w:t>
      </w:r>
      <w:bookmarkStart w:id="475" w:name="_GoBack"/>
      <w:bookmarkEnd w:id="475"/>
      <w:r>
        <w:rPr>
          <w:rFonts w:ascii="Times New Roman" w:hAnsi="Times New Roman" w:eastAsia="仿宋_GB2312"/>
          <w:color w:val="000000"/>
          <w:szCs w:val="21"/>
        </w:rPr>
        <w:t>格的调整方法：</w:t>
      </w:r>
      <w:r>
        <w:rPr>
          <w:rFonts w:hint="eastAsia" w:ascii="Times New Roman" w:hAnsi="Times New Roman" w:eastAsia="仿宋_GB2312"/>
          <w:color w:val="000000"/>
          <w:szCs w:val="21"/>
          <w:u w:val="single"/>
        </w:rPr>
        <w:t>按招标文件约定的工程价款调整条款执行</w:t>
      </w:r>
      <w:r>
        <w:rPr>
          <w:rFonts w:ascii="Times New Roman" w:hAnsi="Times New Roman" w:eastAsia="仿宋_GB2312"/>
          <w:color w:val="000000"/>
          <w:szCs w:val="21"/>
        </w:rPr>
        <w:t>。</w:t>
      </w:r>
    </w:p>
    <w:p>
      <w:pPr>
        <w:spacing w:after="120" w:line="360" w:lineRule="auto"/>
        <w:ind w:firstLine="420" w:firstLineChars="200"/>
        <w:rPr>
          <w:rFonts w:ascii="Times New Roman" w:hAnsi="Times New Roman" w:eastAsia="黑体"/>
          <w:color w:val="000000"/>
          <w:szCs w:val="21"/>
        </w:rPr>
      </w:pPr>
      <w:r>
        <w:rPr>
          <w:rFonts w:ascii="Times New Roman" w:hAnsi="Times New Roman" w:eastAsia="黑体"/>
          <w:color w:val="000000"/>
          <w:szCs w:val="21"/>
        </w:rPr>
        <w:t>12.3 计量</w:t>
      </w:r>
    </w:p>
    <w:p>
      <w:pPr>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12.3.1 计量原则</w:t>
      </w:r>
    </w:p>
    <w:p>
      <w:pPr>
        <w:spacing w:line="360" w:lineRule="auto"/>
        <w:ind w:firstLine="420" w:firstLineChars="200"/>
        <w:jc w:val="left"/>
        <w:rPr>
          <w:rFonts w:hint="eastAsia" w:ascii="Times New Roman" w:hAnsi="Times New Roman" w:eastAsia="仿宋_GB2312"/>
          <w:color w:val="000000"/>
          <w:szCs w:val="21"/>
          <w:u w:val="single"/>
        </w:rPr>
      </w:pPr>
      <w:r>
        <w:rPr>
          <w:rFonts w:ascii="Times New Roman" w:hAnsi="Times New Roman" w:eastAsia="仿宋_GB2312"/>
          <w:color w:val="000000"/>
          <w:szCs w:val="21"/>
        </w:rPr>
        <w:t>工程量计算规则：</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《建设工程工程量清单计价规范》（</w:t>
      </w:r>
      <w:r>
        <w:rPr>
          <w:rFonts w:ascii="Times New Roman" w:hAnsi="Times New Roman" w:eastAsia="仿宋_GB2312"/>
          <w:color w:val="000000"/>
          <w:szCs w:val="21"/>
          <w:u w:val="single"/>
        </w:rPr>
        <w:t>GB50500—2013</w:t>
      </w:r>
      <w:r>
        <w:rPr>
          <w:rFonts w:hint="eastAsia" w:ascii="Times New Roman" w:hAnsi="Times New Roman" w:eastAsia="仿宋_GB2312"/>
          <w:color w:val="000000"/>
          <w:szCs w:val="21"/>
          <w:u w:val="single"/>
        </w:rPr>
        <w:t>）及《房屋建筑与装饰工程工程量计算规范》（</w:t>
      </w:r>
      <w:r>
        <w:rPr>
          <w:rFonts w:ascii="Times New Roman" w:hAnsi="Times New Roman" w:eastAsia="仿宋_GB2312"/>
          <w:color w:val="000000"/>
          <w:szCs w:val="21"/>
          <w:u w:val="single"/>
        </w:rPr>
        <w:t>GB50854-2013</w:t>
      </w:r>
      <w:r>
        <w:rPr>
          <w:rFonts w:hint="eastAsia" w:ascii="Times New Roman" w:hAnsi="Times New Roman" w:eastAsia="仿宋_GB2312"/>
          <w:color w:val="000000"/>
          <w:szCs w:val="21"/>
          <w:u w:val="single"/>
        </w:rPr>
        <w:t>）等</w:t>
      </w:r>
      <w:r>
        <w:rPr>
          <w:rFonts w:ascii="Times New Roman" w:hAnsi="Times New Roman" w:eastAsia="仿宋_GB2312"/>
          <w:color w:val="000000"/>
          <w:szCs w:val="21"/>
          <w:u w:val="single"/>
        </w:rPr>
        <w:t>9</w:t>
      </w:r>
      <w:r>
        <w:rPr>
          <w:rFonts w:hint="eastAsia" w:ascii="Times New Roman" w:hAnsi="Times New Roman" w:eastAsia="仿宋_GB2312"/>
          <w:color w:val="000000"/>
          <w:szCs w:val="21"/>
          <w:u w:val="single"/>
        </w:rPr>
        <w:t>本工程量计算规范。</w:t>
      </w:r>
    </w:p>
    <w:p>
      <w:pPr>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12.3.2 计量周期</w:t>
      </w:r>
    </w:p>
    <w:p>
      <w:pPr>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关于计量周期的约定：</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按月计量</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w:t>
      </w:r>
    </w:p>
    <w:p>
      <w:pPr>
        <w:spacing w:after="120" w:line="360" w:lineRule="auto"/>
        <w:ind w:firstLine="420" w:firstLineChars="200"/>
        <w:rPr>
          <w:rFonts w:ascii="Times New Roman" w:hAnsi="Times New Roman" w:eastAsia="黑体"/>
          <w:color w:val="000000"/>
          <w:szCs w:val="21"/>
        </w:rPr>
      </w:pPr>
      <w:r>
        <w:rPr>
          <w:rFonts w:ascii="Times New Roman" w:hAnsi="Times New Roman" w:eastAsia="黑体"/>
          <w:color w:val="000000"/>
          <w:szCs w:val="21"/>
        </w:rPr>
        <w:t>12.4 工程进度款支付</w:t>
      </w:r>
    </w:p>
    <w:p>
      <w:pPr>
        <w:spacing w:line="360" w:lineRule="auto"/>
        <w:ind w:firstLine="420" w:firstLineChars="200"/>
        <w:jc w:val="left"/>
        <w:rPr>
          <w:rFonts w:ascii="Times New Roman" w:hAnsi="Times New Roman" w:eastAsia="仿宋_GB2312"/>
          <w:color w:val="000000"/>
          <w:szCs w:val="21"/>
        </w:rPr>
      </w:pPr>
      <w:bookmarkStart w:id="429" w:name="_Toc297216215"/>
      <w:bookmarkStart w:id="430" w:name="_Toc296891251"/>
      <w:bookmarkStart w:id="431" w:name="_Toc296944550"/>
      <w:bookmarkStart w:id="432" w:name="_Toc292559921"/>
      <w:bookmarkStart w:id="433" w:name="_Toc292559416"/>
      <w:bookmarkStart w:id="434" w:name="_Toc303539163"/>
      <w:bookmarkStart w:id="435" w:name="_Toc300935006"/>
      <w:bookmarkStart w:id="436" w:name="_Toc297120511"/>
      <w:bookmarkStart w:id="437" w:name="_Toc296891039"/>
      <w:bookmarkStart w:id="438" w:name="_Toc296503211"/>
      <w:bookmarkStart w:id="439" w:name="_Toc296346712"/>
      <w:bookmarkStart w:id="440" w:name="_Toc297048397"/>
      <w:bookmarkStart w:id="441" w:name="_Toc297123556"/>
      <w:bookmarkStart w:id="442" w:name="_Toc296347210"/>
      <w:r>
        <w:rPr>
          <w:rFonts w:ascii="Times New Roman" w:hAnsi="Times New Roman" w:eastAsia="仿宋_GB2312"/>
          <w:color w:val="000000"/>
          <w:szCs w:val="21"/>
        </w:rPr>
        <w:t>12.4.1 付款周期</w:t>
      </w:r>
    </w:p>
    <w:p>
      <w:pPr>
        <w:widowControl/>
        <w:adjustRightInd w:val="0"/>
        <w:snapToGrid w:val="0"/>
        <w:spacing w:line="360" w:lineRule="auto"/>
        <w:ind w:firstLine="420" w:firstLineChars="200"/>
        <w:contextualSpacing/>
        <w:rPr>
          <w:rFonts w:hint="eastAsia" w:ascii="Times New Roman" w:hAnsi="Times New Roman" w:eastAsia="仿宋_GB2312"/>
          <w:color w:val="000000"/>
          <w:szCs w:val="21"/>
          <w:u w:val="single"/>
        </w:rPr>
      </w:pPr>
      <w:r>
        <w:rPr>
          <w:rFonts w:ascii="Times New Roman" w:hAnsi="Times New Roman" w:eastAsia="仿宋_GB2312"/>
          <w:color w:val="000000"/>
          <w:szCs w:val="21"/>
        </w:rPr>
        <w:t>关于付款周期的约定：</w:t>
      </w:r>
      <w:bookmarkEnd w:id="354"/>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Start w:id="443" w:name="_Toc351203647"/>
      <w:bookmarkStart w:id="444" w:name="_Toc267251483"/>
      <w:bookmarkStart w:id="445" w:name="_Toc267251482"/>
      <w:bookmarkStart w:id="446" w:name="_Toc267251484"/>
      <w:bookmarkStart w:id="447" w:name="_Toc267251485"/>
      <w:bookmarkStart w:id="448" w:name="_Toc267251489"/>
      <w:bookmarkStart w:id="449" w:name="_Toc267251494"/>
      <w:bookmarkStart w:id="450" w:name="_Toc267251498"/>
      <w:bookmarkStart w:id="451" w:name="_Toc267251503"/>
      <w:bookmarkStart w:id="452" w:name="_Toc267251497"/>
      <w:bookmarkStart w:id="453" w:name="_Toc267251488"/>
      <w:bookmarkStart w:id="454" w:name="_Toc267251501"/>
      <w:bookmarkStart w:id="455" w:name="_Toc267251486"/>
      <w:bookmarkStart w:id="456" w:name="_Toc267251490"/>
      <w:bookmarkStart w:id="457" w:name="_Toc267251495"/>
      <w:bookmarkStart w:id="458" w:name="_Toc267251491"/>
      <w:bookmarkStart w:id="459" w:name="_Toc267251492"/>
      <w:bookmarkStart w:id="460" w:name="_Toc267251496"/>
      <w:bookmarkStart w:id="461" w:name="_Toc267251499"/>
      <w:bookmarkStart w:id="462" w:name="_Toc267251493"/>
      <w:bookmarkStart w:id="463" w:name="_Toc267251502"/>
      <w:bookmarkStart w:id="464" w:name="_Toc267251504"/>
      <w:bookmarkStart w:id="465" w:name="_Toc267251506"/>
      <w:bookmarkStart w:id="466" w:name="_Toc267251507"/>
      <w:bookmarkStart w:id="467" w:name="_Toc267251508"/>
      <w:bookmarkStart w:id="468" w:name="_Toc267251511"/>
      <w:bookmarkStart w:id="469" w:name="_Toc267251515"/>
      <w:bookmarkStart w:id="470" w:name="_Toc267251510"/>
      <w:bookmarkStart w:id="471" w:name="_Toc267251513"/>
      <w:bookmarkStart w:id="472" w:name="_Toc267251509"/>
      <w:bookmarkStart w:id="473" w:name="_Toc267251514"/>
      <w:r>
        <w:rPr>
          <w:rFonts w:hint="eastAsia" w:ascii="Times New Roman" w:hAnsi="Times New Roman" w:eastAsia="仿宋_GB2312"/>
          <w:color w:val="000000"/>
          <w:szCs w:val="21"/>
          <w:u w:val="single"/>
        </w:rPr>
        <w:t>工程竣工验收合格且审计结束后付审计价的90%，缺陷责任期满后付清余款。</w:t>
      </w:r>
    </w:p>
    <w:p>
      <w:pPr>
        <w:spacing w:line="360" w:lineRule="auto"/>
        <w:ind w:firstLine="422" w:firstLineChars="200"/>
        <w:rPr>
          <w:rFonts w:ascii="Times New Roman" w:hAnsi="Times New Roman" w:eastAsia="黑体"/>
          <w:b/>
          <w:color w:val="000000"/>
          <w:szCs w:val="21"/>
        </w:rPr>
      </w:pPr>
      <w:r>
        <w:rPr>
          <w:rFonts w:ascii="Times New Roman" w:hAnsi="Times New Roman" w:eastAsia="黑体"/>
          <w:b/>
          <w:color w:val="000000"/>
          <w:szCs w:val="21"/>
        </w:rPr>
        <w:t>15. 缺陷责任期与保修</w:t>
      </w:r>
      <w:bookmarkEnd w:id="443"/>
    </w:p>
    <w:p>
      <w:pPr>
        <w:spacing w:after="120" w:line="360" w:lineRule="auto"/>
        <w:ind w:firstLine="420" w:firstLineChars="200"/>
        <w:rPr>
          <w:rFonts w:ascii="Times New Roman" w:hAnsi="Times New Roman" w:eastAsia="黑体"/>
          <w:color w:val="000000"/>
          <w:szCs w:val="21"/>
        </w:rPr>
      </w:pPr>
      <w:r>
        <w:rPr>
          <w:rFonts w:ascii="Times New Roman" w:hAnsi="Times New Roman" w:eastAsia="黑体"/>
          <w:color w:val="000000"/>
          <w:szCs w:val="21"/>
        </w:rPr>
        <w:t>15.2缺陷责任期</w:t>
      </w:r>
      <w:bookmarkEnd w:id="444"/>
    </w:p>
    <w:p>
      <w:pPr>
        <w:spacing w:line="360" w:lineRule="auto"/>
        <w:ind w:firstLine="420" w:firstLineChars="200"/>
        <w:jc w:val="left"/>
        <w:rPr>
          <w:rFonts w:ascii="Times New Roman" w:hAnsi="Times New Roman" w:eastAsia="仿宋_GB2312"/>
          <w:szCs w:val="21"/>
        </w:rPr>
      </w:pPr>
      <w:r>
        <w:rPr>
          <w:rFonts w:ascii="Times New Roman" w:hAnsi="Times New Roman" w:eastAsia="仿宋_GB2312"/>
          <w:szCs w:val="21"/>
        </w:rPr>
        <w:t>缺陷责任期的具体期限：</w:t>
      </w:r>
      <w:r>
        <w:rPr>
          <w:rFonts w:ascii="Times New Roman" w:hAnsi="Times New Roman" w:eastAsia="仿宋_GB2312"/>
          <w:szCs w:val="21"/>
          <w:u w:val="single"/>
        </w:rPr>
        <w:t xml:space="preserve">     </w:t>
      </w:r>
      <w:r>
        <w:rPr>
          <w:rFonts w:hint="eastAsia" w:ascii="Times New Roman" w:hAnsi="Times New Roman" w:eastAsia="仿宋_GB2312"/>
          <w:szCs w:val="21"/>
          <w:u w:val="single"/>
        </w:rPr>
        <w:t xml:space="preserve">1年        </w:t>
      </w:r>
      <w:r>
        <w:rPr>
          <w:rFonts w:ascii="Times New Roman" w:hAnsi="Times New Roman" w:eastAsia="仿宋_GB2312"/>
          <w:szCs w:val="21"/>
          <w:u w:val="single"/>
        </w:rPr>
        <w:t xml:space="preserve"> </w:t>
      </w:r>
      <w:r>
        <w:rPr>
          <w:rFonts w:hint="eastAsia" w:ascii="Times New Roman" w:hAnsi="Times New Roman" w:eastAsia="仿宋_GB2312"/>
          <w:szCs w:val="21"/>
          <w:u w:val="single"/>
        </w:rPr>
        <w:t xml:space="preserve">  </w:t>
      </w:r>
      <w:r>
        <w:rPr>
          <w:rFonts w:ascii="Times New Roman" w:hAnsi="Times New Roman" w:eastAsia="仿宋_GB2312"/>
          <w:szCs w:val="21"/>
          <w:u w:val="single"/>
        </w:rPr>
        <w:t xml:space="preserve">    </w:t>
      </w:r>
      <w:r>
        <w:rPr>
          <w:rFonts w:ascii="Times New Roman" w:hAnsi="Times New Roman" w:eastAsia="仿宋_GB2312"/>
          <w:szCs w:val="21"/>
        </w:rPr>
        <w:t>。</w:t>
      </w:r>
    </w:p>
    <w:p>
      <w:pPr>
        <w:spacing w:after="120" w:line="360" w:lineRule="auto"/>
        <w:ind w:firstLine="420" w:firstLineChars="200"/>
        <w:rPr>
          <w:rFonts w:ascii="Times New Roman" w:hAnsi="Times New Roman" w:eastAsia="黑体"/>
          <w:szCs w:val="21"/>
        </w:rPr>
      </w:pPr>
      <w:r>
        <w:rPr>
          <w:rFonts w:ascii="Times New Roman" w:hAnsi="Times New Roman" w:eastAsia="黑体"/>
          <w:szCs w:val="21"/>
        </w:rPr>
        <w:t>15.3 质量保证金</w:t>
      </w:r>
    </w:p>
    <w:p>
      <w:pPr>
        <w:spacing w:line="360" w:lineRule="auto"/>
        <w:ind w:firstLine="420" w:firstLineChars="200"/>
        <w:jc w:val="left"/>
        <w:rPr>
          <w:rFonts w:hint="eastAsia" w:ascii="Times New Roman" w:hAnsi="Times New Roman" w:eastAsia="仿宋_GB2312"/>
          <w:szCs w:val="21"/>
        </w:rPr>
      </w:pPr>
      <w:r>
        <w:rPr>
          <w:rFonts w:hint="eastAsia" w:ascii="Times New Roman" w:hAnsi="Times New Roman" w:eastAsia="仿宋_GB2312"/>
          <w:szCs w:val="21"/>
        </w:rPr>
        <w:t>关于是否扣留质量保证金的约定：</w:t>
      </w:r>
      <w:r>
        <w:rPr>
          <w:rFonts w:ascii="Times New Roman" w:hAnsi="Times New Roman" w:eastAsia="仿宋_GB2312"/>
          <w:szCs w:val="21"/>
          <w:u w:val="single"/>
        </w:rPr>
        <w:t xml:space="preserve">   </w:t>
      </w:r>
      <w:r>
        <w:rPr>
          <w:rFonts w:hint="eastAsia" w:ascii="Times New Roman" w:hAnsi="Times New Roman" w:eastAsia="仿宋_GB2312"/>
          <w:szCs w:val="21"/>
          <w:u w:val="single"/>
        </w:rPr>
        <w:t xml:space="preserve">扣留       </w:t>
      </w:r>
      <w:r>
        <w:rPr>
          <w:rFonts w:ascii="Times New Roman" w:hAnsi="Times New Roman" w:eastAsia="仿宋_GB2312"/>
          <w:szCs w:val="21"/>
          <w:u w:val="single"/>
        </w:rPr>
        <w:t xml:space="preserve">   </w:t>
      </w:r>
      <w:r>
        <w:rPr>
          <w:rFonts w:hint="eastAsia" w:ascii="Times New Roman" w:hAnsi="Times New Roman" w:eastAsia="仿宋_GB2312"/>
          <w:szCs w:val="21"/>
          <w:u w:val="single"/>
        </w:rPr>
        <w:t xml:space="preserve">  </w:t>
      </w:r>
      <w:r>
        <w:rPr>
          <w:rFonts w:ascii="Times New Roman" w:hAnsi="Times New Roman" w:eastAsia="仿宋_GB2312"/>
          <w:szCs w:val="21"/>
          <w:u w:val="single"/>
        </w:rPr>
        <w:t xml:space="preserve">  </w:t>
      </w:r>
      <w:r>
        <w:rPr>
          <w:rFonts w:ascii="Times New Roman" w:hAnsi="Times New Roman" w:eastAsia="仿宋_GB2312"/>
          <w:szCs w:val="21"/>
        </w:rPr>
        <w:t>。</w:t>
      </w:r>
    </w:p>
    <w:p>
      <w:pPr>
        <w:spacing w:line="360" w:lineRule="auto"/>
        <w:ind w:firstLine="420" w:firstLineChars="200"/>
        <w:jc w:val="left"/>
        <w:rPr>
          <w:rFonts w:ascii="Times New Roman" w:hAnsi="Times New Roman" w:eastAsia="仿宋_GB2312"/>
          <w:szCs w:val="21"/>
        </w:rPr>
      </w:pPr>
      <w:r>
        <w:rPr>
          <w:rFonts w:ascii="Times New Roman" w:hAnsi="Times New Roman" w:eastAsia="仿宋_GB2312"/>
          <w:szCs w:val="21"/>
        </w:rPr>
        <w:t xml:space="preserve">15.3.1 </w:t>
      </w:r>
      <w:r>
        <w:rPr>
          <w:rFonts w:hint="eastAsia" w:ascii="Times New Roman" w:hAnsi="Times New Roman" w:eastAsia="仿宋_GB2312"/>
          <w:szCs w:val="21"/>
        </w:rPr>
        <w:t>承包人提供</w:t>
      </w:r>
      <w:r>
        <w:rPr>
          <w:rFonts w:ascii="Times New Roman" w:hAnsi="Times New Roman" w:eastAsia="仿宋_GB2312"/>
          <w:szCs w:val="21"/>
        </w:rPr>
        <w:t>质量保证金的</w:t>
      </w:r>
      <w:r>
        <w:rPr>
          <w:rFonts w:hint="eastAsia" w:ascii="Times New Roman" w:hAnsi="Times New Roman" w:eastAsia="仿宋_GB2312"/>
          <w:szCs w:val="21"/>
        </w:rPr>
        <w:t>方</w:t>
      </w:r>
      <w:r>
        <w:rPr>
          <w:rFonts w:ascii="Times New Roman" w:hAnsi="Times New Roman" w:eastAsia="仿宋_GB2312"/>
          <w:szCs w:val="21"/>
        </w:rPr>
        <w:t>式</w:t>
      </w:r>
    </w:p>
    <w:p>
      <w:pPr>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质量保证金采用以下第</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2</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种方式：</w:t>
      </w:r>
    </w:p>
    <w:p>
      <w:pPr>
        <w:autoSpaceDE w:val="0"/>
        <w:autoSpaceDN w:val="0"/>
        <w:adjustRightInd w:val="0"/>
        <w:spacing w:line="360" w:lineRule="auto"/>
        <w:ind w:firstLine="420" w:firstLineChars="2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（1）质量保证金保函，保证金额为：</w:t>
      </w:r>
      <w:r>
        <w:rPr>
          <w:rFonts w:ascii="Times New Roman" w:hAnsi="Times New Roman" w:eastAsia="仿宋_GB2312"/>
          <w:color w:val="000000"/>
          <w:kern w:val="0"/>
          <w:szCs w:val="21"/>
          <w:u w:val="single"/>
        </w:rPr>
        <w:t xml:space="preserve">   </w:t>
      </w:r>
      <w:r>
        <w:rPr>
          <w:rFonts w:hint="eastAsia" w:ascii="Times New Roman" w:hAnsi="Times New Roman" w:eastAsia="仿宋_GB2312"/>
          <w:color w:val="000000"/>
          <w:kern w:val="0"/>
          <w:szCs w:val="21"/>
          <w:u w:val="single"/>
        </w:rPr>
        <w:t xml:space="preserve">        /    </w:t>
      </w:r>
      <w:r>
        <w:rPr>
          <w:rFonts w:ascii="Times New Roman" w:hAnsi="Times New Roman" w:eastAsia="仿宋_GB2312"/>
          <w:color w:val="000000"/>
          <w:kern w:val="0"/>
          <w:szCs w:val="21"/>
          <w:u w:val="single"/>
        </w:rPr>
        <w:t xml:space="preserve">    </w:t>
      </w:r>
      <w:r>
        <w:rPr>
          <w:rFonts w:ascii="Times New Roman" w:hAnsi="Times New Roman" w:eastAsia="仿宋_GB2312"/>
          <w:color w:val="000000"/>
          <w:kern w:val="0"/>
          <w:szCs w:val="21"/>
        </w:rPr>
        <w:t xml:space="preserve">； </w:t>
      </w:r>
    </w:p>
    <w:p>
      <w:pPr>
        <w:autoSpaceDE w:val="0"/>
        <w:autoSpaceDN w:val="0"/>
        <w:adjustRightInd w:val="0"/>
        <w:spacing w:line="360" w:lineRule="auto"/>
        <w:ind w:firstLine="420" w:firstLineChars="2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（2）</w:t>
      </w:r>
      <w:r>
        <w:rPr>
          <w:rFonts w:ascii="Times New Roman" w:hAnsi="Times New Roman" w:eastAsia="仿宋_GB2312"/>
          <w:color w:val="000000"/>
          <w:kern w:val="0"/>
          <w:szCs w:val="21"/>
          <w:u w:val="single"/>
        </w:rPr>
        <w:t xml:space="preserve"> </w:t>
      </w:r>
      <w:r>
        <w:rPr>
          <w:rFonts w:hint="eastAsia" w:ascii="Times New Roman" w:hAnsi="Times New Roman" w:eastAsia="仿宋_GB2312"/>
          <w:color w:val="000000"/>
          <w:kern w:val="0"/>
          <w:szCs w:val="21"/>
          <w:u w:val="single"/>
        </w:rPr>
        <w:t xml:space="preserve"> 3</w:t>
      </w:r>
      <w:r>
        <w:rPr>
          <w:rFonts w:ascii="Times New Roman" w:hAnsi="Times New Roman" w:eastAsia="仿宋_GB2312"/>
          <w:color w:val="000000"/>
          <w:kern w:val="0"/>
          <w:szCs w:val="21"/>
          <w:u w:val="single"/>
        </w:rPr>
        <w:t xml:space="preserve">  </w:t>
      </w:r>
      <w:r>
        <w:rPr>
          <w:rFonts w:ascii="Times New Roman" w:hAnsi="Times New Roman" w:eastAsia="仿宋_GB2312"/>
          <w:color w:val="000000"/>
          <w:kern w:val="0"/>
          <w:szCs w:val="21"/>
        </w:rPr>
        <w:t>%的工程款；</w:t>
      </w:r>
    </w:p>
    <w:p>
      <w:pPr>
        <w:autoSpaceDE w:val="0"/>
        <w:autoSpaceDN w:val="0"/>
        <w:adjustRightInd w:val="0"/>
        <w:spacing w:line="360" w:lineRule="auto"/>
        <w:ind w:firstLine="420" w:firstLineChars="2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（3）其他</w:t>
      </w:r>
      <w:r>
        <w:rPr>
          <w:rFonts w:hint="eastAsia" w:ascii="Times New Roman" w:hAnsi="Times New Roman" w:eastAsia="仿宋_GB2312"/>
          <w:color w:val="000000"/>
          <w:kern w:val="0"/>
          <w:szCs w:val="21"/>
        </w:rPr>
        <w:t>方</w:t>
      </w:r>
      <w:r>
        <w:rPr>
          <w:rFonts w:ascii="Times New Roman" w:hAnsi="Times New Roman" w:eastAsia="仿宋_GB2312"/>
          <w:color w:val="000000"/>
          <w:kern w:val="0"/>
          <w:szCs w:val="21"/>
        </w:rPr>
        <w:t>式:</w:t>
      </w:r>
      <w:r>
        <w:rPr>
          <w:rFonts w:ascii="Times New Roman" w:hAnsi="Times New Roman" w:eastAsia="仿宋_GB2312"/>
          <w:color w:val="000000"/>
          <w:kern w:val="0"/>
          <w:szCs w:val="21"/>
          <w:u w:val="single"/>
        </w:rPr>
        <w:t xml:space="preserve">  </w:t>
      </w:r>
      <w:r>
        <w:rPr>
          <w:rFonts w:hint="eastAsia" w:ascii="Times New Roman" w:hAnsi="Times New Roman" w:eastAsia="仿宋_GB2312"/>
          <w:color w:val="000000"/>
          <w:kern w:val="0"/>
          <w:szCs w:val="21"/>
          <w:u w:val="single"/>
        </w:rPr>
        <w:t>/</w:t>
      </w:r>
      <w:r>
        <w:rPr>
          <w:rFonts w:ascii="Times New Roman" w:hAnsi="Times New Roman" w:eastAsia="仿宋_GB2312"/>
          <w:color w:val="000000"/>
          <w:kern w:val="0"/>
          <w:szCs w:val="21"/>
          <w:u w:val="single"/>
        </w:rPr>
        <w:t xml:space="preserve">    </w:t>
      </w:r>
      <w:r>
        <w:rPr>
          <w:rFonts w:ascii="Times New Roman" w:hAnsi="Times New Roman" w:eastAsia="仿宋_GB2312"/>
          <w:color w:val="000000"/>
          <w:kern w:val="0"/>
          <w:szCs w:val="21"/>
        </w:rPr>
        <w:t>。</w:t>
      </w:r>
    </w:p>
    <w:p>
      <w:pPr>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 xml:space="preserve">15.3.2 质量保证金的扣留 </w:t>
      </w:r>
    </w:p>
    <w:p>
      <w:pPr>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质量保证金的扣留采取以下第</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2</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种方式：</w:t>
      </w:r>
    </w:p>
    <w:p>
      <w:pPr>
        <w:autoSpaceDE w:val="0"/>
        <w:autoSpaceDN w:val="0"/>
        <w:adjustRightInd w:val="0"/>
        <w:spacing w:line="360" w:lineRule="auto"/>
        <w:ind w:firstLine="420" w:firstLineChars="2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（2）工程竣工结算时一次性扣留质量保证金；</w:t>
      </w:r>
    </w:p>
    <w:p>
      <w:pPr>
        <w:autoSpaceDE w:val="0"/>
        <w:autoSpaceDN w:val="0"/>
        <w:adjustRightInd w:val="0"/>
        <w:spacing w:line="360" w:lineRule="auto"/>
        <w:ind w:firstLine="420" w:firstLineChars="2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（3）其他扣留方式:</w:t>
      </w:r>
      <w:r>
        <w:rPr>
          <w:rFonts w:hint="eastAsia"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u w:val="single"/>
        </w:rPr>
        <w:t xml:space="preserve">    </w:t>
      </w:r>
      <w:r>
        <w:rPr>
          <w:rFonts w:ascii="Times New Roman" w:hAnsi="Times New Roman" w:eastAsia="仿宋_GB2312"/>
          <w:color w:val="000000"/>
          <w:kern w:val="0"/>
          <w:szCs w:val="21"/>
          <w:u w:val="single"/>
        </w:rPr>
        <w:t xml:space="preserve"> </w:t>
      </w:r>
      <w:r>
        <w:rPr>
          <w:rFonts w:hint="eastAsia" w:ascii="Times New Roman" w:hAnsi="Times New Roman" w:eastAsia="仿宋_GB2312"/>
          <w:color w:val="000000"/>
          <w:kern w:val="0"/>
          <w:szCs w:val="21"/>
          <w:u w:val="single"/>
        </w:rPr>
        <w:t xml:space="preserve">/  </w:t>
      </w:r>
      <w:r>
        <w:rPr>
          <w:rFonts w:ascii="Times New Roman" w:hAnsi="Times New Roman" w:eastAsia="仿宋_GB2312"/>
          <w:color w:val="000000"/>
          <w:kern w:val="0"/>
          <w:szCs w:val="21"/>
          <w:u w:val="single"/>
        </w:rPr>
        <w:t>。</w:t>
      </w:r>
    </w:p>
    <w:bookmarkEnd w:id="445"/>
    <w:bookmarkEnd w:id="446"/>
    <w:p>
      <w:pPr>
        <w:spacing w:after="120" w:line="360" w:lineRule="auto"/>
        <w:ind w:firstLine="420" w:firstLineChars="200"/>
        <w:rPr>
          <w:rFonts w:ascii="Times New Roman" w:hAnsi="Times New Roman" w:eastAsia="黑体"/>
          <w:color w:val="000000"/>
          <w:szCs w:val="21"/>
        </w:rPr>
      </w:pPr>
      <w:r>
        <w:rPr>
          <w:rFonts w:ascii="Times New Roman" w:hAnsi="Times New Roman" w:eastAsia="黑体"/>
          <w:color w:val="000000"/>
          <w:szCs w:val="21"/>
        </w:rPr>
        <w:t>15.4保修</w:t>
      </w:r>
    </w:p>
    <w:bookmarkEnd w:id="447"/>
    <w:p>
      <w:pPr>
        <w:spacing w:line="360" w:lineRule="auto"/>
        <w:ind w:firstLine="409" w:firstLineChars="195"/>
        <w:jc w:val="left"/>
        <w:rPr>
          <w:rFonts w:ascii="Times New Roman" w:hAnsi="Times New Roman" w:eastAsia="仿宋_GB2312"/>
          <w:color w:val="000000"/>
          <w:szCs w:val="21"/>
        </w:rPr>
      </w:pPr>
      <w:r>
        <w:rPr>
          <w:rFonts w:ascii="Times New Roman" w:hAnsi="Times New Roman" w:eastAsia="仿宋_GB2312"/>
          <w:color w:val="000000"/>
          <w:szCs w:val="21"/>
        </w:rPr>
        <w:t>15.4.1 保修责任</w:t>
      </w:r>
    </w:p>
    <w:p>
      <w:pPr>
        <w:spacing w:line="360" w:lineRule="auto"/>
        <w:ind w:firstLine="409" w:firstLineChars="195"/>
        <w:jc w:val="left"/>
        <w:rPr>
          <w:rFonts w:ascii="Times New Roman" w:hAnsi="Times New Roman" w:eastAsia="仿宋_GB2312"/>
          <w:color w:val="000000"/>
          <w:kern w:val="0"/>
          <w:szCs w:val="21"/>
        </w:rPr>
      </w:pPr>
      <w:r>
        <w:rPr>
          <w:rFonts w:ascii="Times New Roman" w:hAnsi="Times New Roman" w:eastAsia="仿宋_GB2312"/>
          <w:color w:val="000000"/>
          <w:szCs w:val="21"/>
        </w:rPr>
        <w:t>工程保修期为：</w:t>
      </w:r>
      <w:r>
        <w:rPr>
          <w:rFonts w:ascii="Times New Roman" w:hAnsi="Times New Roman" w:eastAsia="仿宋_GB2312"/>
          <w:color w:val="000000"/>
          <w:kern w:val="0"/>
          <w:szCs w:val="21"/>
          <w:u w:val="single"/>
        </w:rPr>
        <w:t xml:space="preserve">  </w:t>
      </w:r>
      <w:r>
        <w:rPr>
          <w:rFonts w:hint="eastAsia" w:ascii="Times New Roman" w:hAnsi="Times New Roman" w:eastAsia="仿宋_GB2312"/>
          <w:color w:val="000000"/>
          <w:kern w:val="0"/>
          <w:szCs w:val="21"/>
          <w:u w:val="single"/>
        </w:rPr>
        <w:t xml:space="preserve">按法定保修期限        </w:t>
      </w:r>
      <w:r>
        <w:rPr>
          <w:rFonts w:ascii="Times New Roman" w:hAnsi="Times New Roman" w:eastAsia="仿宋_GB2312"/>
          <w:color w:val="000000"/>
          <w:kern w:val="0"/>
          <w:szCs w:val="21"/>
          <w:u w:val="single"/>
        </w:rPr>
        <w:t xml:space="preserve">  </w:t>
      </w:r>
      <w:r>
        <w:rPr>
          <w:rFonts w:ascii="Times New Roman" w:hAnsi="Times New Roman" w:eastAsia="仿宋_GB2312"/>
          <w:color w:val="000000"/>
          <w:kern w:val="0"/>
          <w:szCs w:val="21"/>
        </w:rPr>
        <w:t>。</w:t>
      </w:r>
    </w:p>
    <w:p>
      <w:pPr>
        <w:spacing w:line="360" w:lineRule="auto"/>
        <w:ind w:firstLine="409" w:firstLineChars="195"/>
        <w:jc w:val="left"/>
        <w:rPr>
          <w:rFonts w:ascii="Times New Roman" w:hAnsi="Times New Roman" w:eastAsia="仿宋_GB2312"/>
          <w:color w:val="000000"/>
          <w:szCs w:val="21"/>
        </w:rPr>
      </w:pPr>
      <w:r>
        <w:rPr>
          <w:rFonts w:ascii="Times New Roman" w:hAnsi="Times New Roman" w:eastAsia="仿宋_GB2312"/>
          <w:color w:val="000000"/>
          <w:szCs w:val="21"/>
        </w:rPr>
        <w:t>15.4.3 修复通知</w:t>
      </w:r>
    </w:p>
    <w:p>
      <w:pPr>
        <w:spacing w:line="360" w:lineRule="auto"/>
        <w:ind w:firstLine="409" w:firstLineChars="195"/>
        <w:jc w:val="left"/>
        <w:rPr>
          <w:rFonts w:ascii="Times New Roman" w:hAnsi="Times New Roman" w:eastAsia="仿宋_GB2312"/>
          <w:color w:val="000000"/>
          <w:kern w:val="0"/>
          <w:szCs w:val="21"/>
          <w:u w:val="single"/>
        </w:rPr>
      </w:pPr>
      <w:r>
        <w:rPr>
          <w:rFonts w:ascii="Times New Roman" w:hAnsi="Times New Roman" w:eastAsia="仿宋_GB2312"/>
          <w:color w:val="000000"/>
          <w:kern w:val="0"/>
          <w:szCs w:val="21"/>
        </w:rPr>
        <w:t>承包人收到保修通知并到达工程现场的合理时间：</w:t>
      </w:r>
      <w:r>
        <w:rPr>
          <w:rFonts w:hint="eastAsia" w:ascii="Times New Roman" w:hAnsi="Times New Roman" w:eastAsia="仿宋_GB2312"/>
          <w:color w:val="000000"/>
          <w:kern w:val="0"/>
          <w:szCs w:val="21"/>
          <w:u w:val="single"/>
        </w:rPr>
        <w:t>8小时内。</w:t>
      </w:r>
    </w:p>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Pr>
        <w:pStyle w:val="6"/>
        <w:spacing w:before="120" w:after="120" w:line="360" w:lineRule="auto"/>
        <w:rPr>
          <w:rFonts w:ascii="Times New Roman" w:hAnsi="Times New Roman" w:eastAsia="黑体"/>
          <w:b w:val="0"/>
          <w:color w:val="000000"/>
          <w:sz w:val="21"/>
          <w:szCs w:val="21"/>
        </w:rPr>
      </w:pPr>
      <w:bookmarkStart w:id="474" w:name="_Toc351203651"/>
      <w:r>
        <w:rPr>
          <w:rFonts w:ascii="Times New Roman" w:hAnsi="Times New Roman" w:eastAsia="黑体"/>
          <w:b w:val="0"/>
          <w:color w:val="000000"/>
          <w:sz w:val="21"/>
          <w:szCs w:val="21"/>
        </w:rPr>
        <w:t>20. 争议解决</w:t>
      </w:r>
      <w:bookmarkEnd w:id="474"/>
    </w:p>
    <w:bookmarkEnd w:id="464"/>
    <w:bookmarkEnd w:id="465"/>
    <w:p>
      <w:pPr>
        <w:spacing w:after="120" w:line="360" w:lineRule="auto"/>
        <w:ind w:firstLine="420" w:firstLineChars="200"/>
        <w:rPr>
          <w:rFonts w:ascii="Times New Roman" w:hAnsi="Times New Roman" w:eastAsia="黑体"/>
          <w:color w:val="000000"/>
          <w:szCs w:val="21"/>
        </w:rPr>
      </w:pPr>
      <w:r>
        <w:rPr>
          <w:rFonts w:ascii="Times New Roman" w:hAnsi="Times New Roman" w:eastAsia="黑体"/>
          <w:color w:val="000000"/>
          <w:szCs w:val="21"/>
        </w:rPr>
        <w:t>20.3 争</w:t>
      </w:r>
      <w:bookmarkEnd w:id="466"/>
      <w:r>
        <w:rPr>
          <w:rFonts w:ascii="Times New Roman" w:hAnsi="Times New Roman" w:eastAsia="黑体"/>
          <w:color w:val="000000"/>
          <w:szCs w:val="21"/>
        </w:rPr>
        <w:t>议评审</w:t>
      </w:r>
    </w:p>
    <w:p>
      <w:pPr>
        <w:spacing w:line="360" w:lineRule="auto"/>
        <w:ind w:left="149" w:leftChars="71" w:firstLine="315" w:firstLineChars="150"/>
        <w:jc w:val="left"/>
        <w:rPr>
          <w:rFonts w:ascii="Times New Roman" w:hAnsi="Times New Roman" w:eastAsia="仿宋_GB2312"/>
          <w:color w:val="000000"/>
          <w:szCs w:val="21"/>
        </w:rPr>
      </w:pPr>
      <w:r>
        <w:rPr>
          <w:rFonts w:ascii="Times New Roman" w:hAnsi="Times New Roman" w:eastAsia="仿宋_GB2312"/>
          <w:color w:val="000000"/>
          <w:szCs w:val="21"/>
        </w:rPr>
        <w:t>合同当事人是否同意将工程争议提交争议评审小组决</w:t>
      </w:r>
      <w:r>
        <w:rPr>
          <w:rFonts w:hint="eastAsia" w:ascii="Times New Roman" w:hAnsi="Times New Roman" w:eastAsia="仿宋_GB2312"/>
          <w:color w:val="000000"/>
          <w:szCs w:val="21"/>
        </w:rPr>
        <w:t>定：</w:t>
      </w:r>
      <w:r>
        <w:rPr>
          <w:rFonts w:hint="eastAsia" w:ascii="Times New Roman" w:hAnsi="Times New Roman" w:eastAsia="仿宋_GB2312"/>
          <w:color w:val="000000"/>
          <w:szCs w:val="21"/>
          <w:u w:val="single"/>
        </w:rPr>
        <w:t xml:space="preserve">是   </w:t>
      </w:r>
      <w:r>
        <w:rPr>
          <w:rFonts w:hint="eastAsia" w:ascii="Times New Roman" w:hAnsi="Times New Roman" w:eastAsia="仿宋_GB2312"/>
          <w:color w:val="000000"/>
          <w:szCs w:val="21"/>
        </w:rPr>
        <w:t xml:space="preserve">。  </w:t>
      </w:r>
    </w:p>
    <w:p>
      <w:pPr>
        <w:autoSpaceDE w:val="0"/>
        <w:autoSpaceDN w:val="0"/>
        <w:adjustRightInd w:val="0"/>
        <w:spacing w:line="360" w:lineRule="auto"/>
        <w:ind w:firstLine="420" w:firstLineChars="2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20.3.2 争议评审小组的决定</w:t>
      </w:r>
    </w:p>
    <w:p>
      <w:pPr>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合同当事人关于本项的约定：</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执行《泰州市建设工程争议评审规则》 </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w:t>
      </w:r>
    </w:p>
    <w:p>
      <w:pPr>
        <w:spacing w:after="120" w:line="360" w:lineRule="auto"/>
        <w:ind w:firstLine="420" w:firstLineChars="200"/>
        <w:rPr>
          <w:rFonts w:hint="eastAsia" w:ascii="Times New Roman" w:hAnsi="Times New Roman" w:eastAsia="黑体"/>
          <w:color w:val="000000"/>
          <w:szCs w:val="21"/>
        </w:rPr>
      </w:pPr>
      <w:r>
        <w:rPr>
          <w:rFonts w:ascii="Times New Roman" w:hAnsi="Times New Roman" w:eastAsia="黑体"/>
          <w:color w:val="000000"/>
          <w:szCs w:val="21"/>
        </w:rPr>
        <w:t>20.4仲裁或诉讼</w:t>
      </w:r>
      <w:bookmarkEnd w:id="467"/>
    </w:p>
    <w:p>
      <w:pPr>
        <w:spacing w:after="120" w:line="360" w:lineRule="auto"/>
        <w:ind w:firstLine="420" w:firstLineChars="200"/>
        <w:rPr>
          <w:rFonts w:ascii="Times New Roman" w:hAnsi="Times New Roman" w:eastAsia="黑体"/>
          <w:color w:val="000000"/>
          <w:szCs w:val="21"/>
        </w:rPr>
      </w:pPr>
      <w:r>
        <w:rPr>
          <w:rFonts w:ascii="Times New Roman" w:hAnsi="Times New Roman" w:eastAsia="仿宋_GB2312"/>
          <w:color w:val="000000"/>
          <w:szCs w:val="21"/>
        </w:rPr>
        <w:t>因合同及合同有关事项发生的争议，按下列第</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1</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种方式</w:t>
      </w:r>
      <w:r>
        <w:rPr>
          <w:rFonts w:hint="eastAsia" w:ascii="Times New Roman" w:hAnsi="Times New Roman" w:eastAsia="仿宋_GB2312"/>
          <w:color w:val="000000"/>
          <w:szCs w:val="21"/>
        </w:rPr>
        <w:t>解</w:t>
      </w:r>
      <w:r>
        <w:rPr>
          <w:rFonts w:ascii="Times New Roman" w:hAnsi="Times New Roman" w:eastAsia="仿宋_GB2312"/>
          <w:color w:val="000000"/>
          <w:szCs w:val="21"/>
        </w:rPr>
        <w:t>决：</w:t>
      </w:r>
    </w:p>
    <w:p>
      <w:pPr>
        <w:spacing w:line="360" w:lineRule="auto"/>
        <w:ind w:firstLine="420" w:firstLineChars="200"/>
        <w:jc w:val="left"/>
        <w:rPr>
          <w:rFonts w:ascii="Times New Roman" w:hAnsi="Times New Roman" w:eastAsia="仿宋_GB2312"/>
          <w:color w:val="000000"/>
          <w:szCs w:val="21"/>
        </w:rPr>
      </w:pPr>
      <w:r>
        <w:rPr>
          <w:rFonts w:ascii="Times New Roman" w:hAnsi="Times New Roman" w:eastAsia="仿宋_GB2312"/>
          <w:color w:val="000000"/>
          <w:szCs w:val="21"/>
        </w:rPr>
        <w:t>（1）向</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泰州市 </w:t>
      </w:r>
      <w:r>
        <w:rPr>
          <w:rFonts w:hint="eastAsia" w:ascii="Times New Roman" w:hAnsi="Times New Roman" w:eastAsia="仿宋_GB2312"/>
          <w:color w:val="000000"/>
          <w:szCs w:val="21"/>
        </w:rPr>
        <w:t>仲裁委员会申请仲裁。</w:t>
      </w:r>
    </w:p>
    <w:p>
      <w:pPr>
        <w:spacing w:line="360" w:lineRule="auto"/>
        <w:ind w:firstLine="420" w:firstLineChars="200"/>
        <w:jc w:val="left"/>
        <w:rPr>
          <w:rFonts w:hint="eastAsia" w:ascii="Times New Roman" w:hAnsi="Times New Roman" w:eastAsia="仿宋_GB2312"/>
          <w:color w:val="000000"/>
          <w:szCs w:val="21"/>
        </w:rPr>
      </w:pPr>
      <w:r>
        <w:rPr>
          <w:rFonts w:ascii="Times New Roman" w:hAnsi="Times New Roman" w:eastAsia="仿宋_GB2312"/>
          <w:color w:val="000000"/>
          <w:szCs w:val="21"/>
        </w:rPr>
        <w:t>（2）向</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有管辖权的</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人民法院起诉。</w:t>
      </w:r>
      <w:bookmarkEnd w:id="468"/>
      <w:bookmarkEnd w:id="469"/>
      <w:bookmarkEnd w:id="470"/>
      <w:bookmarkEnd w:id="471"/>
      <w:bookmarkEnd w:id="472"/>
      <w:bookmarkEnd w:id="473"/>
    </w:p>
    <w:p>
      <w:pPr>
        <w:spacing w:after="120" w:line="360" w:lineRule="auto"/>
        <w:ind w:firstLine="420" w:firstLineChars="200"/>
        <w:rPr>
          <w:rFonts w:hint="eastAsia" w:ascii="Times New Roman" w:hAnsi="Times New Roman" w:eastAsia="黑体"/>
          <w:color w:val="000000"/>
          <w:szCs w:val="21"/>
        </w:rPr>
      </w:pPr>
      <w:r>
        <w:rPr>
          <w:rFonts w:ascii="Times New Roman" w:hAnsi="Times New Roman" w:eastAsia="黑体"/>
          <w:color w:val="000000"/>
          <w:szCs w:val="21"/>
        </w:rPr>
        <w:t>20.</w:t>
      </w:r>
      <w:r>
        <w:rPr>
          <w:rFonts w:hint="eastAsia" w:ascii="Times New Roman" w:hAnsi="Times New Roman" w:eastAsia="黑体"/>
          <w:color w:val="000000"/>
          <w:szCs w:val="21"/>
        </w:rPr>
        <w:t>5补充条款</w:t>
      </w:r>
    </w:p>
    <w:p>
      <w:pPr>
        <w:spacing w:before="156" w:beforeLines="50" w:after="156" w:afterLines="50" w:line="440" w:lineRule="exact"/>
        <w:rPr>
          <w:rFonts w:hint="eastAsia" w:ascii="Times New Roman" w:hAnsi="Times New Roman" w:eastAsia="黑体"/>
          <w:b/>
          <w:color w:val="000000"/>
          <w:sz w:val="28"/>
          <w:szCs w:val="28"/>
        </w:rPr>
      </w:pPr>
    </w:p>
    <w:p>
      <w:pPr>
        <w:spacing w:before="156" w:beforeLines="50" w:after="156" w:afterLines="50" w:line="440" w:lineRule="exact"/>
        <w:rPr>
          <w:rFonts w:hint="eastAsia" w:ascii="Times New Roman" w:hAnsi="Times New Roman" w:eastAsia="黑体"/>
          <w:b/>
          <w:color w:val="000000"/>
          <w:sz w:val="28"/>
          <w:szCs w:val="28"/>
        </w:rPr>
      </w:pPr>
    </w:p>
    <w:p>
      <w:pPr>
        <w:spacing w:before="156" w:beforeLines="50" w:after="156" w:afterLines="50" w:line="440" w:lineRule="exact"/>
        <w:rPr>
          <w:rFonts w:hint="eastAsia" w:ascii="Times New Roman" w:hAnsi="Times New Roman" w:eastAsia="黑体"/>
          <w:b/>
          <w:color w:val="000000"/>
          <w:sz w:val="28"/>
          <w:szCs w:val="28"/>
        </w:rPr>
      </w:pPr>
    </w:p>
    <w:p>
      <w:pPr>
        <w:spacing w:before="156" w:beforeLines="50" w:after="156" w:afterLines="50" w:line="440" w:lineRule="exact"/>
        <w:rPr>
          <w:rFonts w:hint="eastAsia" w:ascii="Times New Roman" w:hAnsi="Times New Roman" w:eastAsia="黑体"/>
          <w:b/>
          <w:color w:val="000000"/>
          <w:sz w:val="28"/>
          <w:szCs w:val="28"/>
        </w:rPr>
      </w:pPr>
    </w:p>
    <w:p>
      <w:pPr>
        <w:spacing w:before="156" w:beforeLines="50" w:after="156" w:afterLines="50" w:line="440" w:lineRule="exact"/>
        <w:rPr>
          <w:rFonts w:hint="eastAsia" w:ascii="Times New Roman" w:hAnsi="Times New Roman" w:eastAsia="黑体"/>
          <w:b/>
          <w:color w:val="000000"/>
          <w:sz w:val="28"/>
          <w:szCs w:val="28"/>
        </w:rPr>
      </w:pPr>
    </w:p>
    <w:p>
      <w:pPr>
        <w:spacing w:before="156" w:beforeLines="50" w:after="156" w:afterLines="50" w:line="440" w:lineRule="exact"/>
        <w:rPr>
          <w:rFonts w:hint="eastAsia" w:ascii="Times New Roman" w:hAnsi="Times New Roman" w:eastAsia="黑体"/>
          <w:b/>
          <w:color w:val="000000"/>
          <w:sz w:val="28"/>
          <w:szCs w:val="28"/>
        </w:rPr>
      </w:pPr>
    </w:p>
    <w:p>
      <w:pPr>
        <w:spacing w:before="156" w:beforeLines="50" w:after="156" w:afterLines="50" w:line="440" w:lineRule="exact"/>
        <w:jc w:val="center"/>
        <w:rPr>
          <w:rFonts w:ascii="Times New Roman" w:hAnsi="Times New Roman" w:eastAsia="黑体"/>
          <w:b/>
          <w:color w:val="000000"/>
          <w:sz w:val="28"/>
          <w:szCs w:val="28"/>
        </w:rPr>
      </w:pPr>
      <w:r>
        <w:rPr>
          <w:rFonts w:ascii="Times New Roman" w:hAnsi="Times New Roman" w:eastAsia="黑体"/>
          <w:b/>
          <w:color w:val="000000"/>
          <w:sz w:val="28"/>
          <w:szCs w:val="28"/>
        </w:rPr>
        <w:t>工程质量保修书</w:t>
      </w:r>
    </w:p>
    <w:p>
      <w:pPr>
        <w:spacing w:line="440" w:lineRule="exact"/>
        <w:ind w:firstLine="422" w:firstLineChars="200"/>
        <w:rPr>
          <w:rFonts w:ascii="Times New Roman" w:hAnsi="Times New Roman" w:eastAsia="仿宋_GB2312"/>
          <w:b/>
          <w:color w:val="000000"/>
          <w:szCs w:val="21"/>
        </w:rPr>
      </w:pPr>
      <w:r>
        <w:rPr>
          <w:rFonts w:ascii="Times New Roman" w:hAnsi="Times New Roman" w:eastAsia="仿宋_GB2312"/>
          <w:b/>
          <w:color w:val="000000"/>
          <w:szCs w:val="21"/>
        </w:rPr>
        <w:t>发包人（全称）：</w:t>
      </w:r>
      <w:r>
        <w:rPr>
          <w:rFonts w:ascii="Times New Roman" w:hAnsi="Times New Roman" w:eastAsia="仿宋_GB2312"/>
          <w:b/>
          <w:color w:val="000000"/>
          <w:szCs w:val="21"/>
          <w:u w:val="single"/>
        </w:rPr>
        <w:t xml:space="preserve">  </w:t>
      </w:r>
      <w:r>
        <w:rPr>
          <w:rFonts w:hint="eastAsia" w:ascii="Times New Roman" w:hAnsi="Times New Roman" w:eastAsia="仿宋_GB2312"/>
          <w:b/>
          <w:color w:val="000000"/>
          <w:szCs w:val="21"/>
          <w:u w:val="single"/>
        </w:rPr>
        <w:t>泰州职业技术学院</w:t>
      </w:r>
      <w:r>
        <w:rPr>
          <w:rFonts w:ascii="Times New Roman" w:hAnsi="Times New Roman" w:eastAsia="仿宋_GB2312"/>
          <w:b/>
          <w:color w:val="000000"/>
          <w:szCs w:val="21"/>
          <w:u w:val="single"/>
        </w:rPr>
        <w:t xml:space="preserve">  </w:t>
      </w:r>
      <w:r>
        <w:rPr>
          <w:rFonts w:ascii="Times New Roman" w:hAnsi="Times New Roman" w:eastAsia="仿宋_GB2312"/>
          <w:b/>
          <w:color w:val="000000"/>
          <w:szCs w:val="21"/>
        </w:rPr>
        <w:t xml:space="preserve"> </w:t>
      </w:r>
    </w:p>
    <w:p>
      <w:pPr>
        <w:spacing w:line="440" w:lineRule="exact"/>
        <w:ind w:firstLine="420"/>
        <w:rPr>
          <w:rFonts w:hint="eastAsia" w:ascii="Times New Roman" w:hAnsi="Times New Roman" w:eastAsia="仿宋_GB2312"/>
          <w:b/>
          <w:color w:val="000000"/>
          <w:szCs w:val="21"/>
          <w:u w:val="single"/>
        </w:rPr>
      </w:pPr>
      <w:r>
        <w:rPr>
          <w:rFonts w:ascii="Times New Roman" w:hAnsi="Times New Roman" w:eastAsia="仿宋_GB2312"/>
          <w:b/>
          <w:color w:val="000000"/>
          <w:szCs w:val="21"/>
        </w:rPr>
        <w:t>承包人（全称）：</w:t>
      </w:r>
      <w:r>
        <w:rPr>
          <w:rFonts w:hint="eastAsia" w:ascii="Times New Roman" w:hAnsi="Times New Roman" w:eastAsia="仿宋_GB2312"/>
          <w:b/>
          <w:color w:val="000000"/>
          <w:szCs w:val="21"/>
          <w:u w:val="single"/>
        </w:rPr>
        <w:t xml:space="preserve"> </w:t>
      </w:r>
      <w:r>
        <w:rPr>
          <w:rFonts w:ascii="Times New Roman" w:hAnsi="Times New Roman" w:eastAsia="仿宋_GB2312"/>
          <w:b/>
          <w:color w:val="000000"/>
          <w:szCs w:val="21"/>
          <w:u w:val="single"/>
        </w:rPr>
        <w:t xml:space="preserve"> </w:t>
      </w:r>
      <w:r>
        <w:rPr>
          <w:rFonts w:hint="eastAsia" w:ascii="Times New Roman" w:hAnsi="Times New Roman" w:eastAsia="仿宋_GB2312"/>
          <w:b/>
          <w:color w:val="000000"/>
          <w:szCs w:val="21"/>
          <w:u w:val="single"/>
        </w:rPr>
        <w:t xml:space="preserve">XXXXXXXXXXXXXX                   </w:t>
      </w:r>
    </w:p>
    <w:p>
      <w:pPr>
        <w:spacing w:line="440" w:lineRule="exact"/>
        <w:ind w:firstLine="420"/>
        <w:rPr>
          <w:rFonts w:ascii="Times New Roman" w:hAnsi="Times New Roman" w:eastAsia="仿宋_GB2312"/>
          <w:color w:val="000000"/>
          <w:szCs w:val="21"/>
        </w:rPr>
      </w:pPr>
      <w:r>
        <w:rPr>
          <w:rFonts w:ascii="Times New Roman" w:hAnsi="Times New Roman" w:eastAsia="仿宋_GB2312"/>
          <w:color w:val="000000"/>
          <w:szCs w:val="21"/>
        </w:rPr>
        <w:t>　　发包人和承包人根据《中华人民共和国建筑法》和《建设工程质量管理条例》，经协商一致就</w:t>
      </w:r>
      <w:r>
        <w:rPr>
          <w:rFonts w:hint="eastAsia" w:ascii="Times New Roman" w:hAnsi="Times New Roman" w:eastAsia="仿宋_GB2312"/>
          <w:color w:val="000000"/>
          <w:szCs w:val="21"/>
          <w:u w:val="single"/>
        </w:rPr>
        <w:t>????????????????</w:t>
      </w:r>
      <w:r>
        <w:rPr>
          <w:rFonts w:eastAsia="仿宋_GB2312"/>
          <w:color w:val="000000"/>
          <w:szCs w:val="21"/>
          <w:u w:val="single"/>
        </w:rPr>
        <w:t>工程</w:t>
      </w:r>
      <w:r>
        <w:rPr>
          <w:rFonts w:ascii="Times New Roman" w:hAnsi="Times New Roman" w:eastAsia="仿宋_GB2312"/>
          <w:color w:val="000000"/>
          <w:szCs w:val="21"/>
        </w:rPr>
        <w:t>（工程全称）签订工程质量保修书。</w:t>
      </w:r>
    </w:p>
    <w:p>
      <w:pPr>
        <w:spacing w:line="360" w:lineRule="auto"/>
        <w:rPr>
          <w:rFonts w:ascii="Times New Roman" w:hAnsi="Times New Roman" w:eastAsia="黑体"/>
          <w:color w:val="000000"/>
          <w:szCs w:val="21"/>
        </w:rPr>
      </w:pPr>
      <w:r>
        <w:rPr>
          <w:rFonts w:ascii="Times New Roman" w:hAnsi="Times New Roman" w:eastAsia="黑体"/>
          <w:color w:val="000000"/>
          <w:szCs w:val="21"/>
        </w:rPr>
        <w:t>　　一、工程质量保修范围和内容</w:t>
      </w:r>
    </w:p>
    <w:p>
      <w:pPr>
        <w:spacing w:line="360" w:lineRule="auto"/>
        <w:rPr>
          <w:rFonts w:ascii="Times New Roman" w:hAnsi="Times New Roman" w:eastAsia="仿宋_GB2312"/>
          <w:color w:val="000000"/>
          <w:szCs w:val="21"/>
        </w:rPr>
      </w:pPr>
      <w:r>
        <w:rPr>
          <w:rFonts w:ascii="Times New Roman" w:hAnsi="Times New Roman" w:eastAsia="仿宋_GB2312"/>
          <w:color w:val="000000"/>
          <w:szCs w:val="21"/>
        </w:rPr>
        <w:t>　　承包人在质量保修期内，按照有关法律规定和合同约定，承担工程质量保修责任。</w:t>
      </w:r>
    </w:p>
    <w:p>
      <w:pPr>
        <w:spacing w:line="360" w:lineRule="auto"/>
        <w:rPr>
          <w:rFonts w:ascii="Times New Roman" w:hAnsi="Times New Roman" w:eastAsia="仿宋_GB2312"/>
          <w:color w:val="000000"/>
          <w:szCs w:val="21"/>
        </w:rPr>
      </w:pPr>
      <w:r>
        <w:rPr>
          <w:rFonts w:ascii="Times New Roman" w:hAnsi="Times New Roman" w:eastAsia="仿宋_GB2312"/>
          <w:color w:val="000000"/>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315" w:firstLineChars="150"/>
        <w:rPr>
          <w:rFonts w:ascii="Times New Roman" w:hAnsi="Times New Roman" w:eastAsia="仿宋_GB2312"/>
          <w:color w:val="000000"/>
          <w:szCs w:val="21"/>
        </w:rPr>
      </w:pPr>
      <w:r>
        <w:rPr>
          <w:rFonts w:hint="eastAsia" w:ascii="Times New Roman" w:hAnsi="Times New Roman" w:eastAsia="仿宋_GB2312"/>
          <w:color w:val="000000"/>
          <w:szCs w:val="21"/>
          <w:u w:val="single"/>
        </w:rPr>
        <w:t>/</w:t>
      </w:r>
      <w:r>
        <w:rPr>
          <w:rFonts w:ascii="Times New Roman" w:hAnsi="Times New Roman" w:eastAsia="仿宋_GB2312"/>
          <w:color w:val="000000"/>
          <w:szCs w:val="21"/>
          <w:u w:val="single"/>
        </w:rPr>
        <w:t xml:space="preserve">                                                                                 </w:t>
      </w:r>
    </w:p>
    <w:p>
      <w:pPr>
        <w:spacing w:line="360" w:lineRule="auto"/>
        <w:rPr>
          <w:rFonts w:ascii="Times New Roman" w:hAnsi="Times New Roman" w:eastAsia="黑体"/>
          <w:color w:val="000000"/>
          <w:szCs w:val="21"/>
        </w:rPr>
      </w:pPr>
      <w:r>
        <w:rPr>
          <w:rFonts w:ascii="Times New Roman" w:hAnsi="Times New Roman" w:eastAsia="仿宋_GB2312"/>
          <w:b/>
          <w:color w:val="000000"/>
          <w:szCs w:val="21"/>
        </w:rPr>
        <w:t>　　</w:t>
      </w:r>
      <w:r>
        <w:rPr>
          <w:rFonts w:ascii="Times New Roman" w:hAnsi="Times New Roman" w:eastAsia="黑体"/>
          <w:color w:val="000000"/>
          <w:szCs w:val="21"/>
        </w:rPr>
        <w:t>二、质量保修期</w:t>
      </w:r>
    </w:p>
    <w:p>
      <w:pPr>
        <w:spacing w:line="360" w:lineRule="auto"/>
        <w:ind w:firstLine="420" w:firstLineChars="200"/>
        <w:rPr>
          <w:rFonts w:ascii="Times New Roman" w:hAnsi="Times New Roman" w:eastAsia="仿宋_GB2312"/>
          <w:color w:val="000000"/>
          <w:szCs w:val="21"/>
        </w:rPr>
      </w:pPr>
      <w:r>
        <w:rPr>
          <w:rFonts w:ascii="Times New Roman" w:hAnsi="Times New Roman" w:eastAsia="仿宋_GB2312"/>
          <w:color w:val="000000"/>
          <w:szCs w:val="21"/>
        </w:rPr>
        <w:t>根据《建设工程质量管理条例》及有关规定，工程的质量保修期如下：</w:t>
      </w:r>
    </w:p>
    <w:p>
      <w:pPr>
        <w:ind w:firstLine="420" w:firstLineChars="200"/>
        <w:rPr>
          <w:rFonts w:hint="eastAsia" w:ascii="仿宋_GB2312" w:eastAsia="仿宋_GB2312"/>
          <w:szCs w:val="21"/>
        </w:rPr>
      </w:pPr>
      <w:r>
        <w:rPr>
          <w:rFonts w:hint="eastAsia" w:ascii="仿宋_GB2312" w:eastAsia="仿宋_GB2312"/>
          <w:szCs w:val="21"/>
        </w:rPr>
        <w:t>1</w:t>
      </w:r>
      <w:r>
        <w:rPr>
          <w:rFonts w:hint="eastAsia" w:ascii="Times New Roman" w:hAnsi="Times New Roman" w:eastAsia="仿宋_GB2312"/>
          <w:color w:val="000000"/>
          <w:szCs w:val="21"/>
        </w:rPr>
        <w:t>．</w:t>
      </w:r>
      <w:r>
        <w:rPr>
          <w:rFonts w:hint="eastAsia" w:ascii="仿宋_GB2312" w:eastAsia="仿宋_GB2312"/>
          <w:szCs w:val="21"/>
        </w:rPr>
        <w:t>地基基础工程和主体结构工程为设计文件规定的工程合理使用年限；</w:t>
      </w:r>
    </w:p>
    <w:p>
      <w:pPr>
        <w:spacing w:line="360" w:lineRule="auto"/>
        <w:ind w:firstLine="420" w:firstLineChars="200"/>
        <w:rPr>
          <w:rFonts w:ascii="Times New Roman" w:hAnsi="Times New Roman" w:eastAsia="仿宋_GB2312"/>
          <w:color w:val="000000"/>
          <w:szCs w:val="21"/>
        </w:rPr>
      </w:pPr>
      <w:r>
        <w:rPr>
          <w:rFonts w:hint="eastAsia" w:ascii="Times New Roman" w:hAnsi="Times New Roman" w:eastAsia="仿宋_GB2312"/>
          <w:color w:val="000000"/>
          <w:szCs w:val="21"/>
        </w:rPr>
        <w:t>2</w:t>
      </w:r>
      <w:r>
        <w:rPr>
          <w:rFonts w:hint="eastAsia" w:ascii="仿宋_GB2312" w:eastAsia="仿宋_GB2312"/>
          <w:szCs w:val="21"/>
        </w:rPr>
        <w:t>．</w:t>
      </w:r>
      <w:r>
        <w:rPr>
          <w:rFonts w:ascii="Times New Roman" w:hAnsi="Times New Roman" w:eastAsia="仿宋_GB2312"/>
          <w:color w:val="000000"/>
          <w:szCs w:val="21"/>
        </w:rPr>
        <w:t>屋面防水工程、有防水要求的卫生间、房间和外墙面的防渗</w:t>
      </w:r>
      <w:r>
        <w:rPr>
          <w:rFonts w:hint="eastAsia" w:ascii="Times New Roman" w:hAnsi="Times New Roman" w:eastAsia="仿宋_GB2312"/>
          <w:color w:val="000000"/>
          <w:szCs w:val="21"/>
        </w:rPr>
        <w:t>为</w:t>
      </w:r>
      <w:r>
        <w:rPr>
          <w:rFonts w:hint="eastAsia" w:ascii="Times New Roman" w:hAnsi="Times New Roman" w:eastAsia="仿宋_GB2312"/>
          <w:color w:val="000000"/>
          <w:szCs w:val="21"/>
          <w:u w:val="single"/>
        </w:rPr>
        <w:t xml:space="preserve"> 5 </w:t>
      </w:r>
      <w:r>
        <w:rPr>
          <w:rFonts w:ascii="Times New Roman" w:hAnsi="Times New Roman" w:eastAsia="仿宋_GB2312"/>
          <w:color w:val="000000"/>
          <w:szCs w:val="21"/>
        </w:rPr>
        <w:t>年；</w:t>
      </w:r>
    </w:p>
    <w:p>
      <w:pPr>
        <w:spacing w:line="360" w:lineRule="auto"/>
        <w:ind w:left="420" w:leftChars="200" w:firstLine="105" w:firstLineChars="50"/>
        <w:rPr>
          <w:rFonts w:ascii="Times New Roman" w:hAnsi="Times New Roman" w:eastAsia="仿宋_GB2312"/>
          <w:color w:val="000000"/>
          <w:szCs w:val="21"/>
        </w:rPr>
      </w:pPr>
      <w:r>
        <w:rPr>
          <w:rFonts w:hint="eastAsia" w:ascii="Times New Roman" w:hAnsi="Times New Roman" w:eastAsia="仿宋_GB2312"/>
          <w:color w:val="000000"/>
          <w:szCs w:val="21"/>
        </w:rPr>
        <w:t>3</w:t>
      </w:r>
      <w:r>
        <w:rPr>
          <w:rFonts w:hint="eastAsia" w:ascii="仿宋_GB2312" w:eastAsia="仿宋_GB2312"/>
          <w:szCs w:val="21"/>
        </w:rPr>
        <w:t>．</w:t>
      </w:r>
      <w:r>
        <w:rPr>
          <w:rFonts w:ascii="Times New Roman" w:hAnsi="Times New Roman" w:eastAsia="仿宋_GB2312"/>
          <w:color w:val="000000"/>
          <w:szCs w:val="21"/>
        </w:rPr>
        <w:t>装修工程为</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2</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年；</w:t>
      </w:r>
    </w:p>
    <w:p>
      <w:pPr>
        <w:spacing w:line="360" w:lineRule="auto"/>
        <w:ind w:left="420" w:leftChars="200" w:firstLine="105" w:firstLineChars="50"/>
        <w:rPr>
          <w:rFonts w:ascii="Times New Roman" w:hAnsi="Times New Roman" w:eastAsia="仿宋_GB2312"/>
          <w:color w:val="000000"/>
          <w:szCs w:val="21"/>
        </w:rPr>
      </w:pPr>
      <w:r>
        <w:rPr>
          <w:rFonts w:hint="eastAsia" w:ascii="Times New Roman" w:hAnsi="Times New Roman" w:eastAsia="仿宋_GB2312"/>
          <w:color w:val="000000"/>
          <w:szCs w:val="21"/>
        </w:rPr>
        <w:t>4</w:t>
      </w:r>
      <w:r>
        <w:rPr>
          <w:rFonts w:hint="eastAsia" w:ascii="仿宋_GB2312" w:eastAsia="仿宋_GB2312"/>
          <w:szCs w:val="21"/>
        </w:rPr>
        <w:t>．</w:t>
      </w:r>
      <w:r>
        <w:rPr>
          <w:rFonts w:ascii="Times New Roman" w:hAnsi="Times New Roman" w:eastAsia="仿宋_GB2312"/>
          <w:color w:val="000000"/>
          <w:szCs w:val="21"/>
        </w:rPr>
        <w:t>电气管线、给排水管道、设备安装工程为</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2</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年；</w:t>
      </w:r>
    </w:p>
    <w:p>
      <w:pPr>
        <w:spacing w:line="360" w:lineRule="auto"/>
        <w:ind w:left="420" w:leftChars="200" w:firstLine="105" w:firstLineChars="50"/>
        <w:rPr>
          <w:rFonts w:ascii="Times New Roman" w:hAnsi="Times New Roman" w:eastAsia="仿宋_GB2312"/>
          <w:color w:val="000000"/>
          <w:szCs w:val="21"/>
        </w:rPr>
      </w:pPr>
      <w:r>
        <w:rPr>
          <w:rFonts w:hint="eastAsia" w:ascii="Times New Roman" w:hAnsi="Times New Roman" w:eastAsia="仿宋_GB2312"/>
          <w:color w:val="000000"/>
          <w:szCs w:val="21"/>
        </w:rPr>
        <w:t>5</w:t>
      </w:r>
      <w:r>
        <w:rPr>
          <w:rFonts w:hint="eastAsia" w:ascii="仿宋_GB2312" w:eastAsia="仿宋_GB2312"/>
          <w:szCs w:val="21"/>
        </w:rPr>
        <w:t>．</w:t>
      </w:r>
      <w:r>
        <w:rPr>
          <w:rFonts w:ascii="Times New Roman" w:hAnsi="Times New Roman" w:eastAsia="仿宋_GB2312"/>
          <w:color w:val="000000"/>
          <w:szCs w:val="21"/>
        </w:rPr>
        <w:t>供热与供冷系统为</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2</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个采暖期、供冷期；</w:t>
      </w:r>
    </w:p>
    <w:p>
      <w:pPr>
        <w:spacing w:line="360" w:lineRule="auto"/>
        <w:ind w:left="420" w:leftChars="200" w:firstLine="105" w:firstLineChars="50"/>
        <w:rPr>
          <w:rFonts w:ascii="Times New Roman" w:hAnsi="Times New Roman" w:eastAsia="仿宋_GB2312"/>
          <w:color w:val="000000"/>
          <w:szCs w:val="21"/>
        </w:rPr>
      </w:pPr>
      <w:r>
        <w:rPr>
          <w:rFonts w:hint="eastAsia" w:ascii="Times New Roman" w:hAnsi="Times New Roman" w:eastAsia="仿宋_GB2312"/>
          <w:color w:val="000000"/>
          <w:szCs w:val="21"/>
        </w:rPr>
        <w:t>6</w:t>
      </w:r>
      <w:r>
        <w:rPr>
          <w:rFonts w:hint="eastAsia" w:ascii="仿宋_GB2312" w:eastAsia="仿宋_GB2312"/>
          <w:szCs w:val="21"/>
        </w:rPr>
        <w:t>．</w:t>
      </w:r>
      <w:r>
        <w:rPr>
          <w:rFonts w:ascii="Times New Roman" w:hAnsi="Times New Roman" w:eastAsia="仿宋_GB2312"/>
          <w:color w:val="000000"/>
          <w:szCs w:val="21"/>
        </w:rPr>
        <w:t>住宅小区内的给排水设施、道路等配套工程为</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2</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年；</w:t>
      </w:r>
    </w:p>
    <w:p>
      <w:pPr>
        <w:spacing w:line="360" w:lineRule="auto"/>
        <w:ind w:left="420" w:leftChars="200" w:firstLine="105" w:firstLineChars="50"/>
        <w:rPr>
          <w:rFonts w:ascii="Times New Roman" w:hAnsi="Times New Roman" w:eastAsia="仿宋_GB2312"/>
          <w:color w:val="000000"/>
          <w:szCs w:val="21"/>
        </w:rPr>
      </w:pPr>
      <w:r>
        <w:rPr>
          <w:rFonts w:hint="eastAsia" w:ascii="Times New Roman" w:hAnsi="Times New Roman" w:eastAsia="仿宋_GB2312"/>
          <w:color w:val="000000"/>
          <w:szCs w:val="21"/>
        </w:rPr>
        <w:t>7</w:t>
      </w:r>
      <w:r>
        <w:rPr>
          <w:rFonts w:hint="eastAsia" w:ascii="仿宋_GB2312" w:eastAsia="仿宋_GB2312"/>
          <w:szCs w:val="21"/>
        </w:rPr>
        <w:t>．</w:t>
      </w:r>
      <w:r>
        <w:rPr>
          <w:rFonts w:ascii="Times New Roman" w:hAnsi="Times New Roman" w:eastAsia="仿宋_GB2312"/>
          <w:color w:val="000000"/>
          <w:szCs w:val="21"/>
        </w:rPr>
        <w:t>其他项目保修期限约定如下：</w:t>
      </w:r>
    </w:p>
    <w:p>
      <w:pPr>
        <w:spacing w:line="360" w:lineRule="auto"/>
        <w:rPr>
          <w:rFonts w:ascii="Times New Roman" w:hAnsi="Times New Roman" w:eastAsia="仿宋_GB2312"/>
          <w:color w:val="000000"/>
          <w:szCs w:val="21"/>
        </w:rPr>
      </w:pP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w:t>
      </w:r>
      <w:r>
        <w:rPr>
          <w:rFonts w:ascii="Times New Roman" w:hAnsi="Times New Roman" w:eastAsia="仿宋_GB2312"/>
          <w:color w:val="000000"/>
          <w:szCs w:val="21"/>
          <w:u w:val="single"/>
        </w:rPr>
        <w:t xml:space="preserve">                       </w:t>
      </w:r>
    </w:p>
    <w:p>
      <w:pPr>
        <w:spacing w:line="360" w:lineRule="auto"/>
        <w:rPr>
          <w:rFonts w:ascii="Times New Roman" w:hAnsi="Times New Roman" w:eastAsia="仿宋_GB2312"/>
          <w:color w:val="000000"/>
          <w:szCs w:val="21"/>
        </w:rPr>
      </w:pPr>
      <w:r>
        <w:rPr>
          <w:rFonts w:ascii="Times New Roman" w:hAnsi="Times New Roman" w:eastAsia="仿宋_GB2312"/>
          <w:color w:val="000000"/>
          <w:szCs w:val="21"/>
        </w:rPr>
        <w:t>　　质量保修期自工程竣工验收合格之日起计算。</w:t>
      </w:r>
    </w:p>
    <w:p>
      <w:pPr>
        <w:spacing w:line="360" w:lineRule="auto"/>
        <w:ind w:firstLine="420" w:firstLineChars="200"/>
        <w:rPr>
          <w:rFonts w:ascii="Times New Roman" w:hAnsi="Times New Roman" w:eastAsia="黑体"/>
          <w:color w:val="000000"/>
          <w:szCs w:val="21"/>
        </w:rPr>
      </w:pPr>
      <w:r>
        <w:rPr>
          <w:rFonts w:ascii="Times New Roman" w:hAnsi="Times New Roman" w:eastAsia="黑体"/>
          <w:color w:val="000000"/>
          <w:szCs w:val="21"/>
        </w:rPr>
        <w:t>三、缺陷责任期</w:t>
      </w:r>
    </w:p>
    <w:p>
      <w:pPr>
        <w:spacing w:line="360" w:lineRule="auto"/>
        <w:ind w:firstLine="420" w:firstLineChars="200"/>
        <w:rPr>
          <w:rFonts w:ascii="Times New Roman" w:hAnsi="Times New Roman" w:eastAsia="仿宋_GB2312"/>
          <w:color w:val="000000"/>
          <w:szCs w:val="21"/>
        </w:rPr>
      </w:pPr>
      <w:r>
        <w:rPr>
          <w:rFonts w:ascii="Times New Roman" w:hAnsi="Times New Roman" w:eastAsia="仿宋_GB2312"/>
          <w:color w:val="000000"/>
          <w:szCs w:val="21"/>
        </w:rPr>
        <w:t>工程缺陷责任期为</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24</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个月，缺陷责任期自工程竣工验收合格之日起计算。单位工程先于全部工程进行验收，单位工程缺陷责任期自单位工程验收合格之日起算。</w:t>
      </w:r>
    </w:p>
    <w:p>
      <w:pPr>
        <w:spacing w:line="360" w:lineRule="auto"/>
        <w:ind w:firstLine="420" w:firstLineChars="200"/>
        <w:rPr>
          <w:rFonts w:ascii="Times New Roman" w:hAnsi="Times New Roman" w:eastAsia="仿宋_GB2312"/>
          <w:color w:val="000000"/>
          <w:szCs w:val="21"/>
        </w:rPr>
      </w:pPr>
      <w:r>
        <w:rPr>
          <w:rFonts w:ascii="Times New Roman" w:hAnsi="Times New Roman" w:eastAsia="仿宋_GB2312"/>
          <w:color w:val="000000"/>
          <w:szCs w:val="21"/>
        </w:rPr>
        <w:t>缺陷责任期终止后，发包人应退还剩余的质量保证金。</w:t>
      </w:r>
    </w:p>
    <w:p>
      <w:pPr>
        <w:spacing w:line="360" w:lineRule="auto"/>
        <w:rPr>
          <w:rFonts w:ascii="Times New Roman" w:hAnsi="Times New Roman" w:eastAsia="黑体"/>
          <w:color w:val="000000"/>
          <w:szCs w:val="21"/>
        </w:rPr>
      </w:pPr>
      <w:r>
        <w:rPr>
          <w:rFonts w:ascii="Times New Roman" w:hAnsi="Times New Roman" w:eastAsia="黑体"/>
          <w:color w:val="000000"/>
          <w:szCs w:val="21"/>
        </w:rPr>
        <w:t xml:space="preserve">    四、质量保修责任</w:t>
      </w:r>
    </w:p>
    <w:p>
      <w:pPr>
        <w:spacing w:line="360" w:lineRule="auto"/>
        <w:ind w:left="105" w:leftChars="50" w:firstLine="430" w:firstLineChars="205"/>
        <w:rPr>
          <w:rFonts w:ascii="Times New Roman" w:hAnsi="Times New Roman" w:eastAsia="仿宋_GB2312"/>
          <w:color w:val="000000"/>
          <w:szCs w:val="21"/>
        </w:rPr>
      </w:pPr>
      <w:r>
        <w:rPr>
          <w:rFonts w:hint="eastAsia" w:ascii="Times New Roman" w:hAnsi="Times New Roman" w:eastAsia="仿宋_GB2312"/>
          <w:color w:val="000000"/>
          <w:szCs w:val="21"/>
        </w:rPr>
        <w:t>1</w:t>
      </w:r>
      <w:r>
        <w:rPr>
          <w:rFonts w:hint="eastAsia" w:ascii="仿宋_GB2312" w:eastAsia="仿宋_GB2312"/>
          <w:szCs w:val="21"/>
        </w:rPr>
        <w:t>．</w:t>
      </w:r>
      <w:r>
        <w:rPr>
          <w:rFonts w:ascii="Times New Roman" w:hAnsi="Times New Roman" w:eastAsia="仿宋_GB2312"/>
          <w:color w:val="000000"/>
          <w:szCs w:val="21"/>
        </w:rPr>
        <w:t>属于保修范围、内容的项目，承包人应当在接到保修通知之日起7天内派人保修。承包人不在约定期限内派人保修的，发包人可以委托他人修理。</w:t>
      </w:r>
    </w:p>
    <w:p>
      <w:pPr>
        <w:spacing w:line="360" w:lineRule="auto"/>
        <w:ind w:left="105" w:leftChars="50" w:firstLine="430" w:firstLineChars="205"/>
        <w:rPr>
          <w:rFonts w:ascii="Times New Roman" w:hAnsi="Times New Roman" w:eastAsia="仿宋_GB2312"/>
          <w:color w:val="000000"/>
          <w:szCs w:val="21"/>
        </w:rPr>
      </w:pPr>
      <w:r>
        <w:rPr>
          <w:rFonts w:hint="eastAsia" w:ascii="Times New Roman" w:hAnsi="Times New Roman" w:eastAsia="仿宋_GB2312"/>
          <w:color w:val="000000"/>
          <w:szCs w:val="21"/>
        </w:rPr>
        <w:t>2</w:t>
      </w:r>
      <w:r>
        <w:rPr>
          <w:rFonts w:hint="eastAsia" w:ascii="仿宋_GB2312" w:eastAsia="仿宋_GB2312"/>
          <w:szCs w:val="21"/>
        </w:rPr>
        <w:t>．</w:t>
      </w:r>
      <w:r>
        <w:rPr>
          <w:rFonts w:ascii="Times New Roman" w:hAnsi="Times New Roman" w:eastAsia="仿宋_GB2312"/>
          <w:color w:val="000000"/>
          <w:szCs w:val="21"/>
        </w:rPr>
        <w:t>发生紧急事故需抢修的，承包人在接到事故通知后，应当立即到达事故现场抢修。</w:t>
      </w:r>
    </w:p>
    <w:p>
      <w:pPr>
        <w:spacing w:line="360" w:lineRule="auto"/>
        <w:ind w:left="105" w:leftChars="50" w:firstLine="430" w:firstLineChars="205"/>
        <w:rPr>
          <w:rFonts w:ascii="Times New Roman" w:hAnsi="Times New Roman" w:eastAsia="仿宋_GB2312"/>
          <w:color w:val="000000"/>
          <w:szCs w:val="21"/>
        </w:rPr>
      </w:pPr>
      <w:r>
        <w:rPr>
          <w:rFonts w:hint="eastAsia" w:ascii="Times New Roman" w:hAnsi="Times New Roman" w:eastAsia="仿宋_GB2312"/>
          <w:color w:val="000000"/>
          <w:szCs w:val="21"/>
        </w:rPr>
        <w:t>3</w:t>
      </w:r>
      <w:r>
        <w:rPr>
          <w:rFonts w:hint="eastAsia" w:ascii="仿宋_GB2312" w:eastAsia="仿宋_GB2312"/>
          <w:szCs w:val="21"/>
        </w:rPr>
        <w:t>．</w:t>
      </w:r>
      <w:r>
        <w:rPr>
          <w:rFonts w:ascii="Times New Roman" w:hAnsi="Times New Roman" w:eastAsia="仿宋_GB2312"/>
          <w:color w:val="000000"/>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05" w:firstLineChars="50"/>
        <w:rPr>
          <w:rFonts w:ascii="Times New Roman" w:hAnsi="Times New Roman" w:eastAsia="仿宋_GB2312"/>
          <w:color w:val="000000"/>
          <w:szCs w:val="21"/>
        </w:rPr>
      </w:pPr>
      <w:r>
        <w:rPr>
          <w:rFonts w:hint="eastAsia" w:ascii="Times New Roman" w:hAnsi="Times New Roman" w:eastAsia="仿宋_GB2312"/>
          <w:color w:val="000000"/>
          <w:szCs w:val="21"/>
        </w:rPr>
        <w:t>4</w:t>
      </w:r>
      <w:r>
        <w:rPr>
          <w:rFonts w:hint="eastAsia" w:ascii="仿宋_GB2312" w:eastAsia="仿宋_GB2312"/>
          <w:szCs w:val="21"/>
        </w:rPr>
        <w:t>．</w:t>
      </w:r>
      <w:r>
        <w:rPr>
          <w:rFonts w:ascii="Times New Roman" w:hAnsi="Times New Roman" w:eastAsia="仿宋_GB2312"/>
          <w:color w:val="000000"/>
          <w:szCs w:val="21"/>
        </w:rPr>
        <w:t>质量保修完成后，由发包人组织验收。</w:t>
      </w:r>
    </w:p>
    <w:p>
      <w:pPr>
        <w:spacing w:line="360" w:lineRule="auto"/>
        <w:rPr>
          <w:rFonts w:ascii="Times New Roman" w:hAnsi="Times New Roman" w:eastAsia="黑体"/>
          <w:color w:val="000000"/>
          <w:szCs w:val="21"/>
        </w:rPr>
      </w:pPr>
      <w:r>
        <w:rPr>
          <w:rFonts w:ascii="Times New Roman" w:hAnsi="Times New Roman" w:eastAsia="黑体"/>
          <w:color w:val="000000"/>
          <w:szCs w:val="21"/>
        </w:rPr>
        <w:t>　　五、保修费用</w:t>
      </w:r>
    </w:p>
    <w:p>
      <w:pPr>
        <w:spacing w:line="360" w:lineRule="auto"/>
        <w:rPr>
          <w:rFonts w:ascii="Times New Roman" w:hAnsi="Times New Roman" w:eastAsia="仿宋_GB2312"/>
          <w:color w:val="000000"/>
          <w:szCs w:val="21"/>
        </w:rPr>
      </w:pPr>
      <w:r>
        <w:rPr>
          <w:rFonts w:ascii="Times New Roman" w:hAnsi="Times New Roman" w:eastAsia="仿宋_GB2312"/>
          <w:color w:val="000000"/>
          <w:szCs w:val="21"/>
        </w:rPr>
        <w:t>　　保修费用由造成质量缺陷的责任方承担。</w:t>
      </w:r>
    </w:p>
    <w:p>
      <w:pPr>
        <w:spacing w:line="360" w:lineRule="auto"/>
        <w:ind w:firstLine="600"/>
        <w:jc w:val="left"/>
        <w:rPr>
          <w:rFonts w:ascii="Times New Roman" w:hAnsi="Times New Roman" w:eastAsia="仿宋_GB2312"/>
          <w:color w:val="000000"/>
          <w:szCs w:val="21"/>
          <w:u w:val="single"/>
        </w:rPr>
      </w:pPr>
      <w:r>
        <w:rPr>
          <w:rFonts w:ascii="Times New Roman" w:hAnsi="Times New Roman" w:eastAsia="黑体"/>
          <w:b/>
          <w:color w:val="000000"/>
          <w:szCs w:val="21"/>
        </w:rPr>
        <w:t>六</w:t>
      </w:r>
      <w:r>
        <w:rPr>
          <w:rFonts w:ascii="Times New Roman" w:hAnsi="Times New Roman" w:eastAsia="黑体"/>
          <w:color w:val="000000"/>
          <w:szCs w:val="21"/>
        </w:rPr>
        <w:t>、双方约定的其他工程质量保修事项</w:t>
      </w:r>
      <w:r>
        <w:rPr>
          <w:rFonts w:ascii="Times New Roman" w:hAnsi="Times New Roman" w:eastAsia="仿宋_GB2312"/>
          <w:color w:val="000000"/>
          <w:szCs w:val="21"/>
        </w:rPr>
        <w:t>：</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p>
    <w:p>
      <w:pPr>
        <w:spacing w:line="360" w:lineRule="auto"/>
        <w:ind w:firstLine="399" w:firstLineChars="190"/>
        <w:rPr>
          <w:rFonts w:ascii="Times New Roman" w:hAnsi="Times New Roman" w:eastAsia="仿宋_GB2312"/>
          <w:color w:val="000000"/>
          <w:szCs w:val="21"/>
        </w:rPr>
      </w:pPr>
      <w:r>
        <w:rPr>
          <w:rFonts w:ascii="Times New Roman" w:hAnsi="Times New Roman" w:eastAsia="仿宋_GB2312"/>
          <w:color w:val="000000"/>
          <w:szCs w:val="21"/>
        </w:rPr>
        <w:t>工程质量保修书由发包人、承包人在工程竣工验收前共同签署，作为施工合同附件，其有效期限至保修期满。</w:t>
      </w:r>
    </w:p>
    <w:p>
      <w:pPr>
        <w:spacing w:line="360" w:lineRule="auto"/>
        <w:ind w:firstLine="420"/>
        <w:rPr>
          <w:rFonts w:ascii="Times New Roman" w:hAnsi="Times New Roman" w:eastAsia="仿宋_GB2312"/>
          <w:color w:val="000000"/>
          <w:szCs w:val="21"/>
        </w:rPr>
      </w:pPr>
    </w:p>
    <w:p>
      <w:pPr>
        <w:spacing w:line="360" w:lineRule="auto"/>
        <w:rPr>
          <w:rFonts w:ascii="Times New Roman" w:hAnsi="Times New Roman" w:eastAsia="仿宋_GB2312"/>
          <w:color w:val="000000"/>
          <w:szCs w:val="21"/>
        </w:rPr>
      </w:pPr>
      <w:r>
        <w:rPr>
          <w:rFonts w:ascii="Times New Roman" w:hAnsi="Times New Roman" w:eastAsia="仿宋_GB2312"/>
          <w:color w:val="000000"/>
          <w:szCs w:val="21"/>
        </w:rPr>
        <w:t>发包人(公章)：</w:t>
      </w:r>
      <w:r>
        <w:rPr>
          <w:rFonts w:ascii="Times New Roman" w:hAnsi="Times New Roman" w:eastAsia="仿宋_GB2312"/>
          <w:color w:val="000000"/>
          <w:szCs w:val="21"/>
          <w:u w:val="single"/>
        </w:rPr>
        <w:t xml:space="preserve">  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承包人(公章)：</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p>
    <w:p>
      <w:pPr>
        <w:spacing w:line="360" w:lineRule="auto"/>
        <w:rPr>
          <w:rFonts w:ascii="Times New Roman" w:hAnsi="Times New Roman" w:eastAsia="仿宋_GB2312"/>
          <w:color w:val="000000"/>
          <w:szCs w:val="21"/>
        </w:rPr>
      </w:pPr>
      <w:r>
        <w:rPr>
          <w:rFonts w:ascii="Times New Roman" w:hAnsi="Times New Roman" w:eastAsia="仿宋_GB2312"/>
          <w:color w:val="000000"/>
          <w:szCs w:val="21"/>
        </w:rPr>
        <w:t>地  址：</w:t>
      </w:r>
      <w:r>
        <w:rPr>
          <w:rFonts w:ascii="Times New Roman" w:hAnsi="Times New Roman" w:eastAsia="仿宋_GB2312"/>
          <w:color w:val="000000"/>
          <w:szCs w:val="21"/>
          <w:u w:val="single"/>
        </w:rPr>
        <w:t xml:space="preserve"> 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rPr>
        <w:t>地  址：</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p>
    <w:p>
      <w:pPr>
        <w:spacing w:line="360" w:lineRule="auto"/>
        <w:rPr>
          <w:rFonts w:ascii="Times New Roman" w:hAnsi="Times New Roman" w:eastAsia="仿宋_GB2312"/>
          <w:color w:val="000000"/>
          <w:szCs w:val="21"/>
        </w:rPr>
      </w:pPr>
      <w:r>
        <w:rPr>
          <w:rFonts w:ascii="Times New Roman" w:hAnsi="Times New Roman" w:eastAsia="仿宋_GB2312"/>
          <w:color w:val="000000"/>
          <w:szCs w:val="21"/>
        </w:rPr>
        <w:t>法定代表人(签字)：</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rPr>
        <w:t>法定代表人(签字)：</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p>
    <w:p>
      <w:pPr>
        <w:spacing w:line="360" w:lineRule="auto"/>
        <w:rPr>
          <w:rFonts w:ascii="Times New Roman" w:hAnsi="Times New Roman" w:eastAsia="仿宋_GB2312"/>
          <w:color w:val="000000"/>
          <w:szCs w:val="21"/>
        </w:rPr>
      </w:pPr>
      <w:r>
        <w:rPr>
          <w:rFonts w:ascii="Times New Roman" w:hAnsi="Times New Roman" w:eastAsia="仿宋_GB2312"/>
          <w:color w:val="000000"/>
          <w:szCs w:val="21"/>
        </w:rPr>
        <w:t>委托代理人(签字)：</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rPr>
        <w:t>委托代理人(签字)：</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p>
    <w:p>
      <w:pPr>
        <w:spacing w:line="360" w:lineRule="auto"/>
        <w:rPr>
          <w:rFonts w:ascii="Times New Roman" w:hAnsi="Times New Roman" w:eastAsia="仿宋_GB2312"/>
          <w:color w:val="000000"/>
          <w:szCs w:val="21"/>
        </w:rPr>
      </w:pPr>
      <w:r>
        <w:rPr>
          <w:rFonts w:ascii="Times New Roman" w:hAnsi="Times New Roman" w:eastAsia="仿宋_GB2312"/>
          <w:color w:val="000000"/>
          <w:szCs w:val="21"/>
        </w:rPr>
        <w:t>电  话：</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 xml:space="preserve"> 电  话：</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p>
    <w:p>
      <w:pPr>
        <w:spacing w:line="360" w:lineRule="auto"/>
        <w:rPr>
          <w:rFonts w:ascii="Times New Roman" w:hAnsi="Times New Roman" w:eastAsia="仿宋_GB2312"/>
          <w:color w:val="000000"/>
          <w:szCs w:val="21"/>
        </w:rPr>
      </w:pPr>
      <w:r>
        <w:rPr>
          <w:rFonts w:ascii="Times New Roman" w:hAnsi="Times New Roman" w:eastAsia="仿宋_GB2312"/>
          <w:color w:val="000000"/>
          <w:szCs w:val="21"/>
        </w:rPr>
        <w:t>传  真：</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 xml:space="preserve"> 传  真：</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p>
    <w:p>
      <w:pPr>
        <w:spacing w:line="360" w:lineRule="auto"/>
        <w:rPr>
          <w:rFonts w:ascii="Times New Roman" w:hAnsi="Times New Roman" w:eastAsia="仿宋_GB2312"/>
          <w:color w:val="000000"/>
          <w:szCs w:val="21"/>
        </w:rPr>
      </w:pPr>
      <w:r>
        <w:rPr>
          <w:rFonts w:ascii="Times New Roman" w:hAnsi="Times New Roman" w:eastAsia="仿宋_GB2312"/>
          <w:color w:val="000000"/>
          <w:szCs w:val="21"/>
        </w:rPr>
        <w:t>开户银行：</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 xml:space="preserve"> 开户银行：</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p>
    <w:p>
      <w:pPr>
        <w:spacing w:line="360" w:lineRule="auto"/>
        <w:rPr>
          <w:rFonts w:ascii="Times New Roman" w:hAnsi="Times New Roman" w:eastAsia="仿宋_GB2312"/>
          <w:color w:val="000000"/>
          <w:szCs w:val="21"/>
        </w:rPr>
      </w:pPr>
      <w:r>
        <w:rPr>
          <w:rFonts w:ascii="Times New Roman" w:hAnsi="Times New Roman" w:eastAsia="仿宋_GB2312"/>
          <w:color w:val="000000"/>
          <w:szCs w:val="21"/>
        </w:rPr>
        <w:t>账  号：</w:t>
      </w:r>
      <w:r>
        <w:rPr>
          <w:rFonts w:ascii="Times New Roman" w:hAnsi="Times New Roman" w:eastAsia="仿宋_GB2312"/>
          <w:color w:val="000000"/>
          <w:szCs w:val="21"/>
          <w:u w:val="single"/>
        </w:rPr>
        <w:t>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账</w:t>
      </w:r>
      <w:r>
        <w:rPr>
          <w:rFonts w:hint="eastAsia" w:ascii="Times New Roman" w:hAnsi="Times New Roman" w:eastAsia="仿宋_GB2312"/>
          <w:color w:val="000000"/>
          <w:szCs w:val="21"/>
        </w:rPr>
        <w:t xml:space="preserve"> </w:t>
      </w:r>
      <w:r>
        <w:rPr>
          <w:rFonts w:ascii="Times New Roman" w:hAnsi="Times New Roman" w:eastAsia="仿宋_GB2312"/>
          <w:color w:val="000000"/>
          <w:szCs w:val="21"/>
        </w:rPr>
        <w:t xml:space="preserve"> 号：</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p>
    <w:p>
      <w:pPr>
        <w:spacing w:line="360" w:lineRule="auto"/>
        <w:rPr>
          <w:rFonts w:ascii="Times New Roman" w:hAnsi="Times New Roman" w:eastAsia="仿宋_GB2312"/>
          <w:color w:val="000000"/>
          <w:szCs w:val="21"/>
        </w:rPr>
      </w:pPr>
      <w:r>
        <w:rPr>
          <w:rFonts w:ascii="Times New Roman" w:hAnsi="Times New Roman" w:eastAsia="仿宋_GB2312"/>
          <w:color w:val="000000"/>
          <w:szCs w:val="21"/>
        </w:rPr>
        <w:t>邮政编码：</w:t>
      </w:r>
      <w:r>
        <w:rPr>
          <w:rFonts w:ascii="Times New Roman" w:hAnsi="Times New Roman" w:eastAsia="仿宋_GB2312"/>
          <w:color w:val="000000"/>
          <w:szCs w:val="21"/>
          <w:u w:val="single"/>
        </w:rPr>
        <w:t xml:space="preserve"> </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 xml:space="preserve"> 邮政编码：</w:t>
      </w:r>
      <w:r>
        <w:rPr>
          <w:rFonts w:ascii="Times New Roman" w:hAnsi="Times New Roman" w:eastAsia="仿宋_GB2312"/>
          <w:color w:val="000000"/>
          <w:szCs w:val="21"/>
          <w:u w:val="single"/>
        </w:rPr>
        <w:t></w:t>
      </w:r>
      <w:r>
        <w:rPr>
          <w:rFonts w:hint="eastAsia" w:ascii="Times New Roman" w:hAnsi="Times New Roman" w:eastAsia="仿宋_GB2312"/>
          <w:color w:val="000000"/>
          <w:szCs w:val="21"/>
          <w:u w:val="single"/>
        </w:rPr>
        <w:t xml:space="preserve">        </w:t>
      </w:r>
      <w:r>
        <w:rPr>
          <w:rFonts w:ascii="Times New Roman" w:hAnsi="Times New Roman" w:eastAsia="仿宋_GB2312"/>
          <w:color w:val="000000"/>
          <w:szCs w:val="21"/>
          <w:u w:val="single"/>
        </w:rPr>
        <w:t xml:space="preserve">   </w:t>
      </w:r>
    </w:p>
    <w:p>
      <w:pPr>
        <w:spacing w:line="440" w:lineRule="exact"/>
        <w:rPr>
          <w:rFonts w:ascii="Times New Roman" w:hAnsi="Times New Roman"/>
          <w:szCs w:val="21"/>
        </w:rPr>
      </w:pPr>
      <w:r>
        <w:rPr>
          <w:rFonts w:ascii="Times New Roman" w:hAnsi="Times New Roman"/>
          <w:szCs w:val="21"/>
        </w:rPr>
        <w:t xml:space="preserve"> </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pStyle w:val="16"/>
        <w:shd w:val="clear" w:color="auto" w:fill="FFFFFF"/>
        <w:spacing w:line="360" w:lineRule="atLeast"/>
        <w:jc w:val="center"/>
        <w:rPr>
          <w:rFonts w:hint="eastAsia" w:ascii="仿宋_GB2312" w:eastAsia="仿宋_GB2312"/>
        </w:rPr>
      </w:pPr>
      <w:r>
        <w:rPr>
          <w:rFonts w:ascii="仿宋_GB2312" w:eastAsia="仿宋_GB2312"/>
        </w:rPr>
        <w:t>安全施工协议</w:t>
      </w:r>
    </w:p>
    <w:p>
      <w:pPr>
        <w:pStyle w:val="16"/>
        <w:shd w:val="clear" w:color="auto" w:fill="FFFFFF"/>
        <w:spacing w:line="360" w:lineRule="atLeast"/>
        <w:jc w:val="center"/>
        <w:rPr>
          <w:rFonts w:hint="eastAsia"/>
        </w:rPr>
      </w:pPr>
    </w:p>
    <w:p>
      <w:pPr>
        <w:pStyle w:val="16"/>
        <w:shd w:val="clear" w:color="auto" w:fill="FFFFFF"/>
        <w:wordWrap w:val="0"/>
        <w:spacing w:line="360" w:lineRule="atLeast"/>
        <w:rPr>
          <w:rFonts w:hint="eastAsia"/>
        </w:rPr>
      </w:pPr>
      <w:r>
        <w:rPr>
          <w:rFonts w:ascii="仿宋_GB2312" w:eastAsia="仿宋_GB2312"/>
        </w:rPr>
        <w:t>甲方：</w:t>
      </w:r>
      <w:r>
        <w:rPr>
          <w:rFonts w:ascii="仿宋_GB2312" w:eastAsia="仿宋_GB2312"/>
        </w:rPr>
        <w:br w:type="textWrapping"/>
      </w:r>
      <w:r>
        <w:rPr>
          <w:rFonts w:ascii="仿宋_GB2312" w:eastAsia="仿宋_GB2312"/>
        </w:rPr>
        <w:t>乙方：</w:t>
      </w:r>
    </w:p>
    <w:p>
      <w:pPr>
        <w:pStyle w:val="16"/>
        <w:shd w:val="clear" w:color="auto" w:fill="FFFFFF"/>
        <w:wordWrap w:val="0"/>
        <w:spacing w:line="360" w:lineRule="atLeast"/>
        <w:ind w:firstLine="480" w:firstLineChars="200"/>
        <w:rPr>
          <w:rFonts w:hint="eastAsia" w:ascii="仿宋_GB2312" w:eastAsia="仿宋_GB2312"/>
        </w:rPr>
      </w:pPr>
      <w:r>
        <w:rPr>
          <w:rFonts w:ascii="仿宋_GB2312" w:eastAsia="仿宋_GB2312"/>
        </w:rPr>
        <w:t>为了进一步贯彻落实“安全第一、预防为主”的安全生产方针，严格执行劳动保护和安全生产的法令、法规，强化安全生产管理，落实安全生产责任制，依法从严治理施工现场，确保项目施工中操作人员的安全与健康，促进</w:t>
      </w:r>
      <w:r>
        <w:rPr>
          <w:rFonts w:hint="eastAsia" w:ascii="仿宋_GB2312" w:eastAsia="仿宋_GB2312"/>
        </w:rPr>
        <w:t>维修工程</w:t>
      </w:r>
      <w:r>
        <w:rPr>
          <w:rFonts w:ascii="仿宋_GB2312" w:eastAsia="仿宋_GB2312"/>
        </w:rPr>
        <w:t>施工顺利进行，特签定本合约。</w:t>
      </w:r>
    </w:p>
    <w:p>
      <w:pPr>
        <w:pStyle w:val="16"/>
        <w:shd w:val="clear" w:color="auto" w:fill="FFFFFF"/>
        <w:tabs>
          <w:tab w:val="left" w:pos="0"/>
          <w:tab w:val="clear" w:pos="916"/>
        </w:tabs>
        <w:wordWrap w:val="0"/>
        <w:spacing w:line="360" w:lineRule="atLeast"/>
        <w:rPr>
          <w:rFonts w:hint="eastAsia" w:ascii="仿宋_GB2312" w:eastAsia="仿宋_GB2312"/>
        </w:rPr>
      </w:pPr>
      <w:r>
        <w:rPr>
          <w:rFonts w:ascii="仿宋_GB2312" w:eastAsia="仿宋_GB2312"/>
        </w:rPr>
        <w:t>一、管理目标：</w:t>
      </w:r>
      <w:r>
        <w:rPr>
          <w:rFonts w:ascii="仿宋_GB2312" w:eastAsia="仿宋_GB2312"/>
        </w:rPr>
        <w:br w:type="textWrapping"/>
      </w:r>
      <w:r>
        <w:rPr>
          <w:rFonts w:ascii="仿宋_GB2312" w:eastAsia="仿宋_GB2312"/>
        </w:rPr>
        <w:t>1. 杜绝重大安全事故，工亡事故为零；</w:t>
      </w:r>
      <w:r>
        <w:rPr>
          <w:rFonts w:ascii="仿宋_GB2312" w:eastAsia="仿宋_GB2312"/>
        </w:rPr>
        <w:br w:type="textWrapping"/>
      </w:r>
      <w:r>
        <w:rPr>
          <w:rFonts w:ascii="仿宋_GB2312" w:eastAsia="仿宋_GB2312"/>
        </w:rPr>
        <w:t>2. 现场内不发生火灾事故，火险隐患整改率必须保证在时限内达到100%；</w:t>
      </w:r>
      <w:r>
        <w:rPr>
          <w:rFonts w:ascii="仿宋_GB2312" w:eastAsia="仿宋_GB2312"/>
        </w:rPr>
        <w:br w:type="textWrapping"/>
      </w:r>
      <w:r>
        <w:rPr>
          <w:rFonts w:hint="eastAsia" w:ascii="仿宋_GB2312" w:eastAsia="仿宋_GB2312"/>
        </w:rPr>
        <w:t>3.</w:t>
      </w:r>
      <w:r>
        <w:rPr>
          <w:rFonts w:ascii="仿宋_GB2312" w:eastAsia="仿宋_GB2312"/>
        </w:rPr>
        <w:t xml:space="preserve"> 不发生重大中毒事故以及群发性传染病；</w:t>
      </w:r>
      <w:r>
        <w:rPr>
          <w:rFonts w:ascii="仿宋_GB2312" w:eastAsia="仿宋_GB2312"/>
        </w:rPr>
        <w:br w:type="textWrapping"/>
      </w:r>
      <w:r>
        <w:rPr>
          <w:rFonts w:hint="eastAsia" w:ascii="仿宋_GB2312" w:eastAsia="仿宋_GB2312"/>
        </w:rPr>
        <w:t xml:space="preserve">4. </w:t>
      </w:r>
      <w:r>
        <w:rPr>
          <w:rFonts w:ascii="仿宋_GB2312" w:eastAsia="仿宋_GB2312"/>
        </w:rPr>
        <w:t>必须保证施工现场创建文明安全施工工地；</w:t>
      </w:r>
      <w:r>
        <w:rPr>
          <w:rFonts w:ascii="仿宋_GB2312" w:eastAsia="仿宋_GB2312"/>
        </w:rPr>
        <w:br w:type="textWrapping"/>
      </w:r>
      <w:r>
        <w:rPr>
          <w:rFonts w:ascii="仿宋_GB2312" w:eastAsia="仿宋_GB2312"/>
        </w:rPr>
        <w:t>二、安全生产要求</w:t>
      </w:r>
      <w:r>
        <w:rPr>
          <w:rFonts w:ascii="仿宋_GB2312" w:eastAsia="仿宋_GB2312"/>
        </w:rPr>
        <w:br w:type="textWrapping"/>
      </w:r>
      <w:r>
        <w:rPr>
          <w:rFonts w:ascii="仿宋_GB2312" w:eastAsia="仿宋_GB2312"/>
        </w:rPr>
        <w:t>1.采取严格的安全防护措施，否则由于自身安全措施不力而造成事故的责任和因此而发生的费用由</w:t>
      </w:r>
      <w:r>
        <w:rPr>
          <w:rFonts w:hint="eastAsia" w:ascii="仿宋_GB2312" w:eastAsia="仿宋_GB2312"/>
        </w:rPr>
        <w:t>承包</w:t>
      </w:r>
      <w:r>
        <w:rPr>
          <w:rFonts w:ascii="仿宋_GB2312" w:eastAsia="仿宋_GB2312"/>
        </w:rPr>
        <w:t>方承担。非</w:t>
      </w:r>
      <w:r>
        <w:rPr>
          <w:rFonts w:hint="eastAsia" w:ascii="仿宋_GB2312" w:eastAsia="仿宋_GB2312"/>
        </w:rPr>
        <w:t>承包</w:t>
      </w:r>
      <w:r>
        <w:rPr>
          <w:rFonts w:ascii="仿宋_GB2312" w:eastAsia="仿宋_GB2312"/>
        </w:rPr>
        <w:t>方责任的伤亡事故，由责任方承担责任和有关费用；</w:t>
      </w:r>
      <w:r>
        <w:rPr>
          <w:rFonts w:ascii="仿宋_GB2312" w:eastAsia="仿宋_GB2312"/>
        </w:rPr>
        <w:br w:type="textWrapping"/>
      </w:r>
      <w:r>
        <w:rPr>
          <w:rFonts w:ascii="仿宋_GB2312" w:eastAsia="仿宋_GB2312"/>
        </w:rPr>
        <w:t>2.</w:t>
      </w:r>
      <w:r>
        <w:rPr>
          <w:rFonts w:hint="eastAsia" w:ascii="仿宋_GB2312" w:eastAsia="仿宋_GB2312"/>
        </w:rPr>
        <w:t>承包</w:t>
      </w:r>
      <w:r>
        <w:rPr>
          <w:rFonts w:ascii="仿宋_GB2312" w:eastAsia="仿宋_GB2312"/>
        </w:rPr>
        <w:t>方应熟悉并能自觉遵守、执行建设部《建筑施工安全检查标准》以及相关的各项规范；自觉遵守当地政府有关安全施工的各项规定和行业主管部门颁布实施的有关安全生产的法律、法规、规范、标准及各项规定，并且积极参加各种有关促进安全生产的各项活动，切实保障施工工作人员的安全与健康。</w:t>
      </w:r>
      <w:r>
        <w:rPr>
          <w:rFonts w:ascii="仿宋_GB2312" w:eastAsia="仿宋_GB2312"/>
        </w:rPr>
        <w:br w:type="textWrapping"/>
      </w:r>
      <w:r>
        <w:rPr>
          <w:rFonts w:ascii="仿宋_GB2312" w:eastAsia="仿宋_GB2312"/>
        </w:rPr>
        <w:t xml:space="preserve">3. </w:t>
      </w:r>
      <w:r>
        <w:rPr>
          <w:rFonts w:hint="eastAsia" w:ascii="仿宋_GB2312" w:eastAsia="仿宋_GB2312"/>
        </w:rPr>
        <w:t>承包方</w:t>
      </w:r>
      <w:r>
        <w:rPr>
          <w:rFonts w:ascii="仿宋_GB2312" w:eastAsia="仿宋_GB2312"/>
        </w:rPr>
        <w:t>必须尊重并且服</w:t>
      </w:r>
      <w:r>
        <w:rPr>
          <w:rFonts w:hint="eastAsia" w:ascii="仿宋_GB2312" w:eastAsia="仿宋_GB2312"/>
        </w:rPr>
        <w:t>甲</w:t>
      </w:r>
      <w:r>
        <w:rPr>
          <w:rFonts w:ascii="仿宋_GB2312" w:eastAsia="仿宋_GB2312"/>
        </w:rPr>
        <w:t>方现行的有关安全生产各项规章制度和管理方式，并按经济合同有关条款加强自身管理，履行乙方责任。</w:t>
      </w:r>
      <w:r>
        <w:rPr>
          <w:rFonts w:ascii="仿宋_GB2312" w:eastAsia="仿宋_GB2312"/>
        </w:rPr>
        <w:br w:type="textWrapping"/>
      </w:r>
      <w:r>
        <w:rPr>
          <w:rFonts w:ascii="仿宋_GB2312" w:eastAsia="仿宋_GB2312"/>
        </w:rPr>
        <w:t xml:space="preserve">4. </w:t>
      </w:r>
      <w:r>
        <w:rPr>
          <w:rFonts w:hint="eastAsia" w:ascii="仿宋_GB2312" w:eastAsia="仿宋_GB2312"/>
        </w:rPr>
        <w:t>承包</w:t>
      </w:r>
      <w:r>
        <w:rPr>
          <w:rFonts w:ascii="仿宋_GB2312" w:eastAsia="仿宋_GB2312"/>
        </w:rPr>
        <w:t>方必须执行下列安全管理制度：</w:t>
      </w:r>
    </w:p>
    <w:p>
      <w:pPr>
        <w:pStyle w:val="16"/>
        <w:shd w:val="clear" w:color="auto" w:fill="FFFFFF"/>
        <w:tabs>
          <w:tab w:val="left" w:pos="0"/>
          <w:tab w:val="clear" w:pos="916"/>
        </w:tabs>
        <w:wordWrap w:val="0"/>
        <w:spacing w:line="360" w:lineRule="atLeast"/>
        <w:rPr>
          <w:rFonts w:hint="eastAsia" w:ascii="仿宋_GB2312" w:eastAsia="仿宋_GB2312"/>
        </w:rPr>
      </w:pPr>
      <w:r>
        <w:rPr>
          <w:rFonts w:hint="eastAsia" w:ascii="仿宋_GB2312" w:eastAsia="仿宋_GB2312"/>
        </w:rPr>
        <w:t>1.承包</w:t>
      </w:r>
      <w:r>
        <w:rPr>
          <w:rFonts w:ascii="仿宋_GB2312" w:eastAsia="仿宋_GB2312"/>
        </w:rPr>
        <w:t>方必须执行安全技术交底制度，并做好跟踪检查管理工作。</w:t>
      </w:r>
      <w:r>
        <w:rPr>
          <w:rFonts w:ascii="仿宋_GB2312" w:eastAsia="仿宋_GB2312"/>
        </w:rPr>
        <w:br w:type="textWrapping"/>
      </w:r>
      <w:r>
        <w:rPr>
          <w:rFonts w:hint="eastAsia" w:ascii="仿宋_GB2312" w:eastAsia="仿宋_GB2312"/>
        </w:rPr>
        <w:t>2.承</w:t>
      </w:r>
      <w:r>
        <w:rPr>
          <w:rFonts w:ascii="仿宋_GB2312" w:eastAsia="仿宋_GB2312"/>
        </w:rPr>
        <w:t>包方必须执行各级安全教育培训以及持证上岗制度；</w:t>
      </w:r>
      <w:r>
        <w:rPr>
          <w:rFonts w:ascii="仿宋_GB2312" w:eastAsia="仿宋_GB2312"/>
        </w:rPr>
        <w:br w:type="textWrapping"/>
      </w:r>
      <w:r>
        <w:rPr>
          <w:rFonts w:hint="eastAsia" w:ascii="仿宋_GB2312" w:eastAsia="仿宋_GB2312"/>
        </w:rPr>
        <w:t>3.承包</w:t>
      </w:r>
      <w:r>
        <w:rPr>
          <w:rFonts w:ascii="仿宋_GB2312" w:eastAsia="仿宋_GB2312"/>
        </w:rPr>
        <w:t>方工人入场一律接受三级安全教育，考试合格并取得“安全生产考核证”后方准进入现场施工</w:t>
      </w:r>
      <w:r>
        <w:rPr>
          <w:rFonts w:hint="eastAsia" w:ascii="仿宋_GB2312" w:eastAsia="仿宋_GB2312"/>
        </w:rPr>
        <w:t>。</w:t>
      </w:r>
      <w:r>
        <w:rPr>
          <w:rFonts w:ascii="仿宋_GB2312" w:eastAsia="仿宋_GB2312"/>
        </w:rPr>
        <w:br w:type="textWrapping"/>
      </w:r>
      <w:r>
        <w:rPr>
          <w:rFonts w:hint="eastAsia" w:ascii="仿宋_GB2312" w:eastAsia="仿宋_GB2312"/>
        </w:rPr>
        <w:t>4.承</w:t>
      </w:r>
      <w:r>
        <w:rPr>
          <w:rFonts w:ascii="仿宋_GB2312" w:eastAsia="仿宋_GB2312"/>
        </w:rPr>
        <w:t>包方必须虚心接受</w:t>
      </w:r>
      <w:r>
        <w:rPr>
          <w:rFonts w:hint="eastAsia" w:ascii="仿宋_GB2312" w:eastAsia="仿宋_GB2312"/>
        </w:rPr>
        <w:t>甲</w:t>
      </w:r>
      <w:r>
        <w:rPr>
          <w:rFonts w:ascii="仿宋_GB2312" w:eastAsia="仿宋_GB2312"/>
        </w:rPr>
        <w:t>方以及其上级主管部门和各级政府、各行业主管部门的安全生产检查，否则造成的罚款等损失均由</w:t>
      </w:r>
      <w:r>
        <w:rPr>
          <w:rFonts w:hint="eastAsia" w:ascii="仿宋_GB2312" w:eastAsia="仿宋_GB2312"/>
        </w:rPr>
        <w:t>承</w:t>
      </w:r>
      <w:r>
        <w:rPr>
          <w:rFonts w:ascii="仿宋_GB2312" w:eastAsia="仿宋_GB2312"/>
        </w:rPr>
        <w:t>包方承担；</w:t>
      </w:r>
      <w:r>
        <w:rPr>
          <w:rFonts w:ascii="仿宋_GB2312" w:eastAsia="仿宋_GB2312"/>
        </w:rPr>
        <w:br w:type="textWrapping"/>
      </w:r>
      <w:r>
        <w:rPr>
          <w:rFonts w:hint="eastAsia" w:ascii="仿宋_GB2312" w:eastAsia="仿宋_GB2312"/>
        </w:rPr>
        <w:t>5.承包</w:t>
      </w:r>
      <w:r>
        <w:rPr>
          <w:rFonts w:ascii="仿宋_GB2312" w:eastAsia="仿宋_GB2312"/>
        </w:rPr>
        <w:t>方必须设立专职安全人员实施日常安全生产检查制度及工长、班长跟班检查制度和班组自检制度。</w:t>
      </w:r>
    </w:p>
    <w:p>
      <w:pPr>
        <w:pStyle w:val="16"/>
        <w:shd w:val="clear" w:color="auto" w:fill="FFFFFF"/>
        <w:tabs>
          <w:tab w:val="left" w:pos="0"/>
          <w:tab w:val="clear" w:pos="916"/>
        </w:tabs>
        <w:wordWrap w:val="0"/>
        <w:spacing w:line="360" w:lineRule="atLeast"/>
        <w:rPr>
          <w:rFonts w:hint="eastAsia" w:ascii="仿宋_GB2312" w:eastAsia="仿宋_GB2312"/>
        </w:rPr>
      </w:pPr>
      <w:r>
        <w:rPr>
          <w:rFonts w:ascii="仿宋_GB2312" w:eastAsia="仿宋_GB2312"/>
        </w:rPr>
        <w:t>三、消防保卫工作要求：</w:t>
      </w:r>
      <w:r>
        <w:rPr>
          <w:rFonts w:ascii="仿宋_GB2312" w:eastAsia="仿宋_GB2312"/>
        </w:rPr>
        <w:br w:type="textWrapping"/>
      </w:r>
      <w:r>
        <w:rPr>
          <w:rFonts w:ascii="仿宋_GB2312" w:eastAsia="仿宋_GB2312"/>
        </w:rPr>
        <w:t>1、必须认真遵守国家的有关法律、法规及建设部和当地政府、建委颁发的有关治安、消防、交通安全管理规定及条例</w:t>
      </w:r>
      <w:r>
        <w:rPr>
          <w:rFonts w:hint="eastAsia" w:ascii="仿宋_GB2312" w:eastAsia="仿宋_GB2312"/>
        </w:rPr>
        <w:t>。</w:t>
      </w:r>
    </w:p>
    <w:p>
      <w:pPr>
        <w:pStyle w:val="16"/>
        <w:shd w:val="clear" w:color="auto" w:fill="FFFFFF"/>
        <w:tabs>
          <w:tab w:val="left" w:pos="0"/>
          <w:tab w:val="clear" w:pos="916"/>
        </w:tabs>
        <w:wordWrap w:val="0"/>
        <w:spacing w:line="360" w:lineRule="atLeast"/>
      </w:pPr>
      <w:r>
        <w:rPr>
          <w:rFonts w:ascii="仿宋_GB2312" w:eastAsia="仿宋_GB2312"/>
        </w:rPr>
        <w:t xml:space="preserve"> 2、须配备至少一名专（兼）职消防保卫管理人员，负责本单位的消防保卫工作；</w:t>
      </w:r>
      <w:r>
        <w:rPr>
          <w:rFonts w:ascii="仿宋_GB2312" w:eastAsia="仿宋_GB2312"/>
        </w:rPr>
        <w:br w:type="textWrapping"/>
      </w:r>
      <w:r>
        <w:rPr>
          <w:rFonts w:hint="eastAsia" w:ascii="仿宋_GB2312" w:eastAsia="仿宋_GB2312"/>
        </w:rPr>
        <w:t>承包</w:t>
      </w:r>
      <w:r>
        <w:rPr>
          <w:rFonts w:ascii="仿宋_GB2312" w:eastAsia="仿宋_GB2312"/>
        </w:rPr>
        <w:t>方管理以及自身防范措施不利或</w:t>
      </w:r>
      <w:r>
        <w:rPr>
          <w:rFonts w:hint="eastAsia" w:ascii="仿宋_GB2312" w:eastAsia="仿宋_GB2312"/>
        </w:rPr>
        <w:t>承包</w:t>
      </w:r>
      <w:r>
        <w:rPr>
          <w:rFonts w:ascii="仿宋_GB2312" w:eastAsia="仿宋_GB2312"/>
        </w:rPr>
        <w:t>方工人责任造成的案件、火灾、交通事故（含施工现场内）等灾害事故，事故经济责任、事故法律责任以及事故的善后处理均由</w:t>
      </w:r>
      <w:r>
        <w:rPr>
          <w:rFonts w:hint="eastAsia" w:ascii="仿宋_GB2312" w:eastAsia="仿宋_GB2312"/>
        </w:rPr>
        <w:t>承包方</w:t>
      </w:r>
      <w:r>
        <w:rPr>
          <w:rFonts w:ascii="仿宋_GB2312" w:eastAsia="仿宋_GB2312"/>
        </w:rPr>
        <w:t>独自承担，因此给</w:t>
      </w:r>
      <w:r>
        <w:rPr>
          <w:rFonts w:hint="eastAsia" w:ascii="仿宋_GB2312" w:eastAsia="仿宋_GB2312"/>
        </w:rPr>
        <w:t>甲方</w:t>
      </w:r>
      <w:r>
        <w:rPr>
          <w:rFonts w:ascii="仿宋_GB2312" w:eastAsia="仿宋_GB2312"/>
        </w:rPr>
        <w:t>造成的经济损失由</w:t>
      </w:r>
      <w:r>
        <w:rPr>
          <w:rFonts w:hint="eastAsia" w:ascii="仿宋_GB2312" w:eastAsia="仿宋_GB2312"/>
        </w:rPr>
        <w:t>承包</w:t>
      </w:r>
      <w:r>
        <w:rPr>
          <w:rFonts w:ascii="仿宋_GB2312" w:eastAsia="仿宋_GB2312"/>
        </w:rPr>
        <w:t>方负责赔偿，</w:t>
      </w:r>
      <w:r>
        <w:rPr>
          <w:rFonts w:hint="eastAsia" w:ascii="仿宋_GB2312" w:eastAsia="仿宋_GB2312"/>
        </w:rPr>
        <w:t>甲</w:t>
      </w:r>
      <w:r>
        <w:rPr>
          <w:rFonts w:ascii="仿宋_GB2312" w:eastAsia="仿宋_GB2312"/>
        </w:rPr>
        <w:t>方可对其处罚。</w:t>
      </w:r>
      <w:r>
        <w:rPr>
          <w:rFonts w:ascii="仿宋_GB2312" w:eastAsia="仿宋_GB2312"/>
        </w:rPr>
        <w:br w:type="textWrapping"/>
      </w:r>
      <w:r>
        <w:rPr>
          <w:rFonts w:ascii="仿宋_GB2312" w:eastAsia="仿宋_GB2312"/>
        </w:rPr>
        <w:t>四、现场文明施工及其人员行为的管理：</w:t>
      </w:r>
      <w:r>
        <w:rPr>
          <w:rFonts w:ascii="仿宋_GB2312" w:eastAsia="仿宋_GB2312"/>
        </w:rPr>
        <w:br w:type="textWrapping"/>
      </w:r>
      <w:r>
        <w:rPr>
          <w:rFonts w:ascii="仿宋_GB2312" w:eastAsia="仿宋_GB2312"/>
        </w:rPr>
        <w:t>1、</w:t>
      </w:r>
      <w:r>
        <w:rPr>
          <w:rFonts w:hint="eastAsia" w:ascii="仿宋_GB2312" w:eastAsia="仿宋_GB2312"/>
        </w:rPr>
        <w:t>承包方</w:t>
      </w:r>
      <w:r>
        <w:rPr>
          <w:rFonts w:ascii="仿宋_GB2312" w:eastAsia="仿宋_GB2312"/>
        </w:rPr>
        <w:t>必须遵守现场安全文明施工的各项管理规定</w:t>
      </w:r>
      <w:r>
        <w:rPr>
          <w:rFonts w:hint="eastAsia" w:ascii="仿宋_GB2312" w:eastAsia="仿宋_GB2312"/>
        </w:rPr>
        <w:t>，</w:t>
      </w:r>
      <w:r>
        <w:rPr>
          <w:rFonts w:ascii="仿宋_GB2312" w:eastAsia="仿宋_GB2312"/>
        </w:rPr>
        <w:t>在施工过程中，对其全体员工的服饰、安全帽等进行统一管理；</w:t>
      </w:r>
      <w:r>
        <w:rPr>
          <w:rFonts w:ascii="仿宋_GB2312" w:eastAsia="仿宋_GB2312"/>
        </w:rPr>
        <w:br w:type="textWrapping"/>
      </w:r>
      <w:r>
        <w:rPr>
          <w:rFonts w:ascii="仿宋_GB2312" w:eastAsia="仿宋_GB2312"/>
        </w:rPr>
        <w:t>2、</w:t>
      </w:r>
      <w:r>
        <w:rPr>
          <w:rFonts w:hint="eastAsia" w:ascii="仿宋_GB2312" w:eastAsia="仿宋_GB2312"/>
        </w:rPr>
        <w:t>承包</w:t>
      </w:r>
      <w:r>
        <w:rPr>
          <w:rFonts w:ascii="仿宋_GB2312" w:eastAsia="仿宋_GB2312"/>
        </w:rPr>
        <w:t>方应采取一切合理的措施，防止其劳务人员发生任何违法或妨碍治安的行为，保持安定局面并且保护工程周围人员和财产不受上述行为的危害，否则由此造成的一切损失和费用均由承包方自己负责；</w:t>
      </w:r>
      <w:r>
        <w:rPr>
          <w:rFonts w:ascii="仿宋_GB2312" w:eastAsia="仿宋_GB2312"/>
        </w:rPr>
        <w:br w:type="textWrapping"/>
      </w:r>
      <w:r>
        <w:rPr>
          <w:rFonts w:ascii="仿宋_GB2312" w:eastAsia="仿宋_GB2312"/>
        </w:rPr>
        <w:t>3、承包方应按照总包方要求建立全工地有关文明安全施工、消防保卫、环保卫生、料具管理和环境保护等方面的各项管理规章制度，同时必须按照要求，采取有效的防扰民、防噪声、防空气污染、防道路遗洒和垃圾清运等措施；</w:t>
      </w:r>
      <w:r>
        <w:rPr>
          <w:rFonts w:ascii="仿宋_GB2312" w:eastAsia="仿宋_GB2312"/>
        </w:rPr>
        <w:br w:type="textWrapping"/>
      </w:r>
      <w:r>
        <w:rPr>
          <w:rFonts w:ascii="仿宋_GB2312" w:eastAsia="仿宋_GB2312"/>
        </w:rPr>
        <w:t>4、承包方必须严格执行保安制度、门卫管理制度，工人和管理人员要举止文明、行为规范、遵章守纪、对人有礼貌，切忌上班喝酒、寻衅闹事；</w:t>
      </w:r>
      <w:r>
        <w:rPr>
          <w:rFonts w:ascii="仿宋_GB2312" w:eastAsia="仿宋_GB2312"/>
        </w:rPr>
        <w:br w:type="textWrapping"/>
      </w:r>
      <w:r>
        <w:rPr>
          <w:rFonts w:ascii="仿宋_GB2312" w:eastAsia="仿宋_GB2312"/>
        </w:rPr>
        <w:t>5、承包方在施工现场应按照国家、地方政府及行业管理部门有关规定，配置相应数量的专职安全管理人员，专门负责施工现场安全生产的监督、检查以及因工伤亡事故处理工作，承包方应赋予安全管理人员相应的权利，坚决贯彻“安全第一、预防为主”的方针；</w:t>
      </w:r>
      <w:r>
        <w:rPr>
          <w:rFonts w:ascii="仿宋_GB2312" w:eastAsia="仿宋_GB2312"/>
        </w:rPr>
        <w:br w:type="textWrapping"/>
      </w:r>
      <w:r>
        <w:rPr>
          <w:rFonts w:ascii="仿宋_GB2312" w:eastAsia="仿宋_GB2312"/>
        </w:rPr>
        <w:t>6、承包方应严格执行国家的法律法规，采取适当的预防措施，以保证其劳务人员的安全、卫生、健康，在整个合同期间，自始自终在工人所在的施工现场和住所，配有医务人员、紧急抢救人员和设备，并且采取适当的措施以预防传染病，并提供应有的福利以及卫生条件；</w:t>
      </w:r>
      <w:r>
        <w:rPr>
          <w:rFonts w:ascii="仿宋_GB2312" w:eastAsia="仿宋_GB2312"/>
        </w:rPr>
        <w:br w:type="textWrapping"/>
      </w:r>
      <w:r>
        <w:rPr>
          <w:rFonts w:ascii="仿宋_GB2312" w:eastAsia="仿宋_GB2312"/>
        </w:rPr>
        <w:t>五、争议的处理</w:t>
      </w:r>
      <w:r>
        <w:rPr>
          <w:rFonts w:ascii="仿宋_GB2312" w:eastAsia="仿宋_GB2312"/>
        </w:rPr>
        <w:br w:type="textWrapping"/>
      </w:r>
      <w:r>
        <w:rPr>
          <w:rFonts w:ascii="仿宋_GB2312" w:eastAsia="仿宋_GB2312"/>
        </w:rPr>
        <w:t>当合约双方发生争议时，可以通过协商解决或申请施工合同管理机构有关部门调解，不愿通过调解或调解不成的可以向当地人民法院起诉。</w:t>
      </w:r>
      <w:r>
        <w:rPr>
          <w:rFonts w:ascii="仿宋_GB2312" w:eastAsia="仿宋_GB2312"/>
        </w:rPr>
        <w:br w:type="textWrapping"/>
      </w:r>
      <w:r>
        <w:rPr>
          <w:rFonts w:ascii="仿宋_GB2312" w:eastAsia="仿宋_GB2312"/>
        </w:rPr>
        <w:t>六、其他补充条款</w:t>
      </w:r>
      <w:r>
        <w:rPr>
          <w:rFonts w:ascii="仿宋_GB2312" w:eastAsia="仿宋_GB2312"/>
        </w:rPr>
        <w:br w:type="textWrapping"/>
      </w:r>
      <w:r>
        <w:rPr>
          <w:rFonts w:ascii="仿宋_GB2312" w:eastAsia="仿宋_GB2312"/>
        </w:rPr>
        <w:t>七、合约书的份数</w:t>
      </w:r>
      <w:r>
        <w:rPr>
          <w:rFonts w:ascii="仿宋_GB2312" w:eastAsia="仿宋_GB2312"/>
        </w:rPr>
        <w:br w:type="textWrapping"/>
      </w:r>
      <w:r>
        <w:rPr>
          <w:rFonts w:ascii="仿宋_GB2312" w:eastAsia="仿宋_GB2312"/>
        </w:rPr>
        <w:t>本合约书正本一式两份，具有同等效力，由双方各持一份。</w:t>
      </w:r>
      <w:r>
        <w:rPr>
          <w:rFonts w:ascii="仿宋_GB2312" w:eastAsia="仿宋_GB2312"/>
        </w:rPr>
        <w:br w:type="textWrapping"/>
      </w:r>
      <w:r>
        <w:rPr>
          <w:rFonts w:ascii="仿宋_GB2312" w:eastAsia="仿宋_GB2312"/>
        </w:rPr>
        <w:t>本合约书副本一式两份，由双方各持一份。</w:t>
      </w:r>
      <w:r>
        <w:rPr>
          <w:rFonts w:ascii="仿宋_GB2312" w:eastAsia="仿宋_GB2312"/>
        </w:rPr>
        <w:br w:type="textWrapping"/>
      </w:r>
      <w:r>
        <w:rPr>
          <w:rFonts w:ascii="仿宋_GB2312" w:eastAsia="仿宋_GB2312"/>
        </w:rPr>
        <w:t>八、有效期</w:t>
      </w:r>
      <w:r>
        <w:rPr>
          <w:rFonts w:ascii="仿宋_GB2312" w:eastAsia="仿宋_GB2312"/>
        </w:rPr>
        <w:br w:type="textWrapping"/>
      </w:r>
      <w:r>
        <w:rPr>
          <w:rFonts w:ascii="仿宋_GB2312" w:eastAsia="仿宋_GB2312"/>
        </w:rPr>
        <w:t>自 </w:t>
      </w:r>
      <w:r>
        <w:rPr>
          <w:rFonts w:hint="eastAsia" w:ascii="仿宋_GB2312" w:eastAsia="仿宋_GB2312"/>
        </w:rPr>
        <w:t>2022</w:t>
      </w:r>
      <w:r>
        <w:rPr>
          <w:rFonts w:ascii="仿宋_GB2312" w:eastAsia="仿宋_GB2312"/>
        </w:rPr>
        <w:t>年 月</w:t>
      </w:r>
      <w:r>
        <w:rPr>
          <w:rFonts w:hint="eastAsia" w:ascii="仿宋_GB2312" w:eastAsia="仿宋_GB2312"/>
        </w:rPr>
        <w:t xml:space="preserve">   </w:t>
      </w:r>
      <w:r>
        <w:rPr>
          <w:rFonts w:ascii="仿宋_GB2312" w:eastAsia="仿宋_GB2312"/>
        </w:rPr>
        <w:t>日生效至合同书的截止期同时截止</w:t>
      </w:r>
    </w:p>
    <w:p>
      <w:pPr>
        <w:pStyle w:val="16"/>
        <w:shd w:val="clear" w:color="auto" w:fill="FFFFFF"/>
        <w:wordWrap w:val="0"/>
        <w:spacing w:line="360" w:lineRule="atLeast"/>
      </w:pPr>
      <w:r>
        <w:br w:type="textWrapping"/>
      </w:r>
      <w:r>
        <w:rPr>
          <w:rFonts w:ascii="仿宋_GB2312" w:eastAsia="仿宋_GB2312"/>
        </w:rPr>
        <w:t>     </w:t>
      </w:r>
      <w:r>
        <w:rPr>
          <w:rFonts w:hint="eastAsia" w:ascii="仿宋_GB2312" w:eastAsia="仿宋_GB2312"/>
        </w:rPr>
        <w:t xml:space="preserve">甲    </w:t>
      </w:r>
      <w:r>
        <w:rPr>
          <w:rFonts w:ascii="仿宋_GB2312" w:eastAsia="仿宋_GB2312"/>
        </w:rPr>
        <w:t>方：           </w:t>
      </w:r>
      <w:r>
        <w:rPr>
          <w:rFonts w:hint="eastAsia" w:ascii="仿宋_GB2312" w:eastAsia="仿宋_GB2312"/>
        </w:rPr>
        <w:t>乙    方</w:t>
      </w:r>
      <w:r>
        <w:rPr>
          <w:rFonts w:ascii="仿宋_GB2312" w:eastAsia="仿宋_GB2312"/>
        </w:rPr>
        <w:t>：</w:t>
      </w:r>
      <w:r>
        <w:rPr>
          <w:rFonts w:ascii="仿宋_GB2312" w:eastAsia="仿宋_GB2312"/>
        </w:rPr>
        <w:br w:type="textWrapping"/>
      </w:r>
      <w:r>
        <w:rPr>
          <w:rFonts w:ascii="仿宋_GB2312" w:eastAsia="仿宋_GB2312"/>
        </w:rPr>
        <w:t>    </w:t>
      </w:r>
      <w:r>
        <w:rPr>
          <w:rFonts w:hint="eastAsia" w:ascii="仿宋_GB2312" w:eastAsia="仿宋_GB2312"/>
        </w:rPr>
        <w:t xml:space="preserve"> </w:t>
      </w:r>
      <w:r>
        <w:rPr>
          <w:rFonts w:ascii="仿宋_GB2312" w:eastAsia="仿宋_GB2312"/>
        </w:rPr>
        <w:t>委托代理人：          </w:t>
      </w:r>
      <w:r>
        <w:rPr>
          <w:rFonts w:hint="eastAsia" w:ascii="仿宋_GB2312" w:eastAsia="仿宋_GB2312"/>
        </w:rPr>
        <w:t xml:space="preserve"> </w:t>
      </w:r>
      <w:r>
        <w:rPr>
          <w:rFonts w:ascii="仿宋_GB2312" w:eastAsia="仿宋_GB2312"/>
        </w:rPr>
        <w:t xml:space="preserve">委托代理人： </w:t>
      </w:r>
    </w:p>
    <w:p>
      <w:pPr>
        <w:shd w:val="clear" w:color="auto" w:fill="FFFFFF"/>
        <w:rPr>
          <w:sz w:val="24"/>
        </w:rPr>
      </w:pPr>
    </w:p>
    <w:p>
      <w:pPr>
        <w:shd w:val="clear" w:color="auto" w:fill="FFFFFF"/>
        <w:rPr>
          <w:rFonts w:hint="eastAsia"/>
          <w:sz w:val="24"/>
        </w:rPr>
      </w:pPr>
      <w:r>
        <w:rPr>
          <w:rFonts w:hint="eastAsia"/>
          <w:sz w:val="24"/>
        </w:rPr>
        <w:t xml:space="preserve">                                        2022年   月 日</w:t>
      </w:r>
    </w:p>
    <w:p>
      <w:pPr>
        <w:rPr>
          <w:rFonts w:hint="eastAsia"/>
          <w:szCs w:val="21"/>
        </w:rPr>
      </w:pPr>
    </w:p>
    <w:p>
      <w:pPr>
        <w:pStyle w:val="2"/>
      </w:pPr>
    </w:p>
    <w:p>
      <w:pPr>
        <w:pStyle w:val="37"/>
        <w:spacing w:before="0"/>
        <w:jc w:val="both"/>
        <w:outlineLvl w:val="0"/>
      </w:pPr>
    </w:p>
    <w:sectPr>
      <w:footerReference r:id="rId11" w:type="default"/>
      <w:footerReference r:id="rId12"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TimesNewRomanPSMT">
    <w:altName w:val="Times New Roman"/>
    <w:panose1 w:val="00000000000000000000"/>
    <w:charset w:val="00"/>
    <w:family w:val="roman"/>
    <w:pitch w:val="default"/>
    <w:sig w:usb0="00000000"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宋体e眠副浡渀.">
    <w:altName w:val="宋体"/>
    <w:panose1 w:val="00000000000000000000"/>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20</w:t>
    </w:r>
    <w:r>
      <w:rPr>
        <w:rStyle w:val="21"/>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32</w:t>
    </w:r>
    <w:r>
      <w:rPr>
        <w:rStyle w:val="21"/>
      </w:rPr>
      <w:fldChar w:fldCharType="end"/>
    </w:r>
  </w:p>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28A81"/>
    <w:multiLevelType w:val="singleLevel"/>
    <w:tmpl w:val="21728A81"/>
    <w:lvl w:ilvl="0" w:tentative="0">
      <w:start w:val="9"/>
      <w:numFmt w:val="chineseCounting"/>
      <w:suff w:val="nothing"/>
      <w:lvlText w:val="%1、"/>
      <w:lvlJc w:val="left"/>
      <w:rPr>
        <w:rFonts w:hint="eastAsia"/>
      </w:rPr>
    </w:lvl>
  </w:abstractNum>
  <w:abstractNum w:abstractNumId="1">
    <w:nsid w:val="3EEC3740"/>
    <w:multiLevelType w:val="multilevel"/>
    <w:tmpl w:val="3EEC3740"/>
    <w:lvl w:ilvl="0" w:tentative="0">
      <w:start w:val="1"/>
      <w:numFmt w:val="japaneseCounting"/>
      <w:lvlText w:val="（%1）"/>
      <w:lvlJc w:val="left"/>
      <w:pPr>
        <w:ind w:left="1035" w:hanging="10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578F02"/>
    <w:multiLevelType w:val="singleLevel"/>
    <w:tmpl w:val="58578F02"/>
    <w:lvl w:ilvl="0" w:tentative="0">
      <w:start w:val="1"/>
      <w:numFmt w:val="decimal"/>
      <w:suff w:val="nothing"/>
      <w:lvlText w:val="%1、"/>
      <w:lvlJc w:val="left"/>
      <w:rPr>
        <w:rFonts w:cs="Times New Roman"/>
      </w:rPr>
    </w:lvl>
  </w:abstractNum>
  <w:abstractNum w:abstractNumId="3">
    <w:nsid w:val="5858E57E"/>
    <w:multiLevelType w:val="singleLevel"/>
    <w:tmpl w:val="5858E57E"/>
    <w:lvl w:ilvl="0" w:tentative="0">
      <w:start w:val="2"/>
      <w:numFmt w:val="decimal"/>
      <w:suff w:val="nothing"/>
      <w:lvlText w:val="（%1）"/>
      <w:lvlJc w:val="left"/>
      <w:rPr>
        <w:rFonts w:cs="Times New Roman"/>
      </w:rPr>
    </w:lvl>
  </w:abstractNum>
  <w:abstractNum w:abstractNumId="4">
    <w:nsid w:val="587232BC"/>
    <w:multiLevelType w:val="singleLevel"/>
    <w:tmpl w:val="587232BC"/>
    <w:lvl w:ilvl="0" w:tentative="0">
      <w:start w:val="1"/>
      <w:numFmt w:val="decimal"/>
      <w:suff w:val="nothing"/>
      <w:lvlText w:val="%1."/>
      <w:lvlJc w:val="left"/>
      <w:rPr>
        <w:rFonts w:cs="Times New Roman"/>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doNotDisplayPageBoundaries w:val="1"/>
  <w:embedSystemFonts/>
  <w:bordersDoNotSurroundHeader w:val="1"/>
  <w:bordersDoNotSurroundFooter w:val="1"/>
  <w:hideSpellingError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Q3ODNlNDliZTAwNDU2Y2MxZmExZTdlNGY4MWQyOTkifQ=="/>
  </w:docVars>
  <w:rsids>
    <w:rsidRoot w:val="446F6F73"/>
    <w:rsid w:val="0000036A"/>
    <w:rsid w:val="00006598"/>
    <w:rsid w:val="0001665A"/>
    <w:rsid w:val="0001781E"/>
    <w:rsid w:val="00020033"/>
    <w:rsid w:val="00021F3C"/>
    <w:rsid w:val="00024AAD"/>
    <w:rsid w:val="00027A30"/>
    <w:rsid w:val="00030CE9"/>
    <w:rsid w:val="000330D7"/>
    <w:rsid w:val="000476F6"/>
    <w:rsid w:val="00047904"/>
    <w:rsid w:val="0006079C"/>
    <w:rsid w:val="000608C5"/>
    <w:rsid w:val="00061731"/>
    <w:rsid w:val="00062F71"/>
    <w:rsid w:val="00065AD3"/>
    <w:rsid w:val="00074989"/>
    <w:rsid w:val="000760C6"/>
    <w:rsid w:val="00083D29"/>
    <w:rsid w:val="00087CFC"/>
    <w:rsid w:val="0009519B"/>
    <w:rsid w:val="00095621"/>
    <w:rsid w:val="00097483"/>
    <w:rsid w:val="000A117E"/>
    <w:rsid w:val="000A3ADF"/>
    <w:rsid w:val="000A4FE5"/>
    <w:rsid w:val="000B2E59"/>
    <w:rsid w:val="000B5EAF"/>
    <w:rsid w:val="000B7D43"/>
    <w:rsid w:val="000C06A0"/>
    <w:rsid w:val="000C1B43"/>
    <w:rsid w:val="000D1170"/>
    <w:rsid w:val="000F3721"/>
    <w:rsid w:val="000F6522"/>
    <w:rsid w:val="000F726A"/>
    <w:rsid w:val="00101389"/>
    <w:rsid w:val="0010285A"/>
    <w:rsid w:val="001048D7"/>
    <w:rsid w:val="00112A0D"/>
    <w:rsid w:val="00114458"/>
    <w:rsid w:val="001204BD"/>
    <w:rsid w:val="00122321"/>
    <w:rsid w:val="001228A6"/>
    <w:rsid w:val="00123BBC"/>
    <w:rsid w:val="0012651F"/>
    <w:rsid w:val="00133F65"/>
    <w:rsid w:val="00136B80"/>
    <w:rsid w:val="0014760D"/>
    <w:rsid w:val="00153AE8"/>
    <w:rsid w:val="0016123B"/>
    <w:rsid w:val="0017661E"/>
    <w:rsid w:val="00176777"/>
    <w:rsid w:val="001802F4"/>
    <w:rsid w:val="00180453"/>
    <w:rsid w:val="001865A3"/>
    <w:rsid w:val="0019001E"/>
    <w:rsid w:val="001C0805"/>
    <w:rsid w:val="001C2811"/>
    <w:rsid w:val="001C3D2E"/>
    <w:rsid w:val="001C4072"/>
    <w:rsid w:val="001D044D"/>
    <w:rsid w:val="00201F82"/>
    <w:rsid w:val="00204946"/>
    <w:rsid w:val="0020525F"/>
    <w:rsid w:val="00206014"/>
    <w:rsid w:val="0021771C"/>
    <w:rsid w:val="00225A3E"/>
    <w:rsid w:val="00226033"/>
    <w:rsid w:val="00233F41"/>
    <w:rsid w:val="002436CA"/>
    <w:rsid w:val="0025415D"/>
    <w:rsid w:val="002568CE"/>
    <w:rsid w:val="00256B8B"/>
    <w:rsid w:val="00257F31"/>
    <w:rsid w:val="00261F91"/>
    <w:rsid w:val="00264BAB"/>
    <w:rsid w:val="00272873"/>
    <w:rsid w:val="002819D5"/>
    <w:rsid w:val="00282CC6"/>
    <w:rsid w:val="00285BE9"/>
    <w:rsid w:val="00290425"/>
    <w:rsid w:val="002A1FEC"/>
    <w:rsid w:val="002B17D0"/>
    <w:rsid w:val="002C1D10"/>
    <w:rsid w:val="002C3F00"/>
    <w:rsid w:val="002C4317"/>
    <w:rsid w:val="002D24B5"/>
    <w:rsid w:val="002D3002"/>
    <w:rsid w:val="002D32A8"/>
    <w:rsid w:val="002E6DE0"/>
    <w:rsid w:val="002E7D05"/>
    <w:rsid w:val="002F1116"/>
    <w:rsid w:val="002F1123"/>
    <w:rsid w:val="002F3B9E"/>
    <w:rsid w:val="002F4B09"/>
    <w:rsid w:val="002F7B50"/>
    <w:rsid w:val="00302497"/>
    <w:rsid w:val="00305037"/>
    <w:rsid w:val="00307171"/>
    <w:rsid w:val="00312ED5"/>
    <w:rsid w:val="00316C8E"/>
    <w:rsid w:val="00321406"/>
    <w:rsid w:val="00321495"/>
    <w:rsid w:val="00332DE1"/>
    <w:rsid w:val="00334E78"/>
    <w:rsid w:val="0034288C"/>
    <w:rsid w:val="003450C0"/>
    <w:rsid w:val="00351379"/>
    <w:rsid w:val="00351B56"/>
    <w:rsid w:val="00356680"/>
    <w:rsid w:val="00357E46"/>
    <w:rsid w:val="00360D38"/>
    <w:rsid w:val="003621AA"/>
    <w:rsid w:val="00370C7B"/>
    <w:rsid w:val="00373798"/>
    <w:rsid w:val="00374C2F"/>
    <w:rsid w:val="00377750"/>
    <w:rsid w:val="00377752"/>
    <w:rsid w:val="003807B6"/>
    <w:rsid w:val="003874A2"/>
    <w:rsid w:val="00391822"/>
    <w:rsid w:val="0039333D"/>
    <w:rsid w:val="003936A1"/>
    <w:rsid w:val="00394E41"/>
    <w:rsid w:val="003A2DFC"/>
    <w:rsid w:val="003A3239"/>
    <w:rsid w:val="003A3EE3"/>
    <w:rsid w:val="003A7724"/>
    <w:rsid w:val="003B4943"/>
    <w:rsid w:val="003B759F"/>
    <w:rsid w:val="003C1923"/>
    <w:rsid w:val="003C2FCE"/>
    <w:rsid w:val="003C5142"/>
    <w:rsid w:val="003D3D38"/>
    <w:rsid w:val="003D704A"/>
    <w:rsid w:val="003E1B26"/>
    <w:rsid w:val="003E21B0"/>
    <w:rsid w:val="003F017D"/>
    <w:rsid w:val="003F0B1E"/>
    <w:rsid w:val="003F5887"/>
    <w:rsid w:val="003F7FAC"/>
    <w:rsid w:val="00400281"/>
    <w:rsid w:val="00400D1B"/>
    <w:rsid w:val="00401300"/>
    <w:rsid w:val="00406F6E"/>
    <w:rsid w:val="004129B0"/>
    <w:rsid w:val="00447878"/>
    <w:rsid w:val="00467D07"/>
    <w:rsid w:val="0047599F"/>
    <w:rsid w:val="00484ACD"/>
    <w:rsid w:val="004916FA"/>
    <w:rsid w:val="00495C8D"/>
    <w:rsid w:val="004A6BD5"/>
    <w:rsid w:val="004B253B"/>
    <w:rsid w:val="004B255D"/>
    <w:rsid w:val="004B33FF"/>
    <w:rsid w:val="004B37C1"/>
    <w:rsid w:val="004B4B2A"/>
    <w:rsid w:val="004B62EC"/>
    <w:rsid w:val="004B699F"/>
    <w:rsid w:val="004C6AB1"/>
    <w:rsid w:val="004D253F"/>
    <w:rsid w:val="004D26B7"/>
    <w:rsid w:val="004D291B"/>
    <w:rsid w:val="004D31AF"/>
    <w:rsid w:val="004E34E6"/>
    <w:rsid w:val="004E6D73"/>
    <w:rsid w:val="004F3D09"/>
    <w:rsid w:val="0050076D"/>
    <w:rsid w:val="00503BDC"/>
    <w:rsid w:val="005225F1"/>
    <w:rsid w:val="00523F10"/>
    <w:rsid w:val="0052414C"/>
    <w:rsid w:val="00533E6D"/>
    <w:rsid w:val="00534C17"/>
    <w:rsid w:val="00541852"/>
    <w:rsid w:val="00544607"/>
    <w:rsid w:val="00546B3D"/>
    <w:rsid w:val="005512DB"/>
    <w:rsid w:val="00551DFD"/>
    <w:rsid w:val="0056297D"/>
    <w:rsid w:val="00563DF9"/>
    <w:rsid w:val="00570F1C"/>
    <w:rsid w:val="00571616"/>
    <w:rsid w:val="00571B25"/>
    <w:rsid w:val="00574A80"/>
    <w:rsid w:val="00574B05"/>
    <w:rsid w:val="0057527A"/>
    <w:rsid w:val="005757C2"/>
    <w:rsid w:val="005769C2"/>
    <w:rsid w:val="00577350"/>
    <w:rsid w:val="005842C6"/>
    <w:rsid w:val="005862B4"/>
    <w:rsid w:val="00594DE9"/>
    <w:rsid w:val="005A145B"/>
    <w:rsid w:val="005A2F12"/>
    <w:rsid w:val="005A395A"/>
    <w:rsid w:val="005A3DBD"/>
    <w:rsid w:val="005A7C5E"/>
    <w:rsid w:val="005B0BC5"/>
    <w:rsid w:val="005B64CD"/>
    <w:rsid w:val="005C4056"/>
    <w:rsid w:val="005C4123"/>
    <w:rsid w:val="005C57E8"/>
    <w:rsid w:val="005C7CED"/>
    <w:rsid w:val="005D50D2"/>
    <w:rsid w:val="005D5845"/>
    <w:rsid w:val="005E6B1E"/>
    <w:rsid w:val="006022F1"/>
    <w:rsid w:val="00602FF5"/>
    <w:rsid w:val="00605856"/>
    <w:rsid w:val="00607098"/>
    <w:rsid w:val="006075BD"/>
    <w:rsid w:val="00625497"/>
    <w:rsid w:val="0063155F"/>
    <w:rsid w:val="00631A51"/>
    <w:rsid w:val="006458CC"/>
    <w:rsid w:val="0064693D"/>
    <w:rsid w:val="00654614"/>
    <w:rsid w:val="00654C66"/>
    <w:rsid w:val="00654CE9"/>
    <w:rsid w:val="0065568B"/>
    <w:rsid w:val="00660DBE"/>
    <w:rsid w:val="00673C2E"/>
    <w:rsid w:val="006746FF"/>
    <w:rsid w:val="006755B4"/>
    <w:rsid w:val="00677471"/>
    <w:rsid w:val="00680D9C"/>
    <w:rsid w:val="006904A7"/>
    <w:rsid w:val="00692DD7"/>
    <w:rsid w:val="0069525A"/>
    <w:rsid w:val="0069583C"/>
    <w:rsid w:val="006B127A"/>
    <w:rsid w:val="006B3D57"/>
    <w:rsid w:val="006B4B9B"/>
    <w:rsid w:val="006B7700"/>
    <w:rsid w:val="006C367B"/>
    <w:rsid w:val="006C44B1"/>
    <w:rsid w:val="006C6622"/>
    <w:rsid w:val="006C67A3"/>
    <w:rsid w:val="006D0FE9"/>
    <w:rsid w:val="006D1B7E"/>
    <w:rsid w:val="006D5098"/>
    <w:rsid w:val="006D5D9F"/>
    <w:rsid w:val="006E26C9"/>
    <w:rsid w:val="006E791C"/>
    <w:rsid w:val="006F166F"/>
    <w:rsid w:val="006F4F5F"/>
    <w:rsid w:val="00707FB2"/>
    <w:rsid w:val="0071264A"/>
    <w:rsid w:val="007134EE"/>
    <w:rsid w:val="007178EE"/>
    <w:rsid w:val="00721BD8"/>
    <w:rsid w:val="00721D1E"/>
    <w:rsid w:val="007362BB"/>
    <w:rsid w:val="007444EC"/>
    <w:rsid w:val="007449E1"/>
    <w:rsid w:val="00755061"/>
    <w:rsid w:val="00761A3D"/>
    <w:rsid w:val="007673AC"/>
    <w:rsid w:val="007709E3"/>
    <w:rsid w:val="00772BDC"/>
    <w:rsid w:val="00776707"/>
    <w:rsid w:val="007829E5"/>
    <w:rsid w:val="00785331"/>
    <w:rsid w:val="00790B57"/>
    <w:rsid w:val="007964FA"/>
    <w:rsid w:val="00797DA8"/>
    <w:rsid w:val="007B252E"/>
    <w:rsid w:val="007B33F5"/>
    <w:rsid w:val="007C6D29"/>
    <w:rsid w:val="007D0515"/>
    <w:rsid w:val="007D06F5"/>
    <w:rsid w:val="007D7312"/>
    <w:rsid w:val="007E2ADF"/>
    <w:rsid w:val="007F1298"/>
    <w:rsid w:val="007F3043"/>
    <w:rsid w:val="008022B3"/>
    <w:rsid w:val="008024A7"/>
    <w:rsid w:val="0081268D"/>
    <w:rsid w:val="00812FAE"/>
    <w:rsid w:val="00820DDA"/>
    <w:rsid w:val="00822F24"/>
    <w:rsid w:val="008257D6"/>
    <w:rsid w:val="00825C2F"/>
    <w:rsid w:val="00826E2A"/>
    <w:rsid w:val="008311D2"/>
    <w:rsid w:val="00832C27"/>
    <w:rsid w:val="008357CB"/>
    <w:rsid w:val="0084394F"/>
    <w:rsid w:val="008453C5"/>
    <w:rsid w:val="008553FB"/>
    <w:rsid w:val="00857CC8"/>
    <w:rsid w:val="00860FD2"/>
    <w:rsid w:val="00864806"/>
    <w:rsid w:val="00865EA7"/>
    <w:rsid w:val="0088606E"/>
    <w:rsid w:val="00890693"/>
    <w:rsid w:val="0089337B"/>
    <w:rsid w:val="0089434A"/>
    <w:rsid w:val="00896865"/>
    <w:rsid w:val="008B07FC"/>
    <w:rsid w:val="008B47B4"/>
    <w:rsid w:val="008C389E"/>
    <w:rsid w:val="008C5F6A"/>
    <w:rsid w:val="008C604E"/>
    <w:rsid w:val="008D143B"/>
    <w:rsid w:val="008E0CB6"/>
    <w:rsid w:val="008E4B94"/>
    <w:rsid w:val="008E5237"/>
    <w:rsid w:val="008F422D"/>
    <w:rsid w:val="008F6F20"/>
    <w:rsid w:val="008F71D9"/>
    <w:rsid w:val="00901F55"/>
    <w:rsid w:val="009048D3"/>
    <w:rsid w:val="00910902"/>
    <w:rsid w:val="00915380"/>
    <w:rsid w:val="009168CD"/>
    <w:rsid w:val="0092109A"/>
    <w:rsid w:val="009250A7"/>
    <w:rsid w:val="00926F19"/>
    <w:rsid w:val="00930D23"/>
    <w:rsid w:val="00951D63"/>
    <w:rsid w:val="00956309"/>
    <w:rsid w:val="00961325"/>
    <w:rsid w:val="00964D6B"/>
    <w:rsid w:val="00964E1F"/>
    <w:rsid w:val="00966140"/>
    <w:rsid w:val="00970AF2"/>
    <w:rsid w:val="00971CBB"/>
    <w:rsid w:val="00975F0C"/>
    <w:rsid w:val="009764D0"/>
    <w:rsid w:val="00982543"/>
    <w:rsid w:val="00985153"/>
    <w:rsid w:val="00987307"/>
    <w:rsid w:val="00987D0E"/>
    <w:rsid w:val="009938D8"/>
    <w:rsid w:val="009A3A08"/>
    <w:rsid w:val="009A4AA6"/>
    <w:rsid w:val="009A7B94"/>
    <w:rsid w:val="009B17D2"/>
    <w:rsid w:val="009C4925"/>
    <w:rsid w:val="009C5027"/>
    <w:rsid w:val="009D664E"/>
    <w:rsid w:val="009E3821"/>
    <w:rsid w:val="009F001D"/>
    <w:rsid w:val="009F4EF8"/>
    <w:rsid w:val="009F7218"/>
    <w:rsid w:val="00A10F1D"/>
    <w:rsid w:val="00A14B90"/>
    <w:rsid w:val="00A15905"/>
    <w:rsid w:val="00A226DA"/>
    <w:rsid w:val="00A22C4C"/>
    <w:rsid w:val="00A23E8C"/>
    <w:rsid w:val="00A25272"/>
    <w:rsid w:val="00A26E68"/>
    <w:rsid w:val="00A34EAB"/>
    <w:rsid w:val="00A364A0"/>
    <w:rsid w:val="00A408EB"/>
    <w:rsid w:val="00A4131B"/>
    <w:rsid w:val="00A4148E"/>
    <w:rsid w:val="00A419FA"/>
    <w:rsid w:val="00A43D41"/>
    <w:rsid w:val="00A46D69"/>
    <w:rsid w:val="00A5466E"/>
    <w:rsid w:val="00A567AE"/>
    <w:rsid w:val="00A6328A"/>
    <w:rsid w:val="00A63885"/>
    <w:rsid w:val="00A663E8"/>
    <w:rsid w:val="00A71E82"/>
    <w:rsid w:val="00A808E7"/>
    <w:rsid w:val="00A84C2D"/>
    <w:rsid w:val="00A8507A"/>
    <w:rsid w:val="00A8603C"/>
    <w:rsid w:val="00AA1D81"/>
    <w:rsid w:val="00AA4EE0"/>
    <w:rsid w:val="00AA758F"/>
    <w:rsid w:val="00AB19BE"/>
    <w:rsid w:val="00AB1D89"/>
    <w:rsid w:val="00AB5A32"/>
    <w:rsid w:val="00AC6AB0"/>
    <w:rsid w:val="00AD57E0"/>
    <w:rsid w:val="00AD701C"/>
    <w:rsid w:val="00AE1221"/>
    <w:rsid w:val="00AE7794"/>
    <w:rsid w:val="00AF3C8F"/>
    <w:rsid w:val="00B00414"/>
    <w:rsid w:val="00B05B94"/>
    <w:rsid w:val="00B06A87"/>
    <w:rsid w:val="00B07F5C"/>
    <w:rsid w:val="00B16D42"/>
    <w:rsid w:val="00B207DA"/>
    <w:rsid w:val="00B264FC"/>
    <w:rsid w:val="00B362E8"/>
    <w:rsid w:val="00B403BD"/>
    <w:rsid w:val="00B4165A"/>
    <w:rsid w:val="00B42367"/>
    <w:rsid w:val="00B62732"/>
    <w:rsid w:val="00B77DE7"/>
    <w:rsid w:val="00B8093E"/>
    <w:rsid w:val="00B84480"/>
    <w:rsid w:val="00BA2A55"/>
    <w:rsid w:val="00BA4215"/>
    <w:rsid w:val="00BC588F"/>
    <w:rsid w:val="00BD5B2D"/>
    <w:rsid w:val="00BD5EEC"/>
    <w:rsid w:val="00BD622A"/>
    <w:rsid w:val="00BE0417"/>
    <w:rsid w:val="00BF57ED"/>
    <w:rsid w:val="00C02115"/>
    <w:rsid w:val="00C05E95"/>
    <w:rsid w:val="00C07ADD"/>
    <w:rsid w:val="00C16AAB"/>
    <w:rsid w:val="00C21125"/>
    <w:rsid w:val="00C23097"/>
    <w:rsid w:val="00C33A46"/>
    <w:rsid w:val="00C36F3F"/>
    <w:rsid w:val="00C41179"/>
    <w:rsid w:val="00C413ED"/>
    <w:rsid w:val="00C53BD1"/>
    <w:rsid w:val="00C5733D"/>
    <w:rsid w:val="00C57812"/>
    <w:rsid w:val="00C73E34"/>
    <w:rsid w:val="00C75464"/>
    <w:rsid w:val="00C812A3"/>
    <w:rsid w:val="00C82B11"/>
    <w:rsid w:val="00C84EA3"/>
    <w:rsid w:val="00C96F8C"/>
    <w:rsid w:val="00CA0A6C"/>
    <w:rsid w:val="00CA1E14"/>
    <w:rsid w:val="00CA41B6"/>
    <w:rsid w:val="00CA573C"/>
    <w:rsid w:val="00CB21F9"/>
    <w:rsid w:val="00CB2A12"/>
    <w:rsid w:val="00CB5B6F"/>
    <w:rsid w:val="00CC129C"/>
    <w:rsid w:val="00CC2BFC"/>
    <w:rsid w:val="00CC3783"/>
    <w:rsid w:val="00CC7B20"/>
    <w:rsid w:val="00CD0CE6"/>
    <w:rsid w:val="00CD150B"/>
    <w:rsid w:val="00CD2819"/>
    <w:rsid w:val="00CD461F"/>
    <w:rsid w:val="00CD539A"/>
    <w:rsid w:val="00CE1738"/>
    <w:rsid w:val="00CE6B00"/>
    <w:rsid w:val="00CE6EE1"/>
    <w:rsid w:val="00CE77AA"/>
    <w:rsid w:val="00CF0910"/>
    <w:rsid w:val="00CF1B9F"/>
    <w:rsid w:val="00CF3365"/>
    <w:rsid w:val="00D0184D"/>
    <w:rsid w:val="00D029BB"/>
    <w:rsid w:val="00D054C2"/>
    <w:rsid w:val="00D10E43"/>
    <w:rsid w:val="00D21152"/>
    <w:rsid w:val="00D245E7"/>
    <w:rsid w:val="00D25D0B"/>
    <w:rsid w:val="00D33801"/>
    <w:rsid w:val="00D35706"/>
    <w:rsid w:val="00D412D0"/>
    <w:rsid w:val="00D42ED5"/>
    <w:rsid w:val="00D52A63"/>
    <w:rsid w:val="00D629BE"/>
    <w:rsid w:val="00D63741"/>
    <w:rsid w:val="00D81D2C"/>
    <w:rsid w:val="00D971E9"/>
    <w:rsid w:val="00DA0123"/>
    <w:rsid w:val="00DA0A43"/>
    <w:rsid w:val="00DA51D9"/>
    <w:rsid w:val="00DB49CB"/>
    <w:rsid w:val="00DC5A8C"/>
    <w:rsid w:val="00DE7E7D"/>
    <w:rsid w:val="00DF0B0A"/>
    <w:rsid w:val="00DF1617"/>
    <w:rsid w:val="00DF4442"/>
    <w:rsid w:val="00DF455F"/>
    <w:rsid w:val="00E220C7"/>
    <w:rsid w:val="00E2425A"/>
    <w:rsid w:val="00E276D5"/>
    <w:rsid w:val="00E33988"/>
    <w:rsid w:val="00E3571E"/>
    <w:rsid w:val="00E36007"/>
    <w:rsid w:val="00E4017E"/>
    <w:rsid w:val="00E40502"/>
    <w:rsid w:val="00E40B7A"/>
    <w:rsid w:val="00E44AE2"/>
    <w:rsid w:val="00E47F34"/>
    <w:rsid w:val="00E637AB"/>
    <w:rsid w:val="00E739DC"/>
    <w:rsid w:val="00E75749"/>
    <w:rsid w:val="00E83390"/>
    <w:rsid w:val="00E84169"/>
    <w:rsid w:val="00E8487A"/>
    <w:rsid w:val="00E96198"/>
    <w:rsid w:val="00EA003F"/>
    <w:rsid w:val="00EA1823"/>
    <w:rsid w:val="00EA4345"/>
    <w:rsid w:val="00EA604E"/>
    <w:rsid w:val="00EA710D"/>
    <w:rsid w:val="00EB3DF6"/>
    <w:rsid w:val="00EB42EF"/>
    <w:rsid w:val="00EB7853"/>
    <w:rsid w:val="00EC282C"/>
    <w:rsid w:val="00EC655D"/>
    <w:rsid w:val="00ED066C"/>
    <w:rsid w:val="00ED28CC"/>
    <w:rsid w:val="00ED34AE"/>
    <w:rsid w:val="00EE0A06"/>
    <w:rsid w:val="00EF0702"/>
    <w:rsid w:val="00EF0B9A"/>
    <w:rsid w:val="00EF6C13"/>
    <w:rsid w:val="00F04F1D"/>
    <w:rsid w:val="00F10605"/>
    <w:rsid w:val="00F12E9E"/>
    <w:rsid w:val="00F2634F"/>
    <w:rsid w:val="00F4159C"/>
    <w:rsid w:val="00F51673"/>
    <w:rsid w:val="00F5585F"/>
    <w:rsid w:val="00F75A5A"/>
    <w:rsid w:val="00F76AF4"/>
    <w:rsid w:val="00F83D05"/>
    <w:rsid w:val="00F84A38"/>
    <w:rsid w:val="00F86D9F"/>
    <w:rsid w:val="00F92D50"/>
    <w:rsid w:val="00F92F6F"/>
    <w:rsid w:val="00F94C5E"/>
    <w:rsid w:val="00F979C5"/>
    <w:rsid w:val="00F97D03"/>
    <w:rsid w:val="00FA2081"/>
    <w:rsid w:val="00FA2363"/>
    <w:rsid w:val="00FA6CA3"/>
    <w:rsid w:val="00FB59E7"/>
    <w:rsid w:val="00FB7E3B"/>
    <w:rsid w:val="00FC60B6"/>
    <w:rsid w:val="00FD61A2"/>
    <w:rsid w:val="00FE31B9"/>
    <w:rsid w:val="00FE3979"/>
    <w:rsid w:val="00FF521B"/>
    <w:rsid w:val="00FF61C8"/>
    <w:rsid w:val="010E46DA"/>
    <w:rsid w:val="014577FB"/>
    <w:rsid w:val="014B4E57"/>
    <w:rsid w:val="014C344B"/>
    <w:rsid w:val="015379B7"/>
    <w:rsid w:val="016E6EDC"/>
    <w:rsid w:val="01764982"/>
    <w:rsid w:val="017723AF"/>
    <w:rsid w:val="01AF679A"/>
    <w:rsid w:val="01C5097C"/>
    <w:rsid w:val="01D34F77"/>
    <w:rsid w:val="01D451AE"/>
    <w:rsid w:val="01E00FE0"/>
    <w:rsid w:val="01E30102"/>
    <w:rsid w:val="01F00C43"/>
    <w:rsid w:val="01F614AC"/>
    <w:rsid w:val="01F764D3"/>
    <w:rsid w:val="02054C4A"/>
    <w:rsid w:val="02155AE1"/>
    <w:rsid w:val="022B5A88"/>
    <w:rsid w:val="023D2F6C"/>
    <w:rsid w:val="0250623D"/>
    <w:rsid w:val="02544A7D"/>
    <w:rsid w:val="025E145E"/>
    <w:rsid w:val="02882158"/>
    <w:rsid w:val="0289226D"/>
    <w:rsid w:val="02905E63"/>
    <w:rsid w:val="02952452"/>
    <w:rsid w:val="02A03EC8"/>
    <w:rsid w:val="02A96B2C"/>
    <w:rsid w:val="02F16A4E"/>
    <w:rsid w:val="03066456"/>
    <w:rsid w:val="033E158A"/>
    <w:rsid w:val="033E7817"/>
    <w:rsid w:val="035F48B0"/>
    <w:rsid w:val="03613018"/>
    <w:rsid w:val="038A3960"/>
    <w:rsid w:val="038C3DBF"/>
    <w:rsid w:val="03984B39"/>
    <w:rsid w:val="03A10B3E"/>
    <w:rsid w:val="03B857B1"/>
    <w:rsid w:val="03E71972"/>
    <w:rsid w:val="03EC0C8A"/>
    <w:rsid w:val="03F55B11"/>
    <w:rsid w:val="04092651"/>
    <w:rsid w:val="04244465"/>
    <w:rsid w:val="04270D95"/>
    <w:rsid w:val="04405BD2"/>
    <w:rsid w:val="047662E2"/>
    <w:rsid w:val="047A30D4"/>
    <w:rsid w:val="04991307"/>
    <w:rsid w:val="04BE0DA1"/>
    <w:rsid w:val="04C731EB"/>
    <w:rsid w:val="04E10F1F"/>
    <w:rsid w:val="04E62DD8"/>
    <w:rsid w:val="05157209"/>
    <w:rsid w:val="051905E9"/>
    <w:rsid w:val="052B6704"/>
    <w:rsid w:val="052E4A18"/>
    <w:rsid w:val="0558245B"/>
    <w:rsid w:val="05665589"/>
    <w:rsid w:val="057905CB"/>
    <w:rsid w:val="057A6DDD"/>
    <w:rsid w:val="058D4CE2"/>
    <w:rsid w:val="05A17E44"/>
    <w:rsid w:val="05B21504"/>
    <w:rsid w:val="05E14510"/>
    <w:rsid w:val="05E32A68"/>
    <w:rsid w:val="06076244"/>
    <w:rsid w:val="06090FD9"/>
    <w:rsid w:val="060D2707"/>
    <w:rsid w:val="060E41DC"/>
    <w:rsid w:val="060F0DF9"/>
    <w:rsid w:val="06222960"/>
    <w:rsid w:val="06302494"/>
    <w:rsid w:val="06425E9A"/>
    <w:rsid w:val="06724BB7"/>
    <w:rsid w:val="06775941"/>
    <w:rsid w:val="06994096"/>
    <w:rsid w:val="069B7D25"/>
    <w:rsid w:val="06A92430"/>
    <w:rsid w:val="06F0659F"/>
    <w:rsid w:val="06F06710"/>
    <w:rsid w:val="070172DE"/>
    <w:rsid w:val="0734330C"/>
    <w:rsid w:val="075A75A7"/>
    <w:rsid w:val="076945BB"/>
    <w:rsid w:val="07741DE1"/>
    <w:rsid w:val="079E2671"/>
    <w:rsid w:val="07A2157A"/>
    <w:rsid w:val="07B90289"/>
    <w:rsid w:val="07C80397"/>
    <w:rsid w:val="07D064D3"/>
    <w:rsid w:val="080009B9"/>
    <w:rsid w:val="08093DDE"/>
    <w:rsid w:val="080B6BFB"/>
    <w:rsid w:val="080D344B"/>
    <w:rsid w:val="080E6FDB"/>
    <w:rsid w:val="081C10CF"/>
    <w:rsid w:val="081C7983"/>
    <w:rsid w:val="081F1FAC"/>
    <w:rsid w:val="08AC3E15"/>
    <w:rsid w:val="08C52D1F"/>
    <w:rsid w:val="08D56624"/>
    <w:rsid w:val="08E06F2B"/>
    <w:rsid w:val="08F15C13"/>
    <w:rsid w:val="090018AD"/>
    <w:rsid w:val="090719E8"/>
    <w:rsid w:val="091657B0"/>
    <w:rsid w:val="0926428A"/>
    <w:rsid w:val="092C0C65"/>
    <w:rsid w:val="093774D6"/>
    <w:rsid w:val="094301E5"/>
    <w:rsid w:val="0974627A"/>
    <w:rsid w:val="09AA0B4C"/>
    <w:rsid w:val="09B82E75"/>
    <w:rsid w:val="09C94FE3"/>
    <w:rsid w:val="09DE26B4"/>
    <w:rsid w:val="09F44806"/>
    <w:rsid w:val="0A14361B"/>
    <w:rsid w:val="0A396F9B"/>
    <w:rsid w:val="0A516EC4"/>
    <w:rsid w:val="0A670967"/>
    <w:rsid w:val="0A6A3854"/>
    <w:rsid w:val="0A802215"/>
    <w:rsid w:val="0AB04CB6"/>
    <w:rsid w:val="0AB97EC8"/>
    <w:rsid w:val="0AC770BB"/>
    <w:rsid w:val="0ADA483A"/>
    <w:rsid w:val="0ADD096A"/>
    <w:rsid w:val="0AE63489"/>
    <w:rsid w:val="0AFB6903"/>
    <w:rsid w:val="0B1C201D"/>
    <w:rsid w:val="0B1E6B0F"/>
    <w:rsid w:val="0B232E6E"/>
    <w:rsid w:val="0B2536F4"/>
    <w:rsid w:val="0B4D592E"/>
    <w:rsid w:val="0B545624"/>
    <w:rsid w:val="0B6658B6"/>
    <w:rsid w:val="0B676D53"/>
    <w:rsid w:val="0B8E0BF1"/>
    <w:rsid w:val="0BA1268D"/>
    <w:rsid w:val="0BCC0CE0"/>
    <w:rsid w:val="0BD2356C"/>
    <w:rsid w:val="0BE04EDE"/>
    <w:rsid w:val="0BEA724F"/>
    <w:rsid w:val="0BEB52D5"/>
    <w:rsid w:val="0BF40BC7"/>
    <w:rsid w:val="0BF43B92"/>
    <w:rsid w:val="0C0671D3"/>
    <w:rsid w:val="0C3060D9"/>
    <w:rsid w:val="0C78746C"/>
    <w:rsid w:val="0C890EA5"/>
    <w:rsid w:val="0C8B68CA"/>
    <w:rsid w:val="0C9116FE"/>
    <w:rsid w:val="0CB21A4C"/>
    <w:rsid w:val="0CC43322"/>
    <w:rsid w:val="0CF1370F"/>
    <w:rsid w:val="0D216D73"/>
    <w:rsid w:val="0D2D6BAC"/>
    <w:rsid w:val="0D42272B"/>
    <w:rsid w:val="0D731D3C"/>
    <w:rsid w:val="0DF13432"/>
    <w:rsid w:val="0DF21A80"/>
    <w:rsid w:val="0E0B033E"/>
    <w:rsid w:val="0E0C2CBF"/>
    <w:rsid w:val="0E254A5A"/>
    <w:rsid w:val="0E577B14"/>
    <w:rsid w:val="0E803B6C"/>
    <w:rsid w:val="0EA74205"/>
    <w:rsid w:val="0EB81479"/>
    <w:rsid w:val="0EEE7C89"/>
    <w:rsid w:val="0F133F24"/>
    <w:rsid w:val="0F135A3C"/>
    <w:rsid w:val="0F136D08"/>
    <w:rsid w:val="0F1A13DA"/>
    <w:rsid w:val="0F1A28BC"/>
    <w:rsid w:val="0F1A2AEE"/>
    <w:rsid w:val="0F2227FE"/>
    <w:rsid w:val="0F32672C"/>
    <w:rsid w:val="0F41770C"/>
    <w:rsid w:val="0F4725AF"/>
    <w:rsid w:val="0F552DBC"/>
    <w:rsid w:val="0F761CA8"/>
    <w:rsid w:val="0F80106B"/>
    <w:rsid w:val="0F8A7010"/>
    <w:rsid w:val="0FA82709"/>
    <w:rsid w:val="0FC61D0B"/>
    <w:rsid w:val="0FE648D0"/>
    <w:rsid w:val="0FFE1C9B"/>
    <w:rsid w:val="1006731E"/>
    <w:rsid w:val="100976E6"/>
    <w:rsid w:val="101A64DB"/>
    <w:rsid w:val="101D7F0A"/>
    <w:rsid w:val="10263FF0"/>
    <w:rsid w:val="104C0AEB"/>
    <w:rsid w:val="10513F0F"/>
    <w:rsid w:val="105969FC"/>
    <w:rsid w:val="10683E04"/>
    <w:rsid w:val="108E38CA"/>
    <w:rsid w:val="109423C7"/>
    <w:rsid w:val="109D43A5"/>
    <w:rsid w:val="10B05DE1"/>
    <w:rsid w:val="10D5622C"/>
    <w:rsid w:val="10F45325"/>
    <w:rsid w:val="10F5366D"/>
    <w:rsid w:val="10F7291E"/>
    <w:rsid w:val="11077B84"/>
    <w:rsid w:val="111F7C44"/>
    <w:rsid w:val="11226C73"/>
    <w:rsid w:val="1133314B"/>
    <w:rsid w:val="1136125D"/>
    <w:rsid w:val="113F625F"/>
    <w:rsid w:val="115D7AFF"/>
    <w:rsid w:val="11863365"/>
    <w:rsid w:val="11881AA9"/>
    <w:rsid w:val="118C3010"/>
    <w:rsid w:val="118F7A1F"/>
    <w:rsid w:val="11940358"/>
    <w:rsid w:val="11AD2EBC"/>
    <w:rsid w:val="11B82E4E"/>
    <w:rsid w:val="11B91976"/>
    <w:rsid w:val="11C06681"/>
    <w:rsid w:val="11D07A49"/>
    <w:rsid w:val="11D40EC9"/>
    <w:rsid w:val="11E54A43"/>
    <w:rsid w:val="11E54C2D"/>
    <w:rsid w:val="12173200"/>
    <w:rsid w:val="121B366D"/>
    <w:rsid w:val="122E2C51"/>
    <w:rsid w:val="12407887"/>
    <w:rsid w:val="12A713D5"/>
    <w:rsid w:val="12B0209B"/>
    <w:rsid w:val="12C776A4"/>
    <w:rsid w:val="12DA5FBA"/>
    <w:rsid w:val="12E26A68"/>
    <w:rsid w:val="12F233D5"/>
    <w:rsid w:val="132C17D9"/>
    <w:rsid w:val="134B4466"/>
    <w:rsid w:val="13680BE8"/>
    <w:rsid w:val="13831A73"/>
    <w:rsid w:val="13854AEC"/>
    <w:rsid w:val="138826B8"/>
    <w:rsid w:val="13A21009"/>
    <w:rsid w:val="13B2680F"/>
    <w:rsid w:val="13C8377A"/>
    <w:rsid w:val="13D41C60"/>
    <w:rsid w:val="13D75A72"/>
    <w:rsid w:val="13E70B95"/>
    <w:rsid w:val="13E74F7A"/>
    <w:rsid w:val="140F493F"/>
    <w:rsid w:val="142C780D"/>
    <w:rsid w:val="14305A83"/>
    <w:rsid w:val="14565C9A"/>
    <w:rsid w:val="145B6DCE"/>
    <w:rsid w:val="14693E01"/>
    <w:rsid w:val="148046A4"/>
    <w:rsid w:val="14856B83"/>
    <w:rsid w:val="148E7405"/>
    <w:rsid w:val="14B762F2"/>
    <w:rsid w:val="14B92328"/>
    <w:rsid w:val="14D061F1"/>
    <w:rsid w:val="14D472EA"/>
    <w:rsid w:val="14DA3DFA"/>
    <w:rsid w:val="14DB4584"/>
    <w:rsid w:val="14E84251"/>
    <w:rsid w:val="14EC5EF5"/>
    <w:rsid w:val="14EE713A"/>
    <w:rsid w:val="14F912BA"/>
    <w:rsid w:val="14FB4544"/>
    <w:rsid w:val="151C5F82"/>
    <w:rsid w:val="15227AC5"/>
    <w:rsid w:val="15410EFD"/>
    <w:rsid w:val="155A5536"/>
    <w:rsid w:val="15627B5D"/>
    <w:rsid w:val="157025B6"/>
    <w:rsid w:val="159F75E7"/>
    <w:rsid w:val="15A23F73"/>
    <w:rsid w:val="15B40047"/>
    <w:rsid w:val="15B9274F"/>
    <w:rsid w:val="15BC1090"/>
    <w:rsid w:val="15D40482"/>
    <w:rsid w:val="15D555E6"/>
    <w:rsid w:val="160C342C"/>
    <w:rsid w:val="16235917"/>
    <w:rsid w:val="16380F7D"/>
    <w:rsid w:val="16382DE0"/>
    <w:rsid w:val="163B345B"/>
    <w:rsid w:val="164A563F"/>
    <w:rsid w:val="16546F2D"/>
    <w:rsid w:val="166E1058"/>
    <w:rsid w:val="167C1848"/>
    <w:rsid w:val="16821721"/>
    <w:rsid w:val="1684140D"/>
    <w:rsid w:val="168D6B33"/>
    <w:rsid w:val="16D12419"/>
    <w:rsid w:val="17055E6E"/>
    <w:rsid w:val="1728269E"/>
    <w:rsid w:val="172B28DA"/>
    <w:rsid w:val="174A632B"/>
    <w:rsid w:val="175B0419"/>
    <w:rsid w:val="176B4A78"/>
    <w:rsid w:val="17820812"/>
    <w:rsid w:val="17920598"/>
    <w:rsid w:val="17936AB5"/>
    <w:rsid w:val="17A63D52"/>
    <w:rsid w:val="17DC40A7"/>
    <w:rsid w:val="17E747F4"/>
    <w:rsid w:val="17F2607D"/>
    <w:rsid w:val="17F553C8"/>
    <w:rsid w:val="17F72FAD"/>
    <w:rsid w:val="181D13D7"/>
    <w:rsid w:val="182E164F"/>
    <w:rsid w:val="18445D4E"/>
    <w:rsid w:val="18794590"/>
    <w:rsid w:val="187E3FD4"/>
    <w:rsid w:val="18947250"/>
    <w:rsid w:val="18990935"/>
    <w:rsid w:val="18AE3720"/>
    <w:rsid w:val="18C620CB"/>
    <w:rsid w:val="18CF38A0"/>
    <w:rsid w:val="19127C37"/>
    <w:rsid w:val="191B3002"/>
    <w:rsid w:val="192B4A98"/>
    <w:rsid w:val="19391A80"/>
    <w:rsid w:val="194342E3"/>
    <w:rsid w:val="19494113"/>
    <w:rsid w:val="196806D1"/>
    <w:rsid w:val="1969269C"/>
    <w:rsid w:val="197E3959"/>
    <w:rsid w:val="19915D1D"/>
    <w:rsid w:val="199F17C4"/>
    <w:rsid w:val="19A152BE"/>
    <w:rsid w:val="19AC1408"/>
    <w:rsid w:val="19B81AD2"/>
    <w:rsid w:val="19BA3722"/>
    <w:rsid w:val="19CC4083"/>
    <w:rsid w:val="19EE122D"/>
    <w:rsid w:val="1A0D6899"/>
    <w:rsid w:val="1A19627C"/>
    <w:rsid w:val="1A1B5C23"/>
    <w:rsid w:val="1A2E481A"/>
    <w:rsid w:val="1A487A53"/>
    <w:rsid w:val="1A4C4BC8"/>
    <w:rsid w:val="1A4D6BBB"/>
    <w:rsid w:val="1A5C0B41"/>
    <w:rsid w:val="1AA8158A"/>
    <w:rsid w:val="1AC4505D"/>
    <w:rsid w:val="1AFD68BC"/>
    <w:rsid w:val="1B0A1593"/>
    <w:rsid w:val="1B123C33"/>
    <w:rsid w:val="1B1241CA"/>
    <w:rsid w:val="1B2C4CBB"/>
    <w:rsid w:val="1B4A338D"/>
    <w:rsid w:val="1B9400E0"/>
    <w:rsid w:val="1B947D91"/>
    <w:rsid w:val="1BBF6D37"/>
    <w:rsid w:val="1BDD301F"/>
    <w:rsid w:val="1BE42BED"/>
    <w:rsid w:val="1BFC2DCA"/>
    <w:rsid w:val="1C084D5C"/>
    <w:rsid w:val="1C284A2C"/>
    <w:rsid w:val="1C4579DA"/>
    <w:rsid w:val="1C486214"/>
    <w:rsid w:val="1C5B24CA"/>
    <w:rsid w:val="1C7C61F1"/>
    <w:rsid w:val="1C825096"/>
    <w:rsid w:val="1C927717"/>
    <w:rsid w:val="1CA2341D"/>
    <w:rsid w:val="1CDA316A"/>
    <w:rsid w:val="1D2D3D67"/>
    <w:rsid w:val="1D4816AE"/>
    <w:rsid w:val="1D891172"/>
    <w:rsid w:val="1D8C2588"/>
    <w:rsid w:val="1DCC3694"/>
    <w:rsid w:val="1DD429F2"/>
    <w:rsid w:val="1E0B5D01"/>
    <w:rsid w:val="1E1E1F3F"/>
    <w:rsid w:val="1E480A4B"/>
    <w:rsid w:val="1E4E0FFE"/>
    <w:rsid w:val="1E5B00B9"/>
    <w:rsid w:val="1E630D88"/>
    <w:rsid w:val="1E8533A5"/>
    <w:rsid w:val="1E8F1789"/>
    <w:rsid w:val="1EE2438C"/>
    <w:rsid w:val="1F00021F"/>
    <w:rsid w:val="1F0574FB"/>
    <w:rsid w:val="1F075172"/>
    <w:rsid w:val="1F4B17D9"/>
    <w:rsid w:val="1F4E2338"/>
    <w:rsid w:val="1F5C3BF2"/>
    <w:rsid w:val="1FBB76CD"/>
    <w:rsid w:val="1FCF53D2"/>
    <w:rsid w:val="1FDF6672"/>
    <w:rsid w:val="1FE45056"/>
    <w:rsid w:val="1FF51B66"/>
    <w:rsid w:val="1FFE6FC2"/>
    <w:rsid w:val="20224882"/>
    <w:rsid w:val="202830B2"/>
    <w:rsid w:val="205D6973"/>
    <w:rsid w:val="206115B1"/>
    <w:rsid w:val="206664DD"/>
    <w:rsid w:val="208F7CDB"/>
    <w:rsid w:val="20974961"/>
    <w:rsid w:val="20B72EF2"/>
    <w:rsid w:val="20BE5B58"/>
    <w:rsid w:val="20D63D6E"/>
    <w:rsid w:val="20E424F0"/>
    <w:rsid w:val="20E73350"/>
    <w:rsid w:val="20F0558A"/>
    <w:rsid w:val="20FA43BF"/>
    <w:rsid w:val="21113545"/>
    <w:rsid w:val="211B1329"/>
    <w:rsid w:val="21373BBB"/>
    <w:rsid w:val="21420B91"/>
    <w:rsid w:val="214E2338"/>
    <w:rsid w:val="21503907"/>
    <w:rsid w:val="216A1E2B"/>
    <w:rsid w:val="217730D5"/>
    <w:rsid w:val="217F74BA"/>
    <w:rsid w:val="219A0C7F"/>
    <w:rsid w:val="219A6388"/>
    <w:rsid w:val="219E3CD8"/>
    <w:rsid w:val="21C372AC"/>
    <w:rsid w:val="21CF7CF3"/>
    <w:rsid w:val="21D853EB"/>
    <w:rsid w:val="21F61F3B"/>
    <w:rsid w:val="220E15B1"/>
    <w:rsid w:val="22347812"/>
    <w:rsid w:val="22592FDD"/>
    <w:rsid w:val="225B26B9"/>
    <w:rsid w:val="226F701A"/>
    <w:rsid w:val="227E2A4F"/>
    <w:rsid w:val="22980FF7"/>
    <w:rsid w:val="22A019DE"/>
    <w:rsid w:val="22EA693A"/>
    <w:rsid w:val="22F06A07"/>
    <w:rsid w:val="22F93413"/>
    <w:rsid w:val="232F7D23"/>
    <w:rsid w:val="233C30F0"/>
    <w:rsid w:val="23591D32"/>
    <w:rsid w:val="235B734F"/>
    <w:rsid w:val="235F1DDF"/>
    <w:rsid w:val="23687130"/>
    <w:rsid w:val="23816358"/>
    <w:rsid w:val="238D4549"/>
    <w:rsid w:val="2391358D"/>
    <w:rsid w:val="239E1131"/>
    <w:rsid w:val="23A27DDA"/>
    <w:rsid w:val="23A97538"/>
    <w:rsid w:val="23D53EB0"/>
    <w:rsid w:val="23D80339"/>
    <w:rsid w:val="23E057B0"/>
    <w:rsid w:val="23E43306"/>
    <w:rsid w:val="244B60B9"/>
    <w:rsid w:val="245D32FF"/>
    <w:rsid w:val="247B3AE6"/>
    <w:rsid w:val="248851CA"/>
    <w:rsid w:val="24AE4601"/>
    <w:rsid w:val="24DF66DD"/>
    <w:rsid w:val="24F701CD"/>
    <w:rsid w:val="24FA4C15"/>
    <w:rsid w:val="24FB36D6"/>
    <w:rsid w:val="252546E8"/>
    <w:rsid w:val="252634A2"/>
    <w:rsid w:val="252B05F2"/>
    <w:rsid w:val="2539357C"/>
    <w:rsid w:val="2551246C"/>
    <w:rsid w:val="25674446"/>
    <w:rsid w:val="256D46DC"/>
    <w:rsid w:val="256E1757"/>
    <w:rsid w:val="25716CDF"/>
    <w:rsid w:val="2584109A"/>
    <w:rsid w:val="25917CB8"/>
    <w:rsid w:val="25A4555F"/>
    <w:rsid w:val="25BC1F5B"/>
    <w:rsid w:val="25C0635D"/>
    <w:rsid w:val="25C56EF1"/>
    <w:rsid w:val="25CB3D5E"/>
    <w:rsid w:val="25F62F8F"/>
    <w:rsid w:val="261A57B1"/>
    <w:rsid w:val="26357D75"/>
    <w:rsid w:val="26520004"/>
    <w:rsid w:val="26562F89"/>
    <w:rsid w:val="26586B19"/>
    <w:rsid w:val="265A5AD1"/>
    <w:rsid w:val="266814CD"/>
    <w:rsid w:val="26AF226F"/>
    <w:rsid w:val="26C43EC7"/>
    <w:rsid w:val="26C907F7"/>
    <w:rsid w:val="26E33F3A"/>
    <w:rsid w:val="26E845DA"/>
    <w:rsid w:val="26F7330C"/>
    <w:rsid w:val="270E7C35"/>
    <w:rsid w:val="271350E7"/>
    <w:rsid w:val="273E3660"/>
    <w:rsid w:val="276D0969"/>
    <w:rsid w:val="2777754F"/>
    <w:rsid w:val="27937370"/>
    <w:rsid w:val="27AC0A41"/>
    <w:rsid w:val="27BC331F"/>
    <w:rsid w:val="27BF27A0"/>
    <w:rsid w:val="27BF3972"/>
    <w:rsid w:val="27D06637"/>
    <w:rsid w:val="27D439E2"/>
    <w:rsid w:val="27DD41C3"/>
    <w:rsid w:val="27E5433A"/>
    <w:rsid w:val="27EF61B4"/>
    <w:rsid w:val="28095D39"/>
    <w:rsid w:val="28197B91"/>
    <w:rsid w:val="283835EA"/>
    <w:rsid w:val="283A4493"/>
    <w:rsid w:val="283A626B"/>
    <w:rsid w:val="28406960"/>
    <w:rsid w:val="2845199A"/>
    <w:rsid w:val="28452A6C"/>
    <w:rsid w:val="285E7AA0"/>
    <w:rsid w:val="28967EAD"/>
    <w:rsid w:val="289C0A28"/>
    <w:rsid w:val="28B841F4"/>
    <w:rsid w:val="28BC74DE"/>
    <w:rsid w:val="28CB3419"/>
    <w:rsid w:val="28D24C25"/>
    <w:rsid w:val="28F03283"/>
    <w:rsid w:val="29095102"/>
    <w:rsid w:val="29100FAF"/>
    <w:rsid w:val="291C57A0"/>
    <w:rsid w:val="29283527"/>
    <w:rsid w:val="292A1E1F"/>
    <w:rsid w:val="294D00FA"/>
    <w:rsid w:val="29594643"/>
    <w:rsid w:val="296827EA"/>
    <w:rsid w:val="29753330"/>
    <w:rsid w:val="298375D0"/>
    <w:rsid w:val="29BB78B4"/>
    <w:rsid w:val="29BF3741"/>
    <w:rsid w:val="29D86ED7"/>
    <w:rsid w:val="29DA2310"/>
    <w:rsid w:val="29EC716B"/>
    <w:rsid w:val="29F71E79"/>
    <w:rsid w:val="2A0308B0"/>
    <w:rsid w:val="2A031E0C"/>
    <w:rsid w:val="2A0C48F7"/>
    <w:rsid w:val="2A117042"/>
    <w:rsid w:val="2A2823F5"/>
    <w:rsid w:val="2A591472"/>
    <w:rsid w:val="2A6B494E"/>
    <w:rsid w:val="2A8F219B"/>
    <w:rsid w:val="2A8F5984"/>
    <w:rsid w:val="2AA23B74"/>
    <w:rsid w:val="2AA43877"/>
    <w:rsid w:val="2AA5392F"/>
    <w:rsid w:val="2AAD6EC9"/>
    <w:rsid w:val="2AC8761B"/>
    <w:rsid w:val="2ACB5FA9"/>
    <w:rsid w:val="2ADB7D15"/>
    <w:rsid w:val="2B1B20EA"/>
    <w:rsid w:val="2B1D5948"/>
    <w:rsid w:val="2B1E4545"/>
    <w:rsid w:val="2B21177E"/>
    <w:rsid w:val="2B3B2351"/>
    <w:rsid w:val="2B420D26"/>
    <w:rsid w:val="2B53695D"/>
    <w:rsid w:val="2B601D18"/>
    <w:rsid w:val="2BA4459F"/>
    <w:rsid w:val="2BB30B98"/>
    <w:rsid w:val="2BBC1879"/>
    <w:rsid w:val="2BD1623B"/>
    <w:rsid w:val="2BE614D9"/>
    <w:rsid w:val="2C003C6B"/>
    <w:rsid w:val="2C0D539E"/>
    <w:rsid w:val="2C115AD9"/>
    <w:rsid w:val="2C491FDE"/>
    <w:rsid w:val="2C637127"/>
    <w:rsid w:val="2C796D8B"/>
    <w:rsid w:val="2C7D70C1"/>
    <w:rsid w:val="2C850B51"/>
    <w:rsid w:val="2C894E4C"/>
    <w:rsid w:val="2C9D1377"/>
    <w:rsid w:val="2CB824E8"/>
    <w:rsid w:val="2D4205F3"/>
    <w:rsid w:val="2D501832"/>
    <w:rsid w:val="2D6929D4"/>
    <w:rsid w:val="2D774852"/>
    <w:rsid w:val="2D857C0D"/>
    <w:rsid w:val="2D897FC3"/>
    <w:rsid w:val="2D9E3FAB"/>
    <w:rsid w:val="2DA57A9C"/>
    <w:rsid w:val="2DC5334D"/>
    <w:rsid w:val="2DCF5B0E"/>
    <w:rsid w:val="2DDC525F"/>
    <w:rsid w:val="2E0D5A00"/>
    <w:rsid w:val="2E1129B4"/>
    <w:rsid w:val="2E12635D"/>
    <w:rsid w:val="2E14037E"/>
    <w:rsid w:val="2E2750F2"/>
    <w:rsid w:val="2E63496A"/>
    <w:rsid w:val="2E9F17FA"/>
    <w:rsid w:val="2EB44641"/>
    <w:rsid w:val="2EC94CDE"/>
    <w:rsid w:val="2ED5006B"/>
    <w:rsid w:val="2EDA1C17"/>
    <w:rsid w:val="2EE028B3"/>
    <w:rsid w:val="2EE842F7"/>
    <w:rsid w:val="2EEB59D0"/>
    <w:rsid w:val="2EFA23B5"/>
    <w:rsid w:val="2EFA2439"/>
    <w:rsid w:val="2EFC037C"/>
    <w:rsid w:val="2EFC7A58"/>
    <w:rsid w:val="2EFF5537"/>
    <w:rsid w:val="2F04596D"/>
    <w:rsid w:val="2F207F33"/>
    <w:rsid w:val="2F247993"/>
    <w:rsid w:val="2F260154"/>
    <w:rsid w:val="2F2C3A4D"/>
    <w:rsid w:val="2F2D40A3"/>
    <w:rsid w:val="2F91497C"/>
    <w:rsid w:val="2F9A21D3"/>
    <w:rsid w:val="2FD05FC8"/>
    <w:rsid w:val="300E4B53"/>
    <w:rsid w:val="30114E63"/>
    <w:rsid w:val="3016553A"/>
    <w:rsid w:val="30171502"/>
    <w:rsid w:val="30177A62"/>
    <w:rsid w:val="302E6DEA"/>
    <w:rsid w:val="304D18A5"/>
    <w:rsid w:val="30541426"/>
    <w:rsid w:val="305C5EEF"/>
    <w:rsid w:val="30687E8C"/>
    <w:rsid w:val="30706DED"/>
    <w:rsid w:val="30781A2D"/>
    <w:rsid w:val="307A2BED"/>
    <w:rsid w:val="3089349D"/>
    <w:rsid w:val="30A47491"/>
    <w:rsid w:val="30A56E8B"/>
    <w:rsid w:val="30CD5DD2"/>
    <w:rsid w:val="30D43F00"/>
    <w:rsid w:val="30D541D8"/>
    <w:rsid w:val="30F03FBE"/>
    <w:rsid w:val="31241065"/>
    <w:rsid w:val="3127645A"/>
    <w:rsid w:val="31330475"/>
    <w:rsid w:val="314F3EF7"/>
    <w:rsid w:val="316D0500"/>
    <w:rsid w:val="31775D7D"/>
    <w:rsid w:val="319A68D8"/>
    <w:rsid w:val="31C60B59"/>
    <w:rsid w:val="31D26057"/>
    <w:rsid w:val="31E15DD5"/>
    <w:rsid w:val="32013E5D"/>
    <w:rsid w:val="32077328"/>
    <w:rsid w:val="32132BEF"/>
    <w:rsid w:val="32281C34"/>
    <w:rsid w:val="32325A2A"/>
    <w:rsid w:val="325912C4"/>
    <w:rsid w:val="326F55A8"/>
    <w:rsid w:val="3285160A"/>
    <w:rsid w:val="328B2AB2"/>
    <w:rsid w:val="328D4B5C"/>
    <w:rsid w:val="32B3587A"/>
    <w:rsid w:val="32D32C59"/>
    <w:rsid w:val="32DB385B"/>
    <w:rsid w:val="32E15C20"/>
    <w:rsid w:val="3359225A"/>
    <w:rsid w:val="337027E7"/>
    <w:rsid w:val="33842183"/>
    <w:rsid w:val="339F62A9"/>
    <w:rsid w:val="33A635D1"/>
    <w:rsid w:val="33B96950"/>
    <w:rsid w:val="33CA5530"/>
    <w:rsid w:val="33E54B36"/>
    <w:rsid w:val="3409330B"/>
    <w:rsid w:val="340C0A96"/>
    <w:rsid w:val="34221E5F"/>
    <w:rsid w:val="34354420"/>
    <w:rsid w:val="34386E6D"/>
    <w:rsid w:val="349A13E5"/>
    <w:rsid w:val="34BF3B89"/>
    <w:rsid w:val="34C07B3C"/>
    <w:rsid w:val="34D973CD"/>
    <w:rsid w:val="34E7055B"/>
    <w:rsid w:val="34EC2E8A"/>
    <w:rsid w:val="34F25B77"/>
    <w:rsid w:val="34F819D8"/>
    <w:rsid w:val="34F86957"/>
    <w:rsid w:val="35123CD2"/>
    <w:rsid w:val="3517109F"/>
    <w:rsid w:val="352D6C01"/>
    <w:rsid w:val="356027E6"/>
    <w:rsid w:val="357813C1"/>
    <w:rsid w:val="357B533D"/>
    <w:rsid w:val="35927AC8"/>
    <w:rsid w:val="35964DBB"/>
    <w:rsid w:val="35AE7BA4"/>
    <w:rsid w:val="35BA1F1B"/>
    <w:rsid w:val="35C239A4"/>
    <w:rsid w:val="35CC4B44"/>
    <w:rsid w:val="35CD03D9"/>
    <w:rsid w:val="35D36E1F"/>
    <w:rsid w:val="35D70FF8"/>
    <w:rsid w:val="35F870D7"/>
    <w:rsid w:val="3613186A"/>
    <w:rsid w:val="36475479"/>
    <w:rsid w:val="365D7B00"/>
    <w:rsid w:val="366B2770"/>
    <w:rsid w:val="36857E34"/>
    <w:rsid w:val="36A46B62"/>
    <w:rsid w:val="37006948"/>
    <w:rsid w:val="37024B2F"/>
    <w:rsid w:val="37407AF3"/>
    <w:rsid w:val="376B0557"/>
    <w:rsid w:val="3794594B"/>
    <w:rsid w:val="37A638CA"/>
    <w:rsid w:val="37BD2615"/>
    <w:rsid w:val="37BE09E5"/>
    <w:rsid w:val="37DC7FCA"/>
    <w:rsid w:val="37E319F4"/>
    <w:rsid w:val="37EB2DB1"/>
    <w:rsid w:val="38206C0C"/>
    <w:rsid w:val="382B1938"/>
    <w:rsid w:val="38644550"/>
    <w:rsid w:val="38774D05"/>
    <w:rsid w:val="38AC347A"/>
    <w:rsid w:val="38B04B1C"/>
    <w:rsid w:val="38BC4D2B"/>
    <w:rsid w:val="38D87708"/>
    <w:rsid w:val="38F03783"/>
    <w:rsid w:val="38F14651"/>
    <w:rsid w:val="38FF2C00"/>
    <w:rsid w:val="391530D9"/>
    <w:rsid w:val="39456F92"/>
    <w:rsid w:val="394E2BCB"/>
    <w:rsid w:val="39567D9F"/>
    <w:rsid w:val="39622FB3"/>
    <w:rsid w:val="396A3290"/>
    <w:rsid w:val="397120B6"/>
    <w:rsid w:val="397630F9"/>
    <w:rsid w:val="39A76DC0"/>
    <w:rsid w:val="39E42021"/>
    <w:rsid w:val="39F8380E"/>
    <w:rsid w:val="3A007680"/>
    <w:rsid w:val="3A16373D"/>
    <w:rsid w:val="3A2424EB"/>
    <w:rsid w:val="3A2911D4"/>
    <w:rsid w:val="3A3176E3"/>
    <w:rsid w:val="3A323A9F"/>
    <w:rsid w:val="3A3F5BEF"/>
    <w:rsid w:val="3A5D3485"/>
    <w:rsid w:val="3A672AC0"/>
    <w:rsid w:val="3A6776B7"/>
    <w:rsid w:val="3A824AE7"/>
    <w:rsid w:val="3AA64460"/>
    <w:rsid w:val="3AC044CA"/>
    <w:rsid w:val="3AC33F09"/>
    <w:rsid w:val="3AD74C69"/>
    <w:rsid w:val="3AD9238A"/>
    <w:rsid w:val="3ADA1C32"/>
    <w:rsid w:val="3AF41593"/>
    <w:rsid w:val="3B1123E6"/>
    <w:rsid w:val="3B125784"/>
    <w:rsid w:val="3B1F793F"/>
    <w:rsid w:val="3B22188F"/>
    <w:rsid w:val="3B341F80"/>
    <w:rsid w:val="3B3F5188"/>
    <w:rsid w:val="3B455353"/>
    <w:rsid w:val="3B4700DD"/>
    <w:rsid w:val="3B49555F"/>
    <w:rsid w:val="3B5D25D9"/>
    <w:rsid w:val="3B5F2DAD"/>
    <w:rsid w:val="3B6113E2"/>
    <w:rsid w:val="3B7C4FEE"/>
    <w:rsid w:val="3B80785C"/>
    <w:rsid w:val="3B8B21C7"/>
    <w:rsid w:val="3B976352"/>
    <w:rsid w:val="3BA64C2D"/>
    <w:rsid w:val="3BB04B8C"/>
    <w:rsid w:val="3BC93FE5"/>
    <w:rsid w:val="3BD63345"/>
    <w:rsid w:val="3BE067AC"/>
    <w:rsid w:val="3BE953A2"/>
    <w:rsid w:val="3BF729A1"/>
    <w:rsid w:val="3BFC038B"/>
    <w:rsid w:val="3BFD2201"/>
    <w:rsid w:val="3C1D4EC7"/>
    <w:rsid w:val="3C447623"/>
    <w:rsid w:val="3C5568D9"/>
    <w:rsid w:val="3C606999"/>
    <w:rsid w:val="3C680981"/>
    <w:rsid w:val="3C730DA2"/>
    <w:rsid w:val="3C9A5180"/>
    <w:rsid w:val="3CAC2EA1"/>
    <w:rsid w:val="3CFF18A7"/>
    <w:rsid w:val="3D0B2D9F"/>
    <w:rsid w:val="3D2615D0"/>
    <w:rsid w:val="3D26659A"/>
    <w:rsid w:val="3D426527"/>
    <w:rsid w:val="3D566086"/>
    <w:rsid w:val="3D615884"/>
    <w:rsid w:val="3D683E97"/>
    <w:rsid w:val="3D6C7DCB"/>
    <w:rsid w:val="3DCB2DC7"/>
    <w:rsid w:val="3DCE0520"/>
    <w:rsid w:val="3DCE2EAD"/>
    <w:rsid w:val="3DD57C30"/>
    <w:rsid w:val="3DDA526D"/>
    <w:rsid w:val="3DDE6517"/>
    <w:rsid w:val="3E2106A9"/>
    <w:rsid w:val="3E2148E6"/>
    <w:rsid w:val="3E2730A1"/>
    <w:rsid w:val="3E48475A"/>
    <w:rsid w:val="3E4C74CF"/>
    <w:rsid w:val="3E52176A"/>
    <w:rsid w:val="3E8E111C"/>
    <w:rsid w:val="3E9A4029"/>
    <w:rsid w:val="3EA3568C"/>
    <w:rsid w:val="3ECA29CE"/>
    <w:rsid w:val="3ECD70C6"/>
    <w:rsid w:val="3EDB1FC3"/>
    <w:rsid w:val="3EF506CC"/>
    <w:rsid w:val="3F1A432E"/>
    <w:rsid w:val="3F235E7A"/>
    <w:rsid w:val="3F2E07D1"/>
    <w:rsid w:val="3F35641D"/>
    <w:rsid w:val="3F364B01"/>
    <w:rsid w:val="3F4E102C"/>
    <w:rsid w:val="3F62087F"/>
    <w:rsid w:val="3F6A7193"/>
    <w:rsid w:val="3F6F54DF"/>
    <w:rsid w:val="3F7C3D9C"/>
    <w:rsid w:val="3F894D9E"/>
    <w:rsid w:val="3F9E4154"/>
    <w:rsid w:val="3FB4789A"/>
    <w:rsid w:val="3FC410C5"/>
    <w:rsid w:val="3FC738A2"/>
    <w:rsid w:val="3FCC3961"/>
    <w:rsid w:val="3FD42B4F"/>
    <w:rsid w:val="400075EB"/>
    <w:rsid w:val="400E20D1"/>
    <w:rsid w:val="40181D19"/>
    <w:rsid w:val="40266AEA"/>
    <w:rsid w:val="403927B4"/>
    <w:rsid w:val="403F3F4B"/>
    <w:rsid w:val="407A6915"/>
    <w:rsid w:val="40A1621A"/>
    <w:rsid w:val="40E63509"/>
    <w:rsid w:val="41246B2B"/>
    <w:rsid w:val="412B5FCA"/>
    <w:rsid w:val="4132771E"/>
    <w:rsid w:val="41335D4E"/>
    <w:rsid w:val="41380B8F"/>
    <w:rsid w:val="413E7575"/>
    <w:rsid w:val="415C597C"/>
    <w:rsid w:val="41634773"/>
    <w:rsid w:val="41901E2C"/>
    <w:rsid w:val="419D7B29"/>
    <w:rsid w:val="419F47B5"/>
    <w:rsid w:val="41C625AF"/>
    <w:rsid w:val="41CE133A"/>
    <w:rsid w:val="41CF051C"/>
    <w:rsid w:val="41E25ED1"/>
    <w:rsid w:val="41F05DA9"/>
    <w:rsid w:val="421620DF"/>
    <w:rsid w:val="42744649"/>
    <w:rsid w:val="429E2461"/>
    <w:rsid w:val="42BE2361"/>
    <w:rsid w:val="42DC32C4"/>
    <w:rsid w:val="4304061E"/>
    <w:rsid w:val="43055F9E"/>
    <w:rsid w:val="4321600F"/>
    <w:rsid w:val="434C5AB8"/>
    <w:rsid w:val="435931C4"/>
    <w:rsid w:val="43787DEB"/>
    <w:rsid w:val="438A6999"/>
    <w:rsid w:val="43D755DE"/>
    <w:rsid w:val="43DF438F"/>
    <w:rsid w:val="43E07C2F"/>
    <w:rsid w:val="43E32E0D"/>
    <w:rsid w:val="43FC4722"/>
    <w:rsid w:val="44013E70"/>
    <w:rsid w:val="441409B3"/>
    <w:rsid w:val="441C2F28"/>
    <w:rsid w:val="44207E07"/>
    <w:rsid w:val="44481958"/>
    <w:rsid w:val="444D276C"/>
    <w:rsid w:val="446C481B"/>
    <w:rsid w:val="446F6F73"/>
    <w:rsid w:val="44782CCD"/>
    <w:rsid w:val="448118D2"/>
    <w:rsid w:val="44890AEF"/>
    <w:rsid w:val="448C5777"/>
    <w:rsid w:val="44B304B5"/>
    <w:rsid w:val="44B47891"/>
    <w:rsid w:val="44C65ACB"/>
    <w:rsid w:val="451326F7"/>
    <w:rsid w:val="451A617D"/>
    <w:rsid w:val="452071C9"/>
    <w:rsid w:val="45237113"/>
    <w:rsid w:val="4527197B"/>
    <w:rsid w:val="45284EA7"/>
    <w:rsid w:val="45421343"/>
    <w:rsid w:val="45572EFE"/>
    <w:rsid w:val="457838D8"/>
    <w:rsid w:val="4582115D"/>
    <w:rsid w:val="458A268A"/>
    <w:rsid w:val="45D05F53"/>
    <w:rsid w:val="45E30B2E"/>
    <w:rsid w:val="46014C78"/>
    <w:rsid w:val="461146FC"/>
    <w:rsid w:val="461F4C35"/>
    <w:rsid w:val="46336B40"/>
    <w:rsid w:val="46452E23"/>
    <w:rsid w:val="464D3D4D"/>
    <w:rsid w:val="4665426A"/>
    <w:rsid w:val="469B605E"/>
    <w:rsid w:val="46AA1F11"/>
    <w:rsid w:val="46BB7AA0"/>
    <w:rsid w:val="46C17788"/>
    <w:rsid w:val="46CC546D"/>
    <w:rsid w:val="46CE74F8"/>
    <w:rsid w:val="46E324AF"/>
    <w:rsid w:val="46EC49C0"/>
    <w:rsid w:val="4720222D"/>
    <w:rsid w:val="47355EC7"/>
    <w:rsid w:val="47764DB6"/>
    <w:rsid w:val="477D26D7"/>
    <w:rsid w:val="47854777"/>
    <w:rsid w:val="478E4F70"/>
    <w:rsid w:val="47B114A3"/>
    <w:rsid w:val="47E31599"/>
    <w:rsid w:val="483F1627"/>
    <w:rsid w:val="48420AC3"/>
    <w:rsid w:val="484272A9"/>
    <w:rsid w:val="484910C2"/>
    <w:rsid w:val="485405BC"/>
    <w:rsid w:val="486B2735"/>
    <w:rsid w:val="488B56AC"/>
    <w:rsid w:val="48C020E5"/>
    <w:rsid w:val="48C432AD"/>
    <w:rsid w:val="48C90F50"/>
    <w:rsid w:val="48CC3954"/>
    <w:rsid w:val="48D54E9A"/>
    <w:rsid w:val="48D60259"/>
    <w:rsid w:val="48E05DB7"/>
    <w:rsid w:val="48E93806"/>
    <w:rsid w:val="48EA49EB"/>
    <w:rsid w:val="491639D3"/>
    <w:rsid w:val="49250EED"/>
    <w:rsid w:val="49364290"/>
    <w:rsid w:val="49866979"/>
    <w:rsid w:val="49926336"/>
    <w:rsid w:val="49A52DE3"/>
    <w:rsid w:val="49A92383"/>
    <w:rsid w:val="49B478E7"/>
    <w:rsid w:val="4A186B76"/>
    <w:rsid w:val="4A1913D2"/>
    <w:rsid w:val="4A38287C"/>
    <w:rsid w:val="4A682188"/>
    <w:rsid w:val="4A6A314B"/>
    <w:rsid w:val="4A860DC3"/>
    <w:rsid w:val="4A8B3647"/>
    <w:rsid w:val="4A9A71E4"/>
    <w:rsid w:val="4AB22EF1"/>
    <w:rsid w:val="4ACA5F47"/>
    <w:rsid w:val="4AEA4871"/>
    <w:rsid w:val="4B026B8B"/>
    <w:rsid w:val="4B0C3DB9"/>
    <w:rsid w:val="4B1C270A"/>
    <w:rsid w:val="4B3D354C"/>
    <w:rsid w:val="4B455C1F"/>
    <w:rsid w:val="4B4655D6"/>
    <w:rsid w:val="4B616F89"/>
    <w:rsid w:val="4B6976A2"/>
    <w:rsid w:val="4B6F7C86"/>
    <w:rsid w:val="4B893011"/>
    <w:rsid w:val="4B8F2702"/>
    <w:rsid w:val="4BA91D4A"/>
    <w:rsid w:val="4BB17858"/>
    <w:rsid w:val="4BC64415"/>
    <w:rsid w:val="4BD12CAE"/>
    <w:rsid w:val="4C135B9E"/>
    <w:rsid w:val="4C1E6B87"/>
    <w:rsid w:val="4C2D5CCB"/>
    <w:rsid w:val="4C387FE4"/>
    <w:rsid w:val="4C643419"/>
    <w:rsid w:val="4C774252"/>
    <w:rsid w:val="4C8153E8"/>
    <w:rsid w:val="4C862E6A"/>
    <w:rsid w:val="4C893252"/>
    <w:rsid w:val="4CB768E0"/>
    <w:rsid w:val="4CB77D88"/>
    <w:rsid w:val="4CC01FB4"/>
    <w:rsid w:val="4CD76701"/>
    <w:rsid w:val="4CF30483"/>
    <w:rsid w:val="4D0345C8"/>
    <w:rsid w:val="4D084134"/>
    <w:rsid w:val="4D1C679A"/>
    <w:rsid w:val="4D2A1C2C"/>
    <w:rsid w:val="4D2A58BA"/>
    <w:rsid w:val="4D4229F8"/>
    <w:rsid w:val="4D54607B"/>
    <w:rsid w:val="4D6F2D06"/>
    <w:rsid w:val="4D7A46FC"/>
    <w:rsid w:val="4D7C1A86"/>
    <w:rsid w:val="4D7E2FE3"/>
    <w:rsid w:val="4D8A4CD1"/>
    <w:rsid w:val="4DAD2868"/>
    <w:rsid w:val="4DB1717A"/>
    <w:rsid w:val="4DBD5A5E"/>
    <w:rsid w:val="4DC67A1F"/>
    <w:rsid w:val="4DC7024C"/>
    <w:rsid w:val="4DCC2F54"/>
    <w:rsid w:val="4DCC5705"/>
    <w:rsid w:val="4DEC4AEC"/>
    <w:rsid w:val="4E1F0D00"/>
    <w:rsid w:val="4E295DAB"/>
    <w:rsid w:val="4E336F9E"/>
    <w:rsid w:val="4E4126DA"/>
    <w:rsid w:val="4E58357B"/>
    <w:rsid w:val="4E786253"/>
    <w:rsid w:val="4EA230BC"/>
    <w:rsid w:val="4EA6700A"/>
    <w:rsid w:val="4EC037AC"/>
    <w:rsid w:val="4EEF0C05"/>
    <w:rsid w:val="4F142BFD"/>
    <w:rsid w:val="4F164C15"/>
    <w:rsid w:val="4F225C4A"/>
    <w:rsid w:val="4F68323D"/>
    <w:rsid w:val="4F6D41D5"/>
    <w:rsid w:val="4F7261BB"/>
    <w:rsid w:val="4F9C6295"/>
    <w:rsid w:val="4FC8506F"/>
    <w:rsid w:val="4FD02497"/>
    <w:rsid w:val="4FEB4163"/>
    <w:rsid w:val="4FF00E27"/>
    <w:rsid w:val="4FF256D5"/>
    <w:rsid w:val="50104D61"/>
    <w:rsid w:val="50214AAC"/>
    <w:rsid w:val="50414293"/>
    <w:rsid w:val="504A26DB"/>
    <w:rsid w:val="505B2A9D"/>
    <w:rsid w:val="5061635A"/>
    <w:rsid w:val="506E3666"/>
    <w:rsid w:val="507035CF"/>
    <w:rsid w:val="507C4D08"/>
    <w:rsid w:val="50A35AA0"/>
    <w:rsid w:val="50B8474C"/>
    <w:rsid w:val="50CB7A8A"/>
    <w:rsid w:val="50CE6B47"/>
    <w:rsid w:val="50F76041"/>
    <w:rsid w:val="510737C2"/>
    <w:rsid w:val="51580B71"/>
    <w:rsid w:val="515F72B2"/>
    <w:rsid w:val="517F39A6"/>
    <w:rsid w:val="51B15952"/>
    <w:rsid w:val="51CE7AA5"/>
    <w:rsid w:val="51D65839"/>
    <w:rsid w:val="51E8496C"/>
    <w:rsid w:val="520872C7"/>
    <w:rsid w:val="523B64FE"/>
    <w:rsid w:val="52835A7F"/>
    <w:rsid w:val="52870086"/>
    <w:rsid w:val="52962B65"/>
    <w:rsid w:val="52A249F1"/>
    <w:rsid w:val="52A75B83"/>
    <w:rsid w:val="52B778B3"/>
    <w:rsid w:val="52D967C0"/>
    <w:rsid w:val="52E71C77"/>
    <w:rsid w:val="52EA35F6"/>
    <w:rsid w:val="53130B62"/>
    <w:rsid w:val="531C5F8C"/>
    <w:rsid w:val="53294022"/>
    <w:rsid w:val="534303F0"/>
    <w:rsid w:val="537E609F"/>
    <w:rsid w:val="539415B3"/>
    <w:rsid w:val="53A708BB"/>
    <w:rsid w:val="53AE7E38"/>
    <w:rsid w:val="53BC117C"/>
    <w:rsid w:val="53BC40A7"/>
    <w:rsid w:val="53C30F5B"/>
    <w:rsid w:val="54115660"/>
    <w:rsid w:val="54276378"/>
    <w:rsid w:val="54333283"/>
    <w:rsid w:val="544B15D9"/>
    <w:rsid w:val="54614F62"/>
    <w:rsid w:val="54700509"/>
    <w:rsid w:val="54711DD5"/>
    <w:rsid w:val="54A857FB"/>
    <w:rsid w:val="54D8441B"/>
    <w:rsid w:val="54DD12F9"/>
    <w:rsid w:val="54EA1308"/>
    <w:rsid w:val="551727AE"/>
    <w:rsid w:val="551A62B7"/>
    <w:rsid w:val="55271AB4"/>
    <w:rsid w:val="55510A1A"/>
    <w:rsid w:val="55555437"/>
    <w:rsid w:val="55791872"/>
    <w:rsid w:val="559536F4"/>
    <w:rsid w:val="559D2FCE"/>
    <w:rsid w:val="55AC1C92"/>
    <w:rsid w:val="55AE7637"/>
    <w:rsid w:val="55BB6FD4"/>
    <w:rsid w:val="55C73405"/>
    <w:rsid w:val="55D902FE"/>
    <w:rsid w:val="55E9591E"/>
    <w:rsid w:val="560D71B7"/>
    <w:rsid w:val="56361DAB"/>
    <w:rsid w:val="56372709"/>
    <w:rsid w:val="56466800"/>
    <w:rsid w:val="564D76C4"/>
    <w:rsid w:val="5651688B"/>
    <w:rsid w:val="565B7294"/>
    <w:rsid w:val="56657C8B"/>
    <w:rsid w:val="56826393"/>
    <w:rsid w:val="56961D9D"/>
    <w:rsid w:val="56A557B2"/>
    <w:rsid w:val="56C17F4A"/>
    <w:rsid w:val="56D01F0B"/>
    <w:rsid w:val="56D10242"/>
    <w:rsid w:val="570C25E7"/>
    <w:rsid w:val="572D1F31"/>
    <w:rsid w:val="57456833"/>
    <w:rsid w:val="57594468"/>
    <w:rsid w:val="575B258A"/>
    <w:rsid w:val="575C4B2A"/>
    <w:rsid w:val="575E2713"/>
    <w:rsid w:val="57936F71"/>
    <w:rsid w:val="57A4616D"/>
    <w:rsid w:val="57CF196D"/>
    <w:rsid w:val="57CF6926"/>
    <w:rsid w:val="57CF770A"/>
    <w:rsid w:val="57D66786"/>
    <w:rsid w:val="57DD4699"/>
    <w:rsid w:val="57FF1753"/>
    <w:rsid w:val="581838E1"/>
    <w:rsid w:val="58397A17"/>
    <w:rsid w:val="583C1CAD"/>
    <w:rsid w:val="586B6234"/>
    <w:rsid w:val="587C27B5"/>
    <w:rsid w:val="588615FB"/>
    <w:rsid w:val="58A7021B"/>
    <w:rsid w:val="58BE1ECF"/>
    <w:rsid w:val="58BE475E"/>
    <w:rsid w:val="58DC7276"/>
    <w:rsid w:val="58F01CD7"/>
    <w:rsid w:val="590638FA"/>
    <w:rsid w:val="590C6909"/>
    <w:rsid w:val="591E2113"/>
    <w:rsid w:val="592133CA"/>
    <w:rsid w:val="593E2AD4"/>
    <w:rsid w:val="594303C0"/>
    <w:rsid w:val="598A2F5F"/>
    <w:rsid w:val="59B3095B"/>
    <w:rsid w:val="59C17738"/>
    <w:rsid w:val="59CF6F64"/>
    <w:rsid w:val="59D22124"/>
    <w:rsid w:val="59D77167"/>
    <w:rsid w:val="59EC57FA"/>
    <w:rsid w:val="59FD3EE5"/>
    <w:rsid w:val="5A0F1B5B"/>
    <w:rsid w:val="5A2B4255"/>
    <w:rsid w:val="5A570274"/>
    <w:rsid w:val="5A5B3749"/>
    <w:rsid w:val="5A9155FA"/>
    <w:rsid w:val="5AA65860"/>
    <w:rsid w:val="5AB22D41"/>
    <w:rsid w:val="5ABC2445"/>
    <w:rsid w:val="5AE53974"/>
    <w:rsid w:val="5AE731B8"/>
    <w:rsid w:val="5AFA4F8A"/>
    <w:rsid w:val="5B0B4B3D"/>
    <w:rsid w:val="5B3A1E20"/>
    <w:rsid w:val="5B3C68B4"/>
    <w:rsid w:val="5B462075"/>
    <w:rsid w:val="5B497211"/>
    <w:rsid w:val="5B50466F"/>
    <w:rsid w:val="5B521B3E"/>
    <w:rsid w:val="5B5C070D"/>
    <w:rsid w:val="5B5D10C4"/>
    <w:rsid w:val="5B6B230D"/>
    <w:rsid w:val="5B6D27E1"/>
    <w:rsid w:val="5B7B3AD9"/>
    <w:rsid w:val="5B8C6B05"/>
    <w:rsid w:val="5B9F029A"/>
    <w:rsid w:val="5BA206A7"/>
    <w:rsid w:val="5BAE0432"/>
    <w:rsid w:val="5BBF5A6E"/>
    <w:rsid w:val="5BD16844"/>
    <w:rsid w:val="5BF32245"/>
    <w:rsid w:val="5C0C5329"/>
    <w:rsid w:val="5C225FA7"/>
    <w:rsid w:val="5C47161F"/>
    <w:rsid w:val="5C7155D3"/>
    <w:rsid w:val="5C7A091C"/>
    <w:rsid w:val="5C877CE2"/>
    <w:rsid w:val="5C885B85"/>
    <w:rsid w:val="5CA91110"/>
    <w:rsid w:val="5CEF1C2C"/>
    <w:rsid w:val="5D155BE1"/>
    <w:rsid w:val="5D206E8C"/>
    <w:rsid w:val="5D215412"/>
    <w:rsid w:val="5D261DE6"/>
    <w:rsid w:val="5D464CFA"/>
    <w:rsid w:val="5D4E5502"/>
    <w:rsid w:val="5D564D85"/>
    <w:rsid w:val="5D5A1BF7"/>
    <w:rsid w:val="5D7B43B7"/>
    <w:rsid w:val="5D8D3969"/>
    <w:rsid w:val="5DA2236F"/>
    <w:rsid w:val="5DC618B0"/>
    <w:rsid w:val="5DEC2C3F"/>
    <w:rsid w:val="5DF96054"/>
    <w:rsid w:val="5E011B92"/>
    <w:rsid w:val="5E0621C0"/>
    <w:rsid w:val="5E071EE3"/>
    <w:rsid w:val="5E0C7E67"/>
    <w:rsid w:val="5E3E7C27"/>
    <w:rsid w:val="5E74686B"/>
    <w:rsid w:val="5E9B130F"/>
    <w:rsid w:val="5EBA34AB"/>
    <w:rsid w:val="5EE05833"/>
    <w:rsid w:val="5EE51409"/>
    <w:rsid w:val="5EF870D7"/>
    <w:rsid w:val="5F1E0A55"/>
    <w:rsid w:val="5F2821E0"/>
    <w:rsid w:val="5F2A36D9"/>
    <w:rsid w:val="5F3736F7"/>
    <w:rsid w:val="5F5972B5"/>
    <w:rsid w:val="5F5C3BD5"/>
    <w:rsid w:val="5F5D3471"/>
    <w:rsid w:val="5F650B30"/>
    <w:rsid w:val="5F7009A6"/>
    <w:rsid w:val="5F785507"/>
    <w:rsid w:val="5F7A56A9"/>
    <w:rsid w:val="5FB577CD"/>
    <w:rsid w:val="5FBC4062"/>
    <w:rsid w:val="5FC506E9"/>
    <w:rsid w:val="5FD05297"/>
    <w:rsid w:val="5FDD42FC"/>
    <w:rsid w:val="5FE14711"/>
    <w:rsid w:val="5FF14751"/>
    <w:rsid w:val="5FF35C4A"/>
    <w:rsid w:val="60004C71"/>
    <w:rsid w:val="60140341"/>
    <w:rsid w:val="60200C42"/>
    <w:rsid w:val="60361B67"/>
    <w:rsid w:val="60387C15"/>
    <w:rsid w:val="607428BE"/>
    <w:rsid w:val="6084510D"/>
    <w:rsid w:val="608B1314"/>
    <w:rsid w:val="608D1835"/>
    <w:rsid w:val="60991E33"/>
    <w:rsid w:val="60BD3698"/>
    <w:rsid w:val="60C04DD2"/>
    <w:rsid w:val="60DC265F"/>
    <w:rsid w:val="60DE745E"/>
    <w:rsid w:val="610B7C07"/>
    <w:rsid w:val="615148FB"/>
    <w:rsid w:val="616D5353"/>
    <w:rsid w:val="618B606A"/>
    <w:rsid w:val="618D7445"/>
    <w:rsid w:val="61970B21"/>
    <w:rsid w:val="61AC3A1F"/>
    <w:rsid w:val="61B1530F"/>
    <w:rsid w:val="61B4061F"/>
    <w:rsid w:val="61C601F3"/>
    <w:rsid w:val="61C631F6"/>
    <w:rsid w:val="61C87DD7"/>
    <w:rsid w:val="61D05DA6"/>
    <w:rsid w:val="61DE2D9D"/>
    <w:rsid w:val="620060AA"/>
    <w:rsid w:val="62007BB5"/>
    <w:rsid w:val="620B159A"/>
    <w:rsid w:val="62156EF3"/>
    <w:rsid w:val="62465AA7"/>
    <w:rsid w:val="624D214A"/>
    <w:rsid w:val="624E07D6"/>
    <w:rsid w:val="62552914"/>
    <w:rsid w:val="62554171"/>
    <w:rsid w:val="626F4CF3"/>
    <w:rsid w:val="628606CA"/>
    <w:rsid w:val="62AD0364"/>
    <w:rsid w:val="62C30AFA"/>
    <w:rsid w:val="62E14E70"/>
    <w:rsid w:val="62F457A7"/>
    <w:rsid w:val="62F9794D"/>
    <w:rsid w:val="63042F74"/>
    <w:rsid w:val="63110157"/>
    <w:rsid w:val="63163450"/>
    <w:rsid w:val="633749CC"/>
    <w:rsid w:val="63653F0D"/>
    <w:rsid w:val="63853736"/>
    <w:rsid w:val="638C082D"/>
    <w:rsid w:val="639A0C3D"/>
    <w:rsid w:val="639A38C8"/>
    <w:rsid w:val="63A116AB"/>
    <w:rsid w:val="63B47FC2"/>
    <w:rsid w:val="63C90225"/>
    <w:rsid w:val="63E35E53"/>
    <w:rsid w:val="63EA5B4B"/>
    <w:rsid w:val="64124993"/>
    <w:rsid w:val="6415242C"/>
    <w:rsid w:val="64197F20"/>
    <w:rsid w:val="64207756"/>
    <w:rsid w:val="64255C0D"/>
    <w:rsid w:val="64380B9D"/>
    <w:rsid w:val="64533937"/>
    <w:rsid w:val="6459143F"/>
    <w:rsid w:val="646475EB"/>
    <w:rsid w:val="6470611F"/>
    <w:rsid w:val="647771E8"/>
    <w:rsid w:val="6492157D"/>
    <w:rsid w:val="64D25A06"/>
    <w:rsid w:val="64D83B69"/>
    <w:rsid w:val="64EB5880"/>
    <w:rsid w:val="65023850"/>
    <w:rsid w:val="6514260D"/>
    <w:rsid w:val="652003AC"/>
    <w:rsid w:val="653757D5"/>
    <w:rsid w:val="654140A9"/>
    <w:rsid w:val="654516C2"/>
    <w:rsid w:val="659106D2"/>
    <w:rsid w:val="65AE2BD8"/>
    <w:rsid w:val="65B6019B"/>
    <w:rsid w:val="65C21893"/>
    <w:rsid w:val="661560A2"/>
    <w:rsid w:val="66166F38"/>
    <w:rsid w:val="661852C6"/>
    <w:rsid w:val="661D6ACD"/>
    <w:rsid w:val="66304D13"/>
    <w:rsid w:val="663A106C"/>
    <w:rsid w:val="663D3E1A"/>
    <w:rsid w:val="665208AB"/>
    <w:rsid w:val="66602964"/>
    <w:rsid w:val="66633D4D"/>
    <w:rsid w:val="667C44BA"/>
    <w:rsid w:val="66857477"/>
    <w:rsid w:val="66A22514"/>
    <w:rsid w:val="66AF2759"/>
    <w:rsid w:val="66B95340"/>
    <w:rsid w:val="6712717F"/>
    <w:rsid w:val="67242EAA"/>
    <w:rsid w:val="67293416"/>
    <w:rsid w:val="67546B21"/>
    <w:rsid w:val="675A5144"/>
    <w:rsid w:val="67621B26"/>
    <w:rsid w:val="67773D11"/>
    <w:rsid w:val="679A1153"/>
    <w:rsid w:val="679B652F"/>
    <w:rsid w:val="67B87998"/>
    <w:rsid w:val="67EE6639"/>
    <w:rsid w:val="67FC76B8"/>
    <w:rsid w:val="68074459"/>
    <w:rsid w:val="683B09FD"/>
    <w:rsid w:val="683C3851"/>
    <w:rsid w:val="68416C0E"/>
    <w:rsid w:val="68470F5F"/>
    <w:rsid w:val="6851301E"/>
    <w:rsid w:val="685263C7"/>
    <w:rsid w:val="687A3803"/>
    <w:rsid w:val="68893C7F"/>
    <w:rsid w:val="688D3042"/>
    <w:rsid w:val="68B77C06"/>
    <w:rsid w:val="68C416C2"/>
    <w:rsid w:val="68C835E6"/>
    <w:rsid w:val="68F35C7E"/>
    <w:rsid w:val="690078FC"/>
    <w:rsid w:val="69021059"/>
    <w:rsid w:val="69142624"/>
    <w:rsid w:val="69253A48"/>
    <w:rsid w:val="692D5CD4"/>
    <w:rsid w:val="694F3806"/>
    <w:rsid w:val="695556F1"/>
    <w:rsid w:val="695F4647"/>
    <w:rsid w:val="696B5BE5"/>
    <w:rsid w:val="697F38E6"/>
    <w:rsid w:val="69A9760B"/>
    <w:rsid w:val="69BB4267"/>
    <w:rsid w:val="69C14413"/>
    <w:rsid w:val="69C50256"/>
    <w:rsid w:val="69D75658"/>
    <w:rsid w:val="69DD789A"/>
    <w:rsid w:val="69F951AF"/>
    <w:rsid w:val="6A092AC7"/>
    <w:rsid w:val="6A0B3498"/>
    <w:rsid w:val="6A7B381F"/>
    <w:rsid w:val="6A981298"/>
    <w:rsid w:val="6A9D6330"/>
    <w:rsid w:val="6AA1791F"/>
    <w:rsid w:val="6AA57095"/>
    <w:rsid w:val="6AAD71A8"/>
    <w:rsid w:val="6ABA47B1"/>
    <w:rsid w:val="6AC742F1"/>
    <w:rsid w:val="6ACD4857"/>
    <w:rsid w:val="6AE42C06"/>
    <w:rsid w:val="6B3A7BC1"/>
    <w:rsid w:val="6B496245"/>
    <w:rsid w:val="6B4A78F9"/>
    <w:rsid w:val="6B5D3802"/>
    <w:rsid w:val="6B727713"/>
    <w:rsid w:val="6B7975A2"/>
    <w:rsid w:val="6B7D1EE4"/>
    <w:rsid w:val="6B9C69F1"/>
    <w:rsid w:val="6BA31E24"/>
    <w:rsid w:val="6BC90B44"/>
    <w:rsid w:val="6BD0637C"/>
    <w:rsid w:val="6BD5266B"/>
    <w:rsid w:val="6BE168A6"/>
    <w:rsid w:val="6C144133"/>
    <w:rsid w:val="6C66496C"/>
    <w:rsid w:val="6C953FB6"/>
    <w:rsid w:val="6C954E4D"/>
    <w:rsid w:val="6C972D91"/>
    <w:rsid w:val="6C9C1971"/>
    <w:rsid w:val="6C9E7751"/>
    <w:rsid w:val="6CA71E85"/>
    <w:rsid w:val="6CB43B69"/>
    <w:rsid w:val="6CBC431E"/>
    <w:rsid w:val="6CDC3283"/>
    <w:rsid w:val="6CE635EB"/>
    <w:rsid w:val="6D0E1251"/>
    <w:rsid w:val="6D2329D9"/>
    <w:rsid w:val="6D256854"/>
    <w:rsid w:val="6D337701"/>
    <w:rsid w:val="6D432F76"/>
    <w:rsid w:val="6D5371CE"/>
    <w:rsid w:val="6D5E51D0"/>
    <w:rsid w:val="6D611FC3"/>
    <w:rsid w:val="6D6E1FAF"/>
    <w:rsid w:val="6D8E20EA"/>
    <w:rsid w:val="6D9D71E3"/>
    <w:rsid w:val="6DA012D8"/>
    <w:rsid w:val="6DAD0FAF"/>
    <w:rsid w:val="6DAD76D7"/>
    <w:rsid w:val="6DCF4F92"/>
    <w:rsid w:val="6DD42D8C"/>
    <w:rsid w:val="6DD639C7"/>
    <w:rsid w:val="6DE35F7C"/>
    <w:rsid w:val="6DEA1D4F"/>
    <w:rsid w:val="6DFC0194"/>
    <w:rsid w:val="6E011A4E"/>
    <w:rsid w:val="6E1365DC"/>
    <w:rsid w:val="6E205A5D"/>
    <w:rsid w:val="6E28030A"/>
    <w:rsid w:val="6E2A314C"/>
    <w:rsid w:val="6E2C1337"/>
    <w:rsid w:val="6E3E3F17"/>
    <w:rsid w:val="6E3E496D"/>
    <w:rsid w:val="6E730F64"/>
    <w:rsid w:val="6E780F21"/>
    <w:rsid w:val="6E8503D9"/>
    <w:rsid w:val="6E877239"/>
    <w:rsid w:val="6EB06D86"/>
    <w:rsid w:val="6EBF588C"/>
    <w:rsid w:val="6EC63E60"/>
    <w:rsid w:val="6EFF1CAD"/>
    <w:rsid w:val="6F0577A8"/>
    <w:rsid w:val="6F222E62"/>
    <w:rsid w:val="6F541C16"/>
    <w:rsid w:val="6F5903AF"/>
    <w:rsid w:val="6F591CEC"/>
    <w:rsid w:val="6F734DB9"/>
    <w:rsid w:val="6F887AD1"/>
    <w:rsid w:val="6F96351B"/>
    <w:rsid w:val="6FB2118C"/>
    <w:rsid w:val="6FB311E5"/>
    <w:rsid w:val="6FBB3ABC"/>
    <w:rsid w:val="6FCA1481"/>
    <w:rsid w:val="6FE25552"/>
    <w:rsid w:val="6FEA7830"/>
    <w:rsid w:val="700134AA"/>
    <w:rsid w:val="700700F7"/>
    <w:rsid w:val="70093EB1"/>
    <w:rsid w:val="70094F86"/>
    <w:rsid w:val="700A1845"/>
    <w:rsid w:val="705802FB"/>
    <w:rsid w:val="705C5C76"/>
    <w:rsid w:val="706502DB"/>
    <w:rsid w:val="70653DE6"/>
    <w:rsid w:val="7086384E"/>
    <w:rsid w:val="70CB0A7C"/>
    <w:rsid w:val="70D2143E"/>
    <w:rsid w:val="71052DE1"/>
    <w:rsid w:val="71202CB5"/>
    <w:rsid w:val="71540696"/>
    <w:rsid w:val="718F0F81"/>
    <w:rsid w:val="719B1355"/>
    <w:rsid w:val="71AC7FA4"/>
    <w:rsid w:val="71C07997"/>
    <w:rsid w:val="71C138D1"/>
    <w:rsid w:val="71D7617B"/>
    <w:rsid w:val="71DB2123"/>
    <w:rsid w:val="71E41E9A"/>
    <w:rsid w:val="71EE11EF"/>
    <w:rsid w:val="71EE461B"/>
    <w:rsid w:val="71F66ABB"/>
    <w:rsid w:val="720134A3"/>
    <w:rsid w:val="72195DC1"/>
    <w:rsid w:val="721C2315"/>
    <w:rsid w:val="721F4573"/>
    <w:rsid w:val="722542A3"/>
    <w:rsid w:val="72257E5C"/>
    <w:rsid w:val="7239292E"/>
    <w:rsid w:val="72433156"/>
    <w:rsid w:val="72695AC8"/>
    <w:rsid w:val="728B181F"/>
    <w:rsid w:val="729A506B"/>
    <w:rsid w:val="72A51228"/>
    <w:rsid w:val="72D26676"/>
    <w:rsid w:val="72E44B0B"/>
    <w:rsid w:val="72E522DC"/>
    <w:rsid w:val="730F704C"/>
    <w:rsid w:val="7368498D"/>
    <w:rsid w:val="736C0EE8"/>
    <w:rsid w:val="73891B24"/>
    <w:rsid w:val="73AC559E"/>
    <w:rsid w:val="73B34071"/>
    <w:rsid w:val="73F317FC"/>
    <w:rsid w:val="74214815"/>
    <w:rsid w:val="74443D60"/>
    <w:rsid w:val="744F5867"/>
    <w:rsid w:val="7450002F"/>
    <w:rsid w:val="74807369"/>
    <w:rsid w:val="748C5385"/>
    <w:rsid w:val="748E1B2A"/>
    <w:rsid w:val="74B23BEA"/>
    <w:rsid w:val="74BA6292"/>
    <w:rsid w:val="74D707AF"/>
    <w:rsid w:val="74DC3986"/>
    <w:rsid w:val="74F96ACC"/>
    <w:rsid w:val="751308C7"/>
    <w:rsid w:val="7530069E"/>
    <w:rsid w:val="754C3AA7"/>
    <w:rsid w:val="75526B55"/>
    <w:rsid w:val="756366FA"/>
    <w:rsid w:val="758E7DBB"/>
    <w:rsid w:val="75B55351"/>
    <w:rsid w:val="75B64648"/>
    <w:rsid w:val="75BD2DF8"/>
    <w:rsid w:val="75D47AED"/>
    <w:rsid w:val="75E336A0"/>
    <w:rsid w:val="75E430AA"/>
    <w:rsid w:val="75E554A0"/>
    <w:rsid w:val="76024A0A"/>
    <w:rsid w:val="76352ADC"/>
    <w:rsid w:val="76416161"/>
    <w:rsid w:val="76464C3F"/>
    <w:rsid w:val="7648231B"/>
    <w:rsid w:val="766107C7"/>
    <w:rsid w:val="767C4975"/>
    <w:rsid w:val="76894804"/>
    <w:rsid w:val="76915069"/>
    <w:rsid w:val="769369CF"/>
    <w:rsid w:val="76962A71"/>
    <w:rsid w:val="76D00E44"/>
    <w:rsid w:val="76F52BE3"/>
    <w:rsid w:val="76F90963"/>
    <w:rsid w:val="77021823"/>
    <w:rsid w:val="77213A07"/>
    <w:rsid w:val="772C2612"/>
    <w:rsid w:val="77315274"/>
    <w:rsid w:val="77486DE8"/>
    <w:rsid w:val="774C2B98"/>
    <w:rsid w:val="77534405"/>
    <w:rsid w:val="77616742"/>
    <w:rsid w:val="7762727C"/>
    <w:rsid w:val="776A1AE3"/>
    <w:rsid w:val="777C76F2"/>
    <w:rsid w:val="77853090"/>
    <w:rsid w:val="778C4DFC"/>
    <w:rsid w:val="77B062EF"/>
    <w:rsid w:val="77F91F88"/>
    <w:rsid w:val="7823056C"/>
    <w:rsid w:val="78354704"/>
    <w:rsid w:val="784D1317"/>
    <w:rsid w:val="78901767"/>
    <w:rsid w:val="78D741CC"/>
    <w:rsid w:val="78E149C4"/>
    <w:rsid w:val="78E45ADF"/>
    <w:rsid w:val="78EE3344"/>
    <w:rsid w:val="78FC3EE6"/>
    <w:rsid w:val="790611D7"/>
    <w:rsid w:val="791D6F6D"/>
    <w:rsid w:val="793D3BB1"/>
    <w:rsid w:val="794A2F1B"/>
    <w:rsid w:val="79553245"/>
    <w:rsid w:val="797A2A0C"/>
    <w:rsid w:val="799F4F4E"/>
    <w:rsid w:val="79A075BD"/>
    <w:rsid w:val="79AC7FAC"/>
    <w:rsid w:val="79D32140"/>
    <w:rsid w:val="79DE2100"/>
    <w:rsid w:val="7A0200B7"/>
    <w:rsid w:val="7A2E04CC"/>
    <w:rsid w:val="7A532AD7"/>
    <w:rsid w:val="7A602904"/>
    <w:rsid w:val="7A6F6402"/>
    <w:rsid w:val="7A704EDB"/>
    <w:rsid w:val="7A7549CC"/>
    <w:rsid w:val="7A933F01"/>
    <w:rsid w:val="7ACF737E"/>
    <w:rsid w:val="7ADA7EEF"/>
    <w:rsid w:val="7AF31DC6"/>
    <w:rsid w:val="7AFF6ABC"/>
    <w:rsid w:val="7B0458BF"/>
    <w:rsid w:val="7B0D54FF"/>
    <w:rsid w:val="7B4664A3"/>
    <w:rsid w:val="7BA12185"/>
    <w:rsid w:val="7BC459F1"/>
    <w:rsid w:val="7BE17EE7"/>
    <w:rsid w:val="7BF567AE"/>
    <w:rsid w:val="7C1A70F3"/>
    <w:rsid w:val="7C1D5ECC"/>
    <w:rsid w:val="7C947B48"/>
    <w:rsid w:val="7CB05E0B"/>
    <w:rsid w:val="7CBC4880"/>
    <w:rsid w:val="7CF219C5"/>
    <w:rsid w:val="7D200427"/>
    <w:rsid w:val="7D233218"/>
    <w:rsid w:val="7D497236"/>
    <w:rsid w:val="7D546BC4"/>
    <w:rsid w:val="7D60281D"/>
    <w:rsid w:val="7D6767FA"/>
    <w:rsid w:val="7D6825CB"/>
    <w:rsid w:val="7D85436B"/>
    <w:rsid w:val="7D9D416A"/>
    <w:rsid w:val="7DAD6003"/>
    <w:rsid w:val="7DB313DD"/>
    <w:rsid w:val="7DBB4EC4"/>
    <w:rsid w:val="7DDB4010"/>
    <w:rsid w:val="7DDD7E37"/>
    <w:rsid w:val="7E1677FE"/>
    <w:rsid w:val="7E230CA6"/>
    <w:rsid w:val="7E3835FD"/>
    <w:rsid w:val="7E38795B"/>
    <w:rsid w:val="7E5A7DBC"/>
    <w:rsid w:val="7E5E1AC1"/>
    <w:rsid w:val="7E677AFF"/>
    <w:rsid w:val="7E712E92"/>
    <w:rsid w:val="7E753DE4"/>
    <w:rsid w:val="7E872530"/>
    <w:rsid w:val="7EB9724B"/>
    <w:rsid w:val="7EC145B8"/>
    <w:rsid w:val="7ECA40E2"/>
    <w:rsid w:val="7ED55C37"/>
    <w:rsid w:val="7EE03800"/>
    <w:rsid w:val="7F191935"/>
    <w:rsid w:val="7F1D178A"/>
    <w:rsid w:val="7F3D6401"/>
    <w:rsid w:val="7F5B1A55"/>
    <w:rsid w:val="7F9D1FD9"/>
    <w:rsid w:val="7FAF743D"/>
    <w:rsid w:val="7FB930F4"/>
    <w:rsid w:val="7FC07296"/>
    <w:rsid w:val="7FC43944"/>
    <w:rsid w:val="7FD860E1"/>
    <w:rsid w:val="7FDC3B78"/>
    <w:rsid w:val="7FEC1FC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9"/>
    <w:pPr>
      <w:keepNext/>
      <w:keepLines/>
      <w:spacing w:before="120" w:after="120"/>
      <w:jc w:val="center"/>
      <w:outlineLvl w:val="0"/>
    </w:pPr>
    <w:rPr>
      <w:rFonts w:eastAsia="黑体"/>
      <w:b/>
      <w:bCs/>
      <w:kern w:val="0"/>
      <w:sz w:val="72"/>
      <w:szCs w:val="44"/>
    </w:rPr>
  </w:style>
  <w:style w:type="paragraph" w:styleId="4">
    <w:name w:val="heading 2"/>
    <w:basedOn w:val="1"/>
    <w:next w:val="1"/>
    <w:link w:val="25"/>
    <w:qFormat/>
    <w:uiPriority w:val="0"/>
    <w:pPr>
      <w:keepNext/>
      <w:keepLines/>
      <w:spacing w:before="120" w:after="120"/>
      <w:jc w:val="center"/>
      <w:outlineLvl w:val="1"/>
    </w:pPr>
    <w:rPr>
      <w:rFonts w:ascii="Arial" w:hAnsi="Arial" w:eastAsia="黑体"/>
      <w:b/>
      <w:bCs/>
      <w:kern w:val="0"/>
      <w:sz w:val="32"/>
      <w:szCs w:val="32"/>
    </w:rPr>
  </w:style>
  <w:style w:type="paragraph" w:styleId="5">
    <w:name w:val="heading 3"/>
    <w:basedOn w:val="1"/>
    <w:next w:val="1"/>
    <w:link w:val="26"/>
    <w:qFormat/>
    <w:uiPriority w:val="0"/>
    <w:pPr>
      <w:keepNext/>
      <w:keepLines/>
      <w:spacing w:before="20" w:after="20"/>
      <w:outlineLvl w:val="2"/>
    </w:pPr>
    <w:rPr>
      <w:rFonts w:eastAsia="黑体"/>
      <w:kern w:val="0"/>
      <w:sz w:val="28"/>
      <w:szCs w:val="32"/>
    </w:rPr>
  </w:style>
  <w:style w:type="paragraph" w:styleId="6">
    <w:name w:val="heading 4"/>
    <w:basedOn w:val="1"/>
    <w:next w:val="1"/>
    <w:link w:val="27"/>
    <w:qFormat/>
    <w:uiPriority w:val="99"/>
    <w:pPr>
      <w:keepNext/>
      <w:keepLines/>
      <w:outlineLvl w:val="3"/>
    </w:pPr>
    <w:rPr>
      <w:rFonts w:ascii="Arial" w:hAnsi="Arial" w:eastAsia="黑体"/>
      <w:bCs/>
      <w:kern w:val="0"/>
      <w:sz w:val="24"/>
      <w:szCs w:val="28"/>
    </w:rPr>
  </w:style>
  <w:style w:type="paragraph" w:styleId="7">
    <w:name w:val="heading 5"/>
    <w:basedOn w:val="1"/>
    <w:next w:val="1"/>
    <w:link w:val="28"/>
    <w:qFormat/>
    <w:uiPriority w:val="99"/>
    <w:pPr>
      <w:keepNext/>
      <w:keepLines/>
      <w:jc w:val="center"/>
      <w:outlineLvl w:val="4"/>
    </w:pPr>
    <w:rPr>
      <w:rFonts w:ascii="宋体" w:hAnsi="宋体"/>
      <w:b/>
      <w:bCs/>
      <w:szCs w:val="21"/>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pPr>
    <w:rPr>
      <w:rFonts w:ascii="仿宋_GB2312" w:eastAsia="仿宋_GB2312"/>
      <w:sz w:val="24"/>
    </w:rPr>
  </w:style>
  <w:style w:type="paragraph" w:styleId="8">
    <w:name w:val="Normal Indent"/>
    <w:basedOn w:val="1"/>
    <w:qFormat/>
    <w:uiPriority w:val="0"/>
    <w:pPr>
      <w:ind w:firstLine="420" w:firstLineChars="200"/>
    </w:pPr>
  </w:style>
  <w:style w:type="paragraph" w:styleId="9">
    <w:name w:val="Document Map"/>
    <w:basedOn w:val="1"/>
    <w:qFormat/>
    <w:uiPriority w:val="99"/>
    <w:pPr>
      <w:shd w:val="clear" w:color="auto" w:fill="000080"/>
    </w:pPr>
  </w:style>
  <w:style w:type="paragraph" w:styleId="10">
    <w:name w:val="annotation text"/>
    <w:basedOn w:val="1"/>
    <w:link w:val="29"/>
    <w:qFormat/>
    <w:uiPriority w:val="99"/>
    <w:pPr>
      <w:jc w:val="left"/>
    </w:pPr>
  </w:style>
  <w:style w:type="paragraph" w:styleId="11">
    <w:name w:val="Date"/>
    <w:basedOn w:val="1"/>
    <w:next w:val="1"/>
    <w:link w:val="30"/>
    <w:qFormat/>
    <w:uiPriority w:val="0"/>
    <w:pPr>
      <w:adjustRightInd w:val="0"/>
      <w:spacing w:line="360" w:lineRule="atLeast"/>
    </w:pPr>
    <w:rPr>
      <w:rFonts w:ascii="宋体"/>
      <w:kern w:val="0"/>
      <w:sz w:val="24"/>
      <w:szCs w:val="20"/>
    </w:rPr>
  </w:style>
  <w:style w:type="paragraph" w:styleId="12">
    <w:name w:val="Balloon Text"/>
    <w:basedOn w:val="1"/>
    <w:link w:val="40"/>
    <w:semiHidden/>
    <w:unhideWhenUsed/>
    <w:qFormat/>
    <w:uiPriority w:val="99"/>
    <w:rPr>
      <w:sz w:val="18"/>
      <w:szCs w:val="18"/>
    </w:rPr>
  </w:style>
  <w:style w:type="paragraph" w:styleId="13">
    <w:name w:val="footer"/>
    <w:basedOn w:val="1"/>
    <w:link w:val="31"/>
    <w:qFormat/>
    <w:uiPriority w:val="99"/>
    <w:pPr>
      <w:tabs>
        <w:tab w:val="center" w:pos="4153"/>
        <w:tab w:val="right" w:pos="8306"/>
      </w:tabs>
      <w:snapToGrid w:val="0"/>
      <w:jc w:val="left"/>
    </w:pPr>
    <w:rPr>
      <w:sz w:val="18"/>
      <w:szCs w:val="18"/>
    </w:rPr>
  </w:style>
  <w:style w:type="paragraph" w:styleId="14">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8302"/>
      </w:tabs>
      <w:spacing w:line="440" w:lineRule="exact"/>
      <w:ind w:left="540" w:leftChars="257"/>
      <w:jc w:val="left"/>
    </w:p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10"/>
    <w:next w:val="10"/>
    <w:link w:val="41"/>
    <w:semiHidden/>
    <w:unhideWhenUsed/>
    <w:qFormat/>
    <w:uiPriority w:val="99"/>
    <w:rPr>
      <w:b/>
      <w:bCs/>
    </w:rPr>
  </w:style>
  <w:style w:type="character" w:styleId="21">
    <w:name w:val="page number"/>
    <w:qFormat/>
    <w:uiPriority w:val="99"/>
    <w:rPr>
      <w:rFonts w:cs="Times New Roman"/>
    </w:rPr>
  </w:style>
  <w:style w:type="character" w:styleId="22">
    <w:name w:val="Hyperlink"/>
    <w:qFormat/>
    <w:uiPriority w:val="99"/>
    <w:rPr>
      <w:rFonts w:cs="Times New Roman"/>
      <w:color w:val="0000FF"/>
      <w:u w:val="single"/>
    </w:rPr>
  </w:style>
  <w:style w:type="character" w:styleId="23">
    <w:name w:val="annotation reference"/>
    <w:basedOn w:val="20"/>
    <w:semiHidden/>
    <w:unhideWhenUsed/>
    <w:qFormat/>
    <w:uiPriority w:val="99"/>
    <w:rPr>
      <w:sz w:val="21"/>
      <w:szCs w:val="21"/>
    </w:rPr>
  </w:style>
  <w:style w:type="character" w:customStyle="1" w:styleId="24">
    <w:name w:val="标题 1 字符"/>
    <w:link w:val="3"/>
    <w:qFormat/>
    <w:locked/>
    <w:uiPriority w:val="99"/>
    <w:rPr>
      <w:rFonts w:cs="Times New Roman"/>
      <w:b/>
      <w:bCs/>
      <w:kern w:val="44"/>
      <w:sz w:val="44"/>
      <w:szCs w:val="44"/>
    </w:rPr>
  </w:style>
  <w:style w:type="character" w:customStyle="1" w:styleId="25">
    <w:name w:val="标题 2 字符"/>
    <w:link w:val="4"/>
    <w:qFormat/>
    <w:locked/>
    <w:uiPriority w:val="0"/>
    <w:rPr>
      <w:rFonts w:ascii="Cambria" w:hAnsi="Cambria" w:eastAsia="宋体" w:cs="Times New Roman"/>
      <w:b/>
      <w:bCs/>
      <w:sz w:val="32"/>
      <w:szCs w:val="32"/>
    </w:rPr>
  </w:style>
  <w:style w:type="character" w:customStyle="1" w:styleId="26">
    <w:name w:val="标题 3 字符"/>
    <w:link w:val="5"/>
    <w:qFormat/>
    <w:locked/>
    <w:uiPriority w:val="0"/>
    <w:rPr>
      <w:rFonts w:cs="Times New Roman"/>
      <w:b/>
      <w:bCs/>
      <w:sz w:val="32"/>
      <w:szCs w:val="32"/>
    </w:rPr>
  </w:style>
  <w:style w:type="character" w:customStyle="1" w:styleId="27">
    <w:name w:val="标题 4 字符"/>
    <w:link w:val="6"/>
    <w:semiHidden/>
    <w:qFormat/>
    <w:locked/>
    <w:uiPriority w:val="99"/>
    <w:rPr>
      <w:rFonts w:ascii="Cambria" w:hAnsi="Cambria" w:eastAsia="宋体" w:cs="Times New Roman"/>
      <w:b/>
      <w:bCs/>
      <w:sz w:val="28"/>
      <w:szCs w:val="28"/>
    </w:rPr>
  </w:style>
  <w:style w:type="character" w:customStyle="1" w:styleId="28">
    <w:name w:val="标题 5 字符"/>
    <w:link w:val="7"/>
    <w:semiHidden/>
    <w:qFormat/>
    <w:locked/>
    <w:uiPriority w:val="99"/>
    <w:rPr>
      <w:rFonts w:cs="Times New Roman"/>
      <w:b/>
      <w:bCs/>
      <w:sz w:val="28"/>
      <w:szCs w:val="28"/>
    </w:rPr>
  </w:style>
  <w:style w:type="character" w:customStyle="1" w:styleId="29">
    <w:name w:val="批注文字 字符"/>
    <w:link w:val="10"/>
    <w:semiHidden/>
    <w:qFormat/>
    <w:locked/>
    <w:uiPriority w:val="99"/>
    <w:rPr>
      <w:rFonts w:cs="Times New Roman"/>
      <w:sz w:val="24"/>
      <w:szCs w:val="24"/>
    </w:rPr>
  </w:style>
  <w:style w:type="character" w:customStyle="1" w:styleId="30">
    <w:name w:val="日期 字符"/>
    <w:link w:val="11"/>
    <w:semiHidden/>
    <w:qFormat/>
    <w:locked/>
    <w:uiPriority w:val="0"/>
    <w:rPr>
      <w:rFonts w:cs="Times New Roman"/>
      <w:sz w:val="24"/>
      <w:szCs w:val="24"/>
    </w:rPr>
  </w:style>
  <w:style w:type="character" w:customStyle="1" w:styleId="31">
    <w:name w:val="页脚 字符"/>
    <w:link w:val="13"/>
    <w:semiHidden/>
    <w:qFormat/>
    <w:locked/>
    <w:uiPriority w:val="99"/>
    <w:rPr>
      <w:rFonts w:cs="Times New Roman"/>
      <w:sz w:val="18"/>
      <w:szCs w:val="18"/>
    </w:rPr>
  </w:style>
  <w:style w:type="paragraph" w:customStyle="1" w:styleId="32">
    <w:name w:val="列出段落1"/>
    <w:basedOn w:val="1"/>
    <w:qFormat/>
    <w:uiPriority w:val="99"/>
    <w:pPr>
      <w:ind w:firstLine="420" w:firstLineChars="200"/>
    </w:pPr>
    <w:rPr>
      <w:rFonts w:ascii="Calibri" w:hAnsi="Calibri"/>
      <w:szCs w:val="22"/>
    </w:rPr>
  </w:style>
  <w:style w:type="paragraph" w:customStyle="1" w:styleId="33">
    <w:name w:val="样式 标题 3 + (中文) 黑体 小四 非加粗 段前: 7.8 磅 段后: 0 磅 行距: 固定值 20 磅"/>
    <w:basedOn w:val="5"/>
    <w:next w:val="1"/>
    <w:qFormat/>
    <w:uiPriority w:val="99"/>
    <w:pPr>
      <w:spacing w:before="0" w:after="0" w:line="400" w:lineRule="exact"/>
    </w:pPr>
    <w:rPr>
      <w:sz w:val="24"/>
      <w:szCs w:val="20"/>
    </w:rPr>
  </w:style>
  <w:style w:type="paragraph" w:customStyle="1" w:styleId="3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35">
    <w:name w:val="font11"/>
    <w:qFormat/>
    <w:uiPriority w:val="99"/>
    <w:rPr>
      <w:rFonts w:ascii="宋体" w:hAnsi="宋体" w:eastAsia="宋体" w:cs="宋体"/>
      <w:color w:val="000000"/>
      <w:sz w:val="20"/>
      <w:szCs w:val="20"/>
    </w:rPr>
  </w:style>
  <w:style w:type="paragraph" w:customStyle="1" w:styleId="36">
    <w:name w:val="无间隔1"/>
    <w:link w:val="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styleId="38">
    <w:name w:val="List Paragraph"/>
    <w:basedOn w:val="1"/>
    <w:unhideWhenUsed/>
    <w:qFormat/>
    <w:uiPriority w:val="99"/>
    <w:pPr>
      <w:ind w:firstLine="420" w:firstLineChars="200"/>
    </w:pPr>
  </w:style>
  <w:style w:type="character" w:customStyle="1" w:styleId="39">
    <w:name w:val="页眉 字符"/>
    <w:basedOn w:val="20"/>
    <w:link w:val="14"/>
    <w:qFormat/>
    <w:uiPriority w:val="99"/>
    <w:rPr>
      <w:kern w:val="2"/>
      <w:sz w:val="18"/>
      <w:szCs w:val="18"/>
    </w:rPr>
  </w:style>
  <w:style w:type="character" w:customStyle="1" w:styleId="40">
    <w:name w:val="批注框文本 字符"/>
    <w:basedOn w:val="20"/>
    <w:link w:val="12"/>
    <w:semiHidden/>
    <w:qFormat/>
    <w:uiPriority w:val="99"/>
    <w:rPr>
      <w:kern w:val="2"/>
      <w:sz w:val="18"/>
      <w:szCs w:val="18"/>
    </w:rPr>
  </w:style>
  <w:style w:type="character" w:customStyle="1" w:styleId="41">
    <w:name w:val="批注主题 字符"/>
    <w:basedOn w:val="29"/>
    <w:link w:val="18"/>
    <w:semiHidden/>
    <w:qFormat/>
    <w:uiPriority w:val="99"/>
    <w:rPr>
      <w:rFonts w:cs="Times New Roman"/>
      <w:b/>
      <w:bCs/>
      <w:kern w:val="2"/>
      <w:sz w:val="21"/>
      <w:szCs w:val="24"/>
    </w:rPr>
  </w:style>
  <w:style w:type="paragraph" w:customStyle="1" w:styleId="42">
    <w:name w:val="_Style 1"/>
    <w:qFormat/>
    <w:uiPriority w:val="99"/>
    <w:pPr>
      <w:adjustRightInd w:val="0"/>
      <w:snapToGrid w:val="0"/>
    </w:pPr>
    <w:rPr>
      <w:rFonts w:ascii="Tahoma" w:hAnsi="Tahoma" w:eastAsia="微软雅黑" w:cs="Times New Roman"/>
      <w:sz w:val="22"/>
      <w:szCs w:val="22"/>
      <w:lang w:val="en-US" w:eastAsia="zh-CN" w:bidi="ar-SA"/>
    </w:rPr>
  </w:style>
  <w:style w:type="character" w:customStyle="1" w:styleId="43">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44">
    <w:name w:val="UserStyle_4"/>
    <w:qFormat/>
    <w:uiPriority w:val="0"/>
    <w:pPr>
      <w:textAlignment w:val="baseline"/>
    </w:pPr>
    <w:rPr>
      <w:rFonts w:ascii="Times New Roman" w:hAnsi="Times New Roman" w:eastAsia="Times New Roman" w:cstheme="minorBidi"/>
      <w:sz w:val="24"/>
      <w:szCs w:val="24"/>
      <w:lang w:val="en-US" w:eastAsia="zh-CN" w:bidi="ar-SA"/>
    </w:rPr>
  </w:style>
  <w:style w:type="character" w:customStyle="1" w:styleId="45">
    <w:name w:val="无间隔 Char"/>
    <w:link w:val="36"/>
    <w:qFormat/>
    <w:uiPriority w:val="0"/>
    <w:rPr>
      <w:kern w:val="2"/>
      <w:sz w:val="21"/>
      <w:szCs w:val="24"/>
    </w:rPr>
  </w:style>
  <w:style w:type="paragraph" w:customStyle="1" w:styleId="46">
    <w:name w:val="_Style 4"/>
    <w:basedOn w:val="3"/>
    <w:next w:val="1"/>
    <w:qFormat/>
    <w:uiPriority w:val="0"/>
    <w:pPr>
      <w:outlineLvl w:val="9"/>
    </w:pPr>
  </w:style>
  <w:style w:type="paragraph" w:customStyle="1" w:styleId="47">
    <w:name w:val="p0"/>
    <w:basedOn w:val="1"/>
    <w:qFormat/>
    <w:uiPriority w:val="0"/>
    <w:pPr>
      <w:widowControl/>
      <w:spacing w:line="365" w:lineRule="atLeast"/>
      <w:ind w:left="1"/>
      <w:textAlignment w:val="bottom"/>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435452-F84F-44E8-9D55-C4F39456D32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28090</Words>
  <Characters>30054</Characters>
  <Lines>222</Lines>
  <Paragraphs>62</Paragraphs>
  <TotalTime>3</TotalTime>
  <ScaleCrop>false</ScaleCrop>
  <LinksUpToDate>false</LinksUpToDate>
  <CharactersWithSpaces>33280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2021-07-21T04:34:00Z</dcterms:created>
  <dc:creator>Administrator</dc:creator>
  <cp:lastModifiedBy>WPS_1641174972</cp:lastModifiedBy>
  <cp:lastPrinted>2021-03-12T01:10:00Z</cp:lastPrinted>
  <dcterms:modified xsi:type="dcterms:W3CDTF">2022-07-04T08:05:40Z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84AEC5D21C2F4BADB5601F35AB4EC721</vt:lpwstr>
  </property>
</Properties>
</file>