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Cs/>
          <w:spacing w:val="20"/>
          <w:sz w:val="48"/>
          <w:szCs w:val="48"/>
        </w:rPr>
      </w:pPr>
      <w:r>
        <w:rPr>
          <w:rFonts w:hint="eastAsia" w:ascii="黑体" w:hAnsi="华文中宋" w:eastAsia="黑体"/>
          <w:bCs/>
          <w:sz w:val="48"/>
          <w:szCs w:val="48"/>
        </w:rPr>
        <w:t>泰州职业技术学院</w:t>
      </w: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w w:val="90"/>
          <w:sz w:val="48"/>
          <w:szCs w:val="48"/>
        </w:rPr>
      </w:pPr>
      <w:r>
        <w:rPr>
          <w:rFonts w:hint="eastAsia" w:ascii="黑体" w:hAnsi="华文中宋" w:eastAsia="黑体"/>
          <w:bCs/>
          <w:spacing w:val="20"/>
          <w:w w:val="90"/>
          <w:sz w:val="48"/>
          <w:szCs w:val="48"/>
        </w:rPr>
        <w:t xml:space="preserve">询   价  </w:t>
      </w:r>
      <w:r>
        <w:rPr>
          <w:rFonts w:ascii="黑体" w:hAnsi="华文中宋" w:eastAsia="黑体"/>
          <w:bCs/>
          <w:spacing w:val="20"/>
          <w:w w:val="90"/>
          <w:sz w:val="48"/>
          <w:szCs w:val="48"/>
        </w:rPr>
        <mc:AlternateContent>
          <mc:Choice Requires="wps">
            <w:drawing>
              <wp:anchor distT="0" distB="0" distL="113665" distR="113665" simplePos="0" relativeHeight="251659264" behindDoc="0" locked="0" layoutInCell="0" allowOverlap="1">
                <wp:simplePos x="0" y="0"/>
                <wp:positionH relativeFrom="column">
                  <wp:posOffset>-114300</wp:posOffset>
                </wp:positionH>
                <wp:positionV relativeFrom="paragraph">
                  <wp:posOffset>197485</wp:posOffset>
                </wp:positionV>
                <wp:extent cx="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15.55pt;height:0pt;width:0pt;z-index:251659264;mso-width-relative:page;mso-height-relative:page;" filled="f" stroked="t" coordsize="21600,21600" o:allowincell="f" o:gfxdata="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wTBmNQAAAAJAQAADwAAAAAAAAABACAAAAAiAAAAZHJzL2Rvd25yZXYueG1sUEsB&#10;AhQAFAAAAAgAh07iQMD6/TXAAQAAVgMAAA4AAAAAAAAAAQAgAAAAIwEAAGRycy9lMm9Eb2MueG1s&#10;UEsFBgAAAAAGAAYAWQEAAFUFAAAAAA==&#10;">
                <v:fill on="f" focussize="0,0"/>
                <v:stroke color="#000000" joinstyle="round"/>
                <v:imagedata o:title=""/>
                <o:lock v:ext="edit" aspectratio="f"/>
              </v:line>
            </w:pict>
          </mc:Fallback>
        </mc:AlternateContent>
      </w:r>
      <w:r>
        <w:rPr>
          <w:rFonts w:hint="eastAsia" w:ascii="黑体" w:hAnsi="华文中宋" w:eastAsia="黑体"/>
          <w:bCs/>
          <w:spacing w:val="20"/>
          <w:w w:val="90"/>
          <w:sz w:val="48"/>
          <w:szCs w:val="48"/>
        </w:rPr>
        <w:t>采  购</w:t>
      </w:r>
      <w:r>
        <w:rPr>
          <w:rFonts w:ascii="黑体" w:hAnsi="华文中宋" w:eastAsia="黑体"/>
          <w:bCs/>
          <w:spacing w:val="20"/>
          <w:w w:val="90"/>
          <w:sz w:val="48"/>
          <w:szCs w:val="48"/>
        </w:rPr>
        <w:t xml:space="preserve">  </w:t>
      </w:r>
      <w:r>
        <w:rPr>
          <w:rFonts w:hint="eastAsia" w:ascii="黑体" w:hAnsi="华文中宋" w:eastAsia="黑体"/>
          <w:bCs/>
          <w:spacing w:val="20"/>
          <w:w w:val="90"/>
          <w:sz w:val="48"/>
          <w:szCs w:val="48"/>
        </w:rPr>
        <w:t>文  件</w:t>
      </w:r>
    </w:p>
    <w:p>
      <w:pPr>
        <w:rPr>
          <w:rFonts w:ascii="华文中宋" w:hAnsi="华文中宋" w:eastAsia="华文中宋"/>
          <w:bCs/>
          <w:sz w:val="30"/>
        </w:rPr>
      </w:pPr>
    </w:p>
    <w:p>
      <w:pPr>
        <w:jc w:val="left"/>
        <w:rPr>
          <w:rFonts w:ascii="华文中宋" w:hAnsi="华文中宋" w:eastAsia="华文中宋"/>
          <w:bCs/>
          <w:sz w:val="30"/>
        </w:rPr>
      </w:pPr>
    </w:p>
    <w:p>
      <w:pPr>
        <w:jc w:val="left"/>
        <w:rPr>
          <w:rFonts w:ascii="华文中宋" w:hAnsi="华文中宋" w:eastAsia="华文中宋"/>
          <w:bCs/>
          <w:sz w:val="30"/>
        </w:rPr>
      </w:pPr>
    </w:p>
    <w:p>
      <w:pPr>
        <w:jc w:val="left"/>
        <w:rPr>
          <w:rFonts w:ascii="华文中宋" w:hAnsi="华文中宋" w:eastAsia="华文中宋"/>
          <w:bCs/>
          <w:sz w:val="30"/>
        </w:rPr>
      </w:pPr>
    </w:p>
    <w:p>
      <w:pPr>
        <w:jc w:val="left"/>
        <w:rPr>
          <w:rFonts w:ascii="华文中宋" w:hAnsi="华文中宋" w:eastAsia="华文中宋"/>
          <w:bCs/>
          <w:sz w:val="30"/>
        </w:rPr>
      </w:pPr>
    </w:p>
    <w:p>
      <w:pPr>
        <w:spacing w:line="360" w:lineRule="auto"/>
        <w:ind w:firstLine="600" w:firstLineChars="200"/>
        <w:rPr>
          <w:rFonts w:ascii="黑体" w:hAnsi="华文中宋" w:eastAsia="黑体"/>
          <w:bCs/>
          <w:sz w:val="30"/>
          <w:szCs w:val="30"/>
        </w:rPr>
      </w:pPr>
      <w:r>
        <w:rPr>
          <w:rFonts w:hint="eastAsia" w:ascii="黑体" w:hAnsi="华文中宋" w:eastAsia="黑体"/>
          <w:bCs/>
          <w:sz w:val="30"/>
          <w:szCs w:val="30"/>
        </w:rPr>
        <w:t>采购项目编号：tzy200</w:t>
      </w:r>
      <w:r>
        <w:rPr>
          <w:rFonts w:ascii="黑体" w:hAnsi="华文中宋" w:eastAsia="黑体"/>
          <w:bCs/>
          <w:sz w:val="30"/>
          <w:szCs w:val="30"/>
        </w:rPr>
        <w:t>18</w:t>
      </w:r>
    </w:p>
    <w:p>
      <w:pPr>
        <w:rPr>
          <w:rFonts w:ascii="黑体" w:hAnsi="华文中宋" w:eastAsia="黑体"/>
          <w:bCs/>
          <w:sz w:val="30"/>
          <w:szCs w:val="30"/>
        </w:rPr>
      </w:pPr>
    </w:p>
    <w:p>
      <w:pPr>
        <w:ind w:firstLine="600" w:firstLineChars="200"/>
        <w:jc w:val="left"/>
        <w:rPr>
          <w:rFonts w:ascii="黑体" w:hAnsi="华文中宋" w:eastAsia="黑体"/>
          <w:bCs/>
          <w:sz w:val="30"/>
          <w:szCs w:val="30"/>
        </w:rPr>
      </w:pPr>
      <w:r>
        <w:rPr>
          <w:rFonts w:hint="eastAsia" w:ascii="黑体" w:hAnsi="华文中宋" w:eastAsia="黑体"/>
          <w:bCs/>
          <w:sz w:val="30"/>
          <w:szCs w:val="30"/>
        </w:rPr>
        <w:t>采购项目名称：20</w:t>
      </w:r>
      <w:r>
        <w:rPr>
          <w:rFonts w:ascii="黑体" w:hAnsi="华文中宋" w:eastAsia="黑体"/>
          <w:bCs/>
          <w:sz w:val="30"/>
          <w:szCs w:val="30"/>
        </w:rPr>
        <w:t>20</w:t>
      </w:r>
      <w:r>
        <w:rPr>
          <w:rFonts w:hint="eastAsia" w:ascii="黑体" w:hAnsi="华文中宋" w:eastAsia="黑体"/>
          <w:bCs/>
          <w:sz w:val="30"/>
          <w:szCs w:val="30"/>
        </w:rPr>
        <w:t>年秋学期急救仪器设备询价采购公告</w:t>
      </w:r>
    </w:p>
    <w:p>
      <w:pPr>
        <w:jc w:val="left"/>
        <w:rPr>
          <w:rFonts w:ascii="黑体" w:hAnsi="华文中宋" w:eastAsia="黑体"/>
          <w:bCs/>
          <w:sz w:val="30"/>
          <w:szCs w:val="30"/>
        </w:rPr>
      </w:pPr>
    </w:p>
    <w:p>
      <w:pPr>
        <w:ind w:firstLine="600" w:firstLineChars="200"/>
        <w:jc w:val="left"/>
        <w:rPr>
          <w:rFonts w:ascii="黑体" w:hAnsi="华文中宋" w:eastAsia="黑体"/>
          <w:bCs/>
          <w:sz w:val="30"/>
          <w:szCs w:val="30"/>
        </w:rPr>
      </w:pPr>
      <w:r>
        <w:rPr>
          <w:rFonts w:hint="eastAsia" w:ascii="黑体" w:hAnsi="华文中宋" w:eastAsia="黑体"/>
          <w:bCs/>
          <w:sz w:val="30"/>
          <w:szCs w:val="30"/>
        </w:rPr>
        <w:t>采购人:泰州职业技术学院</w:t>
      </w:r>
    </w:p>
    <w:p>
      <w:pPr>
        <w:rPr>
          <w:rFonts w:ascii="华文中宋" w:hAnsi="华文中宋" w:eastAsia="华文中宋"/>
          <w:bCs/>
          <w:sz w:val="32"/>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color w:val="0D0D0D" w:themeColor="text1" w:themeTint="F2"/>
          <w:sz w:val="30"/>
          <w:szCs w:val="30"/>
          <w14:textFill>
            <w14:solidFill>
              <w14:schemeClr w14:val="tx1">
                <w14:lumMod w14:val="95000"/>
                <w14:lumOff w14:val="5000"/>
              </w14:schemeClr>
            </w14:solidFill>
          </w14:textFill>
        </w:rPr>
      </w:pPr>
      <w:r>
        <w:rPr>
          <w:rFonts w:hint="eastAsia" w:ascii="黑体" w:hAnsi="华文中宋" w:eastAsia="黑体"/>
          <w:bCs/>
          <w:color w:val="0D0D0D" w:themeColor="text1" w:themeTint="F2"/>
          <w:sz w:val="30"/>
          <w:szCs w:val="30"/>
          <w14:textFill>
            <w14:solidFill>
              <w14:schemeClr w14:val="tx1">
                <w14:lumMod w14:val="95000"/>
                <w14:lumOff w14:val="5000"/>
              </w14:schemeClr>
            </w14:solidFill>
          </w14:textFill>
        </w:rPr>
        <w:t>二○二○年九月十四日</w:t>
      </w:r>
    </w:p>
    <w:p>
      <w:pPr>
        <w:rPr>
          <w:b/>
          <w:bCs/>
          <w:sz w:val="32"/>
          <w:szCs w:val="32"/>
        </w:rPr>
      </w:pPr>
    </w:p>
    <w:p>
      <w:pPr>
        <w:rPr>
          <w:b/>
          <w:bCs/>
          <w:sz w:val="32"/>
          <w:szCs w:val="32"/>
        </w:rPr>
      </w:pPr>
    </w:p>
    <w:p>
      <w:pPr>
        <w:rPr>
          <w:b/>
          <w:bCs/>
          <w:sz w:val="32"/>
          <w:szCs w:val="32"/>
        </w:rPr>
      </w:pPr>
    </w:p>
    <w:p>
      <w:pPr>
        <w:rPr>
          <w:b/>
          <w:bCs/>
          <w:sz w:val="32"/>
          <w:szCs w:val="32"/>
        </w:rPr>
      </w:pPr>
    </w:p>
    <w:p>
      <w:pPr>
        <w:jc w:val="center"/>
        <w:rPr>
          <w:rFonts w:eastAsia="黑体"/>
          <w:bCs/>
          <w:sz w:val="48"/>
        </w:rPr>
      </w:pPr>
      <w:r>
        <w:rPr>
          <w:rFonts w:hint="eastAsia" w:eastAsia="黑体"/>
          <w:bCs/>
          <w:sz w:val="48"/>
        </w:rPr>
        <w:t>目     录</w:t>
      </w:r>
    </w:p>
    <w:p>
      <w:pPr>
        <w:rPr>
          <w:rFonts w:ascii="黑体" w:hAnsi="黑体" w:eastAsia="黑体"/>
          <w:sz w:val="30"/>
          <w:szCs w:val="30"/>
        </w:rPr>
      </w:pPr>
      <w:r>
        <w:rPr>
          <w:rFonts w:ascii="黑体" w:hAnsi="黑体" w:eastAsia="黑体"/>
          <w:sz w:val="30"/>
          <w:szCs w:val="30"/>
        </w:rPr>
        <w:t xml:space="preserve"> </w:t>
      </w:r>
    </w:p>
    <w:p>
      <w:pPr>
        <w:spacing w:line="720" w:lineRule="auto"/>
        <w:ind w:firstLine="360" w:firstLineChars="150"/>
        <w:rPr>
          <w:rFonts w:ascii="宋体" w:hAnsi="宋体"/>
          <w:bCs/>
          <w:sz w:val="24"/>
          <w:szCs w:val="24"/>
        </w:rPr>
      </w:pPr>
      <w:r>
        <w:rPr>
          <w:rFonts w:hint="eastAsia" w:ascii="宋体" w:hAnsi="宋体"/>
          <w:bCs/>
          <w:sz w:val="24"/>
          <w:szCs w:val="24"/>
        </w:rPr>
        <w:t>一．报价邀请函</w:t>
      </w:r>
    </w:p>
    <w:p>
      <w:pPr>
        <w:spacing w:line="720" w:lineRule="auto"/>
        <w:ind w:firstLine="360" w:firstLineChars="150"/>
        <w:rPr>
          <w:rFonts w:ascii="宋体" w:hAnsi="宋体"/>
          <w:bCs/>
          <w:sz w:val="24"/>
          <w:szCs w:val="24"/>
        </w:rPr>
      </w:pPr>
      <w:r>
        <w:rPr>
          <w:rFonts w:hint="eastAsia" w:ascii="宋体" w:hAnsi="宋体"/>
          <w:bCs/>
          <w:sz w:val="24"/>
          <w:szCs w:val="24"/>
        </w:rPr>
        <w:t>二．报价人须知</w:t>
      </w:r>
    </w:p>
    <w:p>
      <w:pPr>
        <w:spacing w:line="720" w:lineRule="auto"/>
        <w:ind w:firstLine="360" w:firstLineChars="150"/>
        <w:rPr>
          <w:rFonts w:ascii="宋体" w:hAnsi="宋体"/>
          <w:bCs/>
          <w:sz w:val="24"/>
          <w:szCs w:val="24"/>
        </w:rPr>
      </w:pPr>
      <w:r>
        <w:rPr>
          <w:rFonts w:hint="eastAsia" w:ascii="宋体" w:hAnsi="宋体"/>
          <w:bCs/>
          <w:sz w:val="24"/>
          <w:szCs w:val="24"/>
        </w:rPr>
        <w:t>三．项目技术要求和有关说明</w:t>
      </w:r>
    </w:p>
    <w:p>
      <w:pPr>
        <w:spacing w:line="720" w:lineRule="auto"/>
        <w:ind w:firstLine="360" w:firstLineChars="150"/>
        <w:rPr>
          <w:rFonts w:ascii="宋体" w:hAnsi="宋体"/>
          <w:bCs/>
          <w:sz w:val="24"/>
          <w:szCs w:val="24"/>
        </w:rPr>
      </w:pPr>
      <w:r>
        <w:rPr>
          <w:rFonts w:hint="eastAsia" w:ascii="宋体" w:hAnsi="宋体"/>
          <w:bCs/>
          <w:sz w:val="24"/>
          <w:szCs w:val="24"/>
        </w:rPr>
        <w:t>四．合同条款</w:t>
      </w:r>
    </w:p>
    <w:p>
      <w:pPr>
        <w:spacing w:line="720" w:lineRule="auto"/>
        <w:ind w:firstLine="360" w:firstLineChars="150"/>
        <w:rPr>
          <w:rFonts w:ascii="宋体" w:hAnsi="宋体"/>
          <w:bCs/>
          <w:sz w:val="24"/>
          <w:szCs w:val="24"/>
        </w:rPr>
      </w:pPr>
      <w:r>
        <w:rPr>
          <w:rFonts w:hint="eastAsia" w:ascii="宋体" w:hAnsi="宋体"/>
          <w:bCs/>
          <w:sz w:val="24"/>
          <w:szCs w:val="24"/>
        </w:rPr>
        <w:t>五. 附件</w:t>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pStyle w:val="2"/>
        <w:jc w:val="center"/>
      </w:pPr>
      <w:r>
        <w:rPr>
          <w:rFonts w:hint="eastAsia"/>
        </w:rPr>
        <w:t>第一章</w:t>
      </w:r>
      <w:r>
        <w:rPr>
          <w:rFonts w:hint="eastAsia"/>
        </w:rPr>
        <w:tab/>
      </w:r>
      <w:r>
        <w:rPr>
          <w:rFonts w:hint="eastAsia"/>
        </w:rPr>
        <w:t>询价邀请函</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采购项目信息</w:t>
      </w:r>
    </w:p>
    <w:p>
      <w:pPr>
        <w:widowControl/>
        <w:shd w:val="clear" w:color="auto" w:fill="FFFFFF"/>
        <w:spacing w:line="360" w:lineRule="auto"/>
        <w:ind w:firstLine="480" w:firstLineChars="200"/>
        <w:jc w:val="left"/>
        <w:rPr>
          <w:rFonts w:ascii="宋体" w:hAnsi="宋体"/>
          <w:bCs/>
          <w:sz w:val="24"/>
          <w:szCs w:val="24"/>
        </w:rPr>
      </w:pPr>
      <w:r>
        <w:rPr>
          <w:rFonts w:hint="eastAsia" w:ascii="宋体" w:hAnsi="宋体" w:cs="宋体"/>
          <w:kern w:val="0"/>
          <w:sz w:val="24"/>
          <w:szCs w:val="24"/>
        </w:rPr>
        <w:t>1.项目名称：</w:t>
      </w:r>
      <w:r>
        <w:rPr>
          <w:rFonts w:hint="eastAsia" w:ascii="宋体" w:hAnsi="宋体"/>
          <w:bCs/>
          <w:sz w:val="24"/>
          <w:szCs w:val="24"/>
        </w:rPr>
        <w:t>医学技术学院护理实训中心急救仪器设备招标文件</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2.项目编号：</w:t>
      </w:r>
      <w:r>
        <w:rPr>
          <w:rFonts w:hint="eastAsia" w:ascii="宋体" w:hAnsi="宋体"/>
          <w:bCs/>
          <w:color w:val="000000" w:themeColor="text1"/>
          <w:sz w:val="24"/>
          <w:szCs w:val="24"/>
          <w14:textFill>
            <w14:solidFill>
              <w14:schemeClr w14:val="tx1"/>
            </w14:solidFill>
          </w14:textFill>
        </w:rPr>
        <w:t>t</w:t>
      </w:r>
      <w:r>
        <w:rPr>
          <w:rFonts w:ascii="宋体" w:hAnsi="宋体"/>
          <w:bCs/>
          <w:color w:val="000000" w:themeColor="text1"/>
          <w:sz w:val="24"/>
          <w:szCs w:val="24"/>
          <w14:textFill>
            <w14:solidFill>
              <w14:schemeClr w14:val="tx1"/>
            </w14:solidFill>
          </w14:textFill>
        </w:rPr>
        <w:t>zy</w:t>
      </w:r>
      <w:r>
        <w:rPr>
          <w:rFonts w:hint="eastAsia" w:ascii="宋体" w:hAnsi="宋体"/>
          <w:bCs/>
          <w:color w:val="000000" w:themeColor="text1"/>
          <w:sz w:val="24"/>
          <w:szCs w:val="24"/>
          <w14:textFill>
            <w14:solidFill>
              <w14:schemeClr w14:val="tx1"/>
            </w14:solidFill>
          </w14:textFill>
        </w:rPr>
        <w:t>200</w:t>
      </w:r>
      <w:r>
        <w:rPr>
          <w:rFonts w:ascii="宋体" w:hAnsi="宋体"/>
          <w:bCs/>
          <w:color w:val="000000" w:themeColor="text1"/>
          <w:sz w:val="24"/>
          <w:szCs w:val="24"/>
          <w14:textFill>
            <w14:solidFill>
              <w14:schemeClr w14:val="tx1"/>
            </w14:solidFill>
          </w14:textFill>
        </w:rPr>
        <w:t>18</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3.项目预算：</w:t>
      </w:r>
      <w:r>
        <w:rPr>
          <w:rFonts w:ascii="宋体" w:hAnsi="宋体" w:cs="宋体"/>
          <w:kern w:val="0"/>
          <w:sz w:val="24"/>
          <w:szCs w:val="24"/>
        </w:rPr>
        <w:t>19</w:t>
      </w:r>
      <w:r>
        <w:rPr>
          <w:rFonts w:hint="eastAsia" w:ascii="宋体" w:hAnsi="宋体" w:cs="宋体"/>
          <w:kern w:val="0"/>
          <w:sz w:val="24"/>
          <w:szCs w:val="24"/>
        </w:rPr>
        <w:t>万元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4.采购方式：询价</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（二）供应商资格要求</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2.未被“信用中国”网站（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）列入失信执行人、重大税收违法案件当事人名单、政府采购严重违法失信行为记录名单；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bCs/>
          <w:sz w:val="24"/>
          <w:szCs w:val="24"/>
        </w:rPr>
        <w:t>3.</w:t>
      </w:r>
      <w:r>
        <w:rPr>
          <w:rFonts w:hint="eastAsia"/>
        </w:rPr>
        <w:t xml:space="preserve"> </w:t>
      </w:r>
      <w:r>
        <w:rPr>
          <w:rFonts w:hint="eastAsia" w:ascii="宋体" w:hAnsi="宋体"/>
          <w:bCs/>
          <w:sz w:val="24"/>
          <w:szCs w:val="24"/>
        </w:rPr>
        <w:t>投标单位应具备供应正规医疗用品资质的厂家或</w:t>
      </w:r>
      <w:r>
        <w:rPr>
          <w:rFonts w:ascii="宋体" w:hAnsi="宋体"/>
          <w:bCs/>
          <w:sz w:val="24"/>
          <w:szCs w:val="24"/>
        </w:rPr>
        <w:t>经销商</w:t>
      </w:r>
      <w:r>
        <w:rPr>
          <w:rFonts w:hint="eastAsia" w:ascii="宋体" w:hAnsi="宋体"/>
          <w:bCs/>
          <w:sz w:val="24"/>
          <w:szCs w:val="24"/>
        </w:rPr>
        <w:t>。</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w:t>
      </w:r>
      <w:r>
        <w:rPr>
          <w:rFonts w:hint="eastAsia" w:ascii="宋体" w:hAnsi="宋体"/>
          <w:bCs/>
          <w:sz w:val="24"/>
          <w:szCs w:val="24"/>
        </w:rPr>
        <w:t>.</w:t>
      </w:r>
      <w:r>
        <w:rPr>
          <w:rFonts w:hint="eastAsia" w:ascii="宋体" w:hAnsi="宋体" w:cs="宋体"/>
          <w:kern w:val="0"/>
          <w:sz w:val="24"/>
          <w:szCs w:val="24"/>
        </w:rPr>
        <w:t>不接受联合体询价。</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（三）履约保证金</w:t>
      </w:r>
    </w:p>
    <w:p>
      <w:pPr>
        <w:pStyle w:val="3"/>
        <w:spacing w:line="360" w:lineRule="auto"/>
        <w:ind w:firstLine="480" w:firstLineChars="200"/>
        <w:rPr>
          <w:rFonts w:ascii="宋体" w:hAnsi="宋体" w:eastAsia="宋体"/>
          <w:sz w:val="24"/>
          <w:szCs w:val="24"/>
        </w:rPr>
      </w:pPr>
      <w:r>
        <w:rPr>
          <w:rFonts w:hint="eastAsia" w:ascii="宋体" w:hAnsi="宋体" w:eastAsia="宋体"/>
          <w:sz w:val="24"/>
          <w:szCs w:val="24"/>
        </w:rPr>
        <w:t>中标公告在我院网上发布后中标供应商须在三个工作日内交纳履约保证金人民币</w:t>
      </w:r>
      <w:r>
        <w:rPr>
          <w:rFonts w:hint="eastAsia" w:ascii="宋体" w:hAnsi="宋体" w:eastAsia="宋体"/>
          <w:color w:val="000000" w:themeColor="text1"/>
          <w:sz w:val="24"/>
          <w:szCs w:val="24"/>
          <w:lang w:val="en-US"/>
          <w14:textFill>
            <w14:solidFill>
              <w14:schemeClr w14:val="tx1"/>
            </w14:solidFill>
          </w14:textFill>
        </w:rPr>
        <w:t>伍仟</w:t>
      </w:r>
      <w:r>
        <w:rPr>
          <w:rFonts w:hint="eastAsia" w:ascii="宋体" w:hAnsi="宋体" w:eastAsia="宋体"/>
          <w:color w:val="000000" w:themeColor="text1"/>
          <w:sz w:val="24"/>
          <w:szCs w:val="24"/>
          <w14:textFill>
            <w14:solidFill>
              <w14:schemeClr w14:val="tx1"/>
            </w14:solidFill>
          </w14:textFill>
        </w:rPr>
        <w:t>元整</w:t>
      </w:r>
      <w:r>
        <w:rPr>
          <w:rFonts w:hint="eastAsia" w:ascii="宋体" w:hAnsi="宋体" w:eastAsia="宋体"/>
          <w:sz w:val="24"/>
          <w:szCs w:val="24"/>
        </w:rPr>
        <w:t>。</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（四）投标、开标方式</w:t>
      </w:r>
    </w:p>
    <w:p>
      <w:pPr>
        <w:widowControl/>
        <w:shd w:val="clear" w:color="auto" w:fill="FFFFFF"/>
        <w:spacing w:line="360" w:lineRule="auto"/>
        <w:ind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询价开始时间：20</w:t>
      </w:r>
      <w:r>
        <w:rPr>
          <w:rFonts w:ascii="宋体" w:hAnsi="宋体" w:cs="宋体"/>
          <w:color w:val="FF0000"/>
          <w:kern w:val="0"/>
          <w:sz w:val="24"/>
          <w:szCs w:val="24"/>
        </w:rPr>
        <w:t>20</w:t>
      </w:r>
      <w:r>
        <w:rPr>
          <w:rFonts w:hint="eastAsia" w:ascii="宋体" w:hAnsi="宋体" w:cs="宋体"/>
          <w:color w:val="FF0000"/>
          <w:kern w:val="0"/>
          <w:sz w:val="24"/>
          <w:szCs w:val="24"/>
        </w:rPr>
        <w:t>年</w:t>
      </w:r>
      <w:r>
        <w:rPr>
          <w:rFonts w:ascii="宋体" w:hAnsi="宋体" w:cs="宋体"/>
          <w:color w:val="FF0000"/>
          <w:kern w:val="0"/>
          <w:sz w:val="24"/>
          <w:szCs w:val="24"/>
        </w:rPr>
        <w:t>9月21</w:t>
      </w:r>
      <w:r>
        <w:rPr>
          <w:rFonts w:hint="eastAsia" w:ascii="宋体" w:hAnsi="宋体" w:cs="宋体"/>
          <w:color w:val="FF0000"/>
          <w:kern w:val="0"/>
          <w:sz w:val="24"/>
          <w:szCs w:val="24"/>
        </w:rPr>
        <w:t>日上午9：00</w:t>
      </w:r>
      <w:r>
        <w:rPr>
          <w:rFonts w:hint="eastAsia" w:ascii="宋体" w:hAnsi="宋体" w:cs="宋体"/>
          <w:color w:val="FF0000"/>
          <w:kern w:val="0"/>
        </w:rPr>
        <w:t xml:space="preserve">  </w:t>
      </w:r>
      <w:r>
        <w:rPr>
          <w:rFonts w:hint="eastAsia" w:ascii="宋体" w:hAnsi="宋体" w:cs="宋体"/>
          <w:color w:val="FF0000"/>
          <w:kern w:val="0"/>
          <w:sz w:val="24"/>
          <w:szCs w:val="24"/>
        </w:rPr>
        <w:t>           </w:t>
      </w:r>
    </w:p>
    <w:p>
      <w:pPr>
        <w:widowControl/>
        <w:shd w:val="clear" w:color="auto" w:fill="FFFFFF"/>
        <w:spacing w:line="360" w:lineRule="auto"/>
        <w:ind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询价截止时间：20</w:t>
      </w:r>
      <w:r>
        <w:rPr>
          <w:rFonts w:ascii="宋体" w:hAnsi="宋体" w:cs="宋体"/>
          <w:color w:val="FF0000"/>
          <w:kern w:val="0"/>
          <w:sz w:val="24"/>
          <w:szCs w:val="24"/>
        </w:rPr>
        <w:t>20</w:t>
      </w:r>
      <w:r>
        <w:rPr>
          <w:rFonts w:hint="eastAsia" w:ascii="宋体" w:hAnsi="宋体" w:cs="宋体"/>
          <w:color w:val="FF0000"/>
          <w:kern w:val="0"/>
          <w:sz w:val="24"/>
          <w:szCs w:val="24"/>
        </w:rPr>
        <w:t>年</w:t>
      </w:r>
      <w:r>
        <w:rPr>
          <w:rFonts w:ascii="宋体" w:hAnsi="宋体" w:cs="宋体"/>
          <w:color w:val="FF0000"/>
          <w:kern w:val="0"/>
          <w:sz w:val="24"/>
          <w:szCs w:val="24"/>
        </w:rPr>
        <w:t>9月21</w:t>
      </w:r>
      <w:r>
        <w:rPr>
          <w:rFonts w:hint="eastAsia" w:ascii="宋体" w:hAnsi="宋体" w:cs="宋体"/>
          <w:color w:val="FF0000"/>
          <w:kern w:val="0"/>
          <w:sz w:val="24"/>
          <w:szCs w:val="24"/>
        </w:rPr>
        <w:t>日上午9：30</w:t>
      </w:r>
      <w:r>
        <w:rPr>
          <w:rFonts w:hint="eastAsia" w:ascii="宋体" w:hAnsi="宋体" w:cs="宋体"/>
          <w:color w:val="FF0000"/>
          <w:kern w:val="0"/>
        </w:rPr>
        <w:t xml:space="preserve"> </w:t>
      </w:r>
    </w:p>
    <w:p>
      <w:pPr>
        <w:spacing w:line="360" w:lineRule="auto"/>
        <w:ind w:firstLine="480" w:firstLineChars="200"/>
        <w:rPr>
          <w:rFonts w:ascii="宋体" w:hAnsi="宋体"/>
          <w:bCs/>
          <w:color w:val="FF0000"/>
          <w:sz w:val="24"/>
          <w:szCs w:val="24"/>
        </w:rPr>
      </w:pPr>
      <w:r>
        <w:rPr>
          <w:rFonts w:hint="eastAsia" w:ascii="宋体" w:hAnsi="宋体" w:cs="宋体"/>
          <w:color w:val="FF0000"/>
          <w:kern w:val="0"/>
          <w:sz w:val="24"/>
          <w:szCs w:val="24"/>
        </w:rPr>
        <w:t>询价地点：</w:t>
      </w:r>
      <w:r>
        <w:rPr>
          <w:rFonts w:hint="eastAsia" w:ascii="宋体" w:hAnsi="宋体"/>
          <w:bCs/>
          <w:color w:val="FF0000"/>
          <w:sz w:val="24"/>
          <w:szCs w:val="24"/>
        </w:rPr>
        <w:t>泰州职业技术学院（泰州市高新区天星路8号行政楼118室）</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（五）响应文件份数：</w:t>
      </w:r>
      <w:r>
        <w:rPr>
          <w:rFonts w:hint="eastAsia" w:ascii="宋体" w:hAnsi="宋体"/>
          <w:bCs/>
          <w:sz w:val="24"/>
          <w:szCs w:val="24"/>
        </w:rPr>
        <w:t>响应文件一式叁份，正本壹份、副本貳份</w:t>
      </w:r>
    </w:p>
    <w:p>
      <w:pPr>
        <w:spacing w:line="360" w:lineRule="auto"/>
        <w:ind w:firstLine="480" w:firstLineChars="200"/>
        <w:rPr>
          <w:rFonts w:ascii="宋体" w:hAnsi="宋体"/>
          <w:bCs/>
          <w:sz w:val="24"/>
          <w:szCs w:val="24"/>
        </w:rPr>
      </w:pPr>
      <w:r>
        <w:rPr>
          <w:rFonts w:hint="eastAsia" w:ascii="黑体" w:hAnsi="黑体" w:eastAsia="黑体"/>
          <w:bCs/>
          <w:sz w:val="24"/>
          <w:szCs w:val="24"/>
        </w:rPr>
        <w:t>（六）询价有效期：</w:t>
      </w:r>
      <w:r>
        <w:rPr>
          <w:rFonts w:hint="eastAsia" w:ascii="宋体" w:hAnsi="宋体"/>
          <w:bCs/>
          <w:sz w:val="24"/>
          <w:szCs w:val="24"/>
        </w:rPr>
        <w:t>询价之日起</w:t>
      </w:r>
      <w:r>
        <w:rPr>
          <w:rFonts w:ascii="宋体" w:hAnsi="宋体"/>
          <w:bCs/>
          <w:sz w:val="24"/>
          <w:szCs w:val="24"/>
        </w:rPr>
        <w:t>30</w:t>
      </w:r>
      <w:r>
        <w:rPr>
          <w:rFonts w:hint="eastAsia" w:ascii="宋体" w:hAnsi="宋体"/>
          <w:bCs/>
          <w:sz w:val="24"/>
          <w:szCs w:val="24"/>
        </w:rPr>
        <w:t>天</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（七）其它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采购人：泰州职业技术学院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址:泰州市医药高新区天星路8号</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项目技术要求问题联系人:陈老师   电话：</w:t>
      </w:r>
      <w:r>
        <w:rPr>
          <w:rFonts w:ascii="宋体" w:hAnsi="宋体" w:cs="宋体"/>
          <w:kern w:val="0"/>
          <w:sz w:val="24"/>
          <w:szCs w:val="24"/>
        </w:rPr>
        <w:t>13405530863</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w:t>
      </w:r>
      <w:r>
        <w:rPr>
          <w:rFonts w:ascii="黑体" w:hAnsi="黑体" w:eastAsia="黑体"/>
          <w:bCs/>
          <w:sz w:val="24"/>
          <w:szCs w:val="24"/>
        </w:rPr>
        <w:t>八）投标确认函：</w:t>
      </w:r>
    </w:p>
    <w:p>
      <w:pPr>
        <w:widowControl/>
        <w:spacing w:line="520" w:lineRule="exact"/>
        <w:jc w:val="left"/>
        <w:rPr>
          <w:kern w:val="0"/>
          <w:sz w:val="24"/>
          <w:szCs w:val="24"/>
        </w:rPr>
      </w:pPr>
      <w:r>
        <w:rPr>
          <w:sz w:val="24"/>
        </w:rPr>
        <w:t xml:space="preserve">    </w:t>
      </w:r>
      <w:r>
        <w:rPr>
          <w:rFonts w:hAnsi="宋体"/>
          <w:sz w:val="24"/>
        </w:rPr>
        <w:t>（</w:t>
      </w:r>
      <w:r>
        <w:rPr>
          <w:sz w:val="24"/>
        </w:rPr>
        <w:t>1</w:t>
      </w:r>
      <w:r>
        <w:rPr>
          <w:rFonts w:hAnsi="宋体"/>
          <w:sz w:val="24"/>
        </w:rPr>
        <w:t>）</w:t>
      </w:r>
      <w:r>
        <w:rPr>
          <w:rFonts w:hAnsi="宋体"/>
          <w:sz w:val="24"/>
          <w:szCs w:val="24"/>
        </w:rPr>
        <w:t>投标人必须在</w:t>
      </w:r>
      <w:r>
        <w:rPr>
          <w:b/>
          <w:sz w:val="24"/>
        </w:rPr>
        <w:t>2020年 9月16日16：00</w:t>
      </w:r>
      <w:r>
        <w:rPr>
          <w:rFonts w:hAnsi="宋体"/>
          <w:sz w:val="24"/>
          <w:szCs w:val="24"/>
        </w:rPr>
        <w:t>之前将《投标确认函》发到邮箱</w:t>
      </w:r>
      <w:r>
        <w:rPr>
          <w:sz w:val="24"/>
          <w:szCs w:val="24"/>
        </w:rPr>
        <w:t>tzyhqzcc@126.com</w:t>
      </w:r>
      <w:r>
        <w:rPr>
          <w:rFonts w:hAnsi="宋体"/>
          <w:sz w:val="24"/>
          <w:szCs w:val="24"/>
        </w:rPr>
        <w:t>。</w:t>
      </w:r>
      <w:r>
        <w:rPr>
          <w:b/>
          <w:sz w:val="24"/>
        </w:rPr>
        <w:t>2020年 9月16日16：00</w:t>
      </w:r>
      <w:r>
        <w:rPr>
          <w:rFonts w:hAnsi="宋体"/>
          <w:sz w:val="24"/>
          <w:szCs w:val="24"/>
        </w:rPr>
        <w:t>之前没有将投标确认函发送至投标人，投标人有权拒绝其投标；</w:t>
      </w:r>
    </w:p>
    <w:p>
      <w:pPr>
        <w:widowControl/>
        <w:spacing w:line="520" w:lineRule="exact"/>
        <w:ind w:firstLine="480" w:firstLineChars="200"/>
        <w:jc w:val="left"/>
        <w:rPr>
          <w:kern w:val="0"/>
          <w:sz w:val="24"/>
          <w:szCs w:val="24"/>
        </w:rPr>
      </w:pPr>
      <w:r>
        <w:rPr>
          <w:rFonts w:hAnsi="宋体"/>
          <w:sz w:val="24"/>
        </w:rPr>
        <w:t>（</w:t>
      </w:r>
      <w:r>
        <w:rPr>
          <w:sz w:val="24"/>
        </w:rPr>
        <w:t>2</w:t>
      </w:r>
      <w:r>
        <w:rPr>
          <w:rFonts w:hAnsi="宋体"/>
          <w:sz w:val="24"/>
        </w:rPr>
        <w:t>）</w:t>
      </w:r>
      <w:r>
        <w:rPr>
          <w:rFonts w:hAnsi="宋体"/>
          <w:kern w:val="0"/>
          <w:sz w:val="24"/>
          <w:szCs w:val="24"/>
        </w:rPr>
        <w:t>请</w:t>
      </w:r>
      <w:r>
        <w:rPr>
          <w:rFonts w:hAnsi="宋体"/>
          <w:sz w:val="24"/>
        </w:rPr>
        <w:t>投标人</w:t>
      </w:r>
      <w:r>
        <w:rPr>
          <w:rFonts w:hAnsi="宋体"/>
          <w:kern w:val="0"/>
          <w:sz w:val="24"/>
          <w:szCs w:val="24"/>
        </w:rPr>
        <w:t>如实填写投标确认函中的有关内容和信息，如因投标确认函中的项目名称、编号及联系人和联系方式有误，造成无法与其联系的，其后果由供应商负责；</w:t>
      </w:r>
    </w:p>
    <w:p>
      <w:pPr>
        <w:widowControl/>
        <w:spacing w:line="520" w:lineRule="exact"/>
        <w:ind w:firstLine="480" w:firstLineChars="200"/>
        <w:jc w:val="left"/>
        <w:rPr>
          <w:kern w:val="0"/>
          <w:sz w:val="24"/>
          <w:szCs w:val="24"/>
        </w:rPr>
      </w:pPr>
      <w:r>
        <w:rPr>
          <w:rFonts w:hAnsi="宋体"/>
          <w:sz w:val="24"/>
        </w:rPr>
        <w:t>（</w:t>
      </w:r>
      <w:r>
        <w:rPr>
          <w:sz w:val="24"/>
        </w:rPr>
        <w:t>3</w:t>
      </w:r>
      <w:r>
        <w:rPr>
          <w:rFonts w:hAnsi="宋体"/>
          <w:sz w:val="24"/>
        </w:rPr>
        <w:t>）</w:t>
      </w:r>
      <w:r>
        <w:rPr>
          <w:rFonts w:hAnsi="宋体"/>
          <w:sz w:val="24"/>
          <w:szCs w:val="24"/>
        </w:rPr>
        <w:t>投标确认函必须采用</w:t>
      </w:r>
      <w:r>
        <w:rPr>
          <w:rFonts w:hint="eastAsia" w:hAnsi="宋体"/>
          <w:sz w:val="24"/>
          <w:szCs w:val="24"/>
        </w:rPr>
        <w:t>邮件</w:t>
      </w:r>
      <w:r>
        <w:rPr>
          <w:rFonts w:hAnsi="宋体"/>
          <w:sz w:val="24"/>
          <w:szCs w:val="24"/>
        </w:rPr>
        <w:t>方式提交，招标人不接受其他任何方式提交的确认函。</w:t>
      </w:r>
    </w:p>
    <w:p>
      <w:pPr>
        <w:spacing w:line="360" w:lineRule="auto"/>
        <w:ind w:firstLine="480" w:firstLineChars="200"/>
        <w:rPr>
          <w:sz w:val="24"/>
        </w:rPr>
      </w:pPr>
      <w:r>
        <w:rPr>
          <w:rFonts w:hAnsi="宋体"/>
          <w:sz w:val="24"/>
        </w:rPr>
        <w:t>（</w:t>
      </w:r>
      <w:r>
        <w:rPr>
          <w:sz w:val="24"/>
        </w:rPr>
        <w:t>4</w:t>
      </w:r>
      <w:r>
        <w:rPr>
          <w:rFonts w:hAnsi="宋体"/>
          <w:sz w:val="24"/>
        </w:rPr>
        <w:t>）</w:t>
      </w:r>
      <w:r>
        <w:rPr>
          <w:sz w:val="24"/>
        </w:rPr>
        <w:t>格式：</w:t>
      </w:r>
    </w:p>
    <w:p>
      <w:pPr>
        <w:spacing w:line="360" w:lineRule="auto"/>
        <w:ind w:firstLine="480" w:firstLineChars="200"/>
        <w:rPr>
          <w:sz w:val="24"/>
        </w:rPr>
      </w:pPr>
    </w:p>
    <w:p>
      <w:pPr>
        <w:widowControl/>
        <w:spacing w:line="560" w:lineRule="exact"/>
        <w:jc w:val="center"/>
        <w:rPr>
          <w:b/>
          <w:kern w:val="0"/>
          <w:sz w:val="24"/>
          <w:szCs w:val="24"/>
        </w:rPr>
      </w:pPr>
      <w:r>
        <w:rPr>
          <w:rFonts w:hAnsi="宋体"/>
          <w:b/>
          <w:kern w:val="0"/>
          <w:sz w:val="24"/>
          <w:szCs w:val="24"/>
        </w:rPr>
        <w:t>投标确认函</w:t>
      </w:r>
    </w:p>
    <w:p>
      <w:pPr>
        <w:widowControl/>
        <w:spacing w:line="560" w:lineRule="exact"/>
        <w:jc w:val="left"/>
        <w:rPr>
          <w:sz w:val="24"/>
          <w:szCs w:val="24"/>
        </w:rPr>
      </w:pPr>
      <w:r>
        <w:rPr>
          <w:sz w:val="24"/>
          <w:szCs w:val="24"/>
        </w:rPr>
        <w:t xml:space="preserve"> </w:t>
      </w:r>
      <w:r>
        <w:rPr>
          <w:rFonts w:hAnsi="宋体"/>
          <w:sz w:val="24"/>
          <w:szCs w:val="24"/>
        </w:rPr>
        <w:t>泰州职业技术学院：：</w:t>
      </w:r>
    </w:p>
    <w:p>
      <w:pPr>
        <w:widowControl/>
        <w:spacing w:line="560" w:lineRule="exact"/>
        <w:ind w:firstLine="480" w:firstLineChars="200"/>
        <w:jc w:val="left"/>
        <w:rPr>
          <w:kern w:val="0"/>
          <w:sz w:val="24"/>
          <w:szCs w:val="24"/>
        </w:rPr>
      </w:pPr>
      <w:r>
        <w:rPr>
          <w:rFonts w:hAnsi="宋体"/>
          <w:kern w:val="0"/>
          <w:sz w:val="24"/>
          <w:szCs w:val="24"/>
        </w:rPr>
        <w:t>我单位已下载了贵单位</w:t>
      </w:r>
      <w:r>
        <w:rPr>
          <w:kern w:val="0"/>
          <w:sz w:val="24"/>
          <w:szCs w:val="24"/>
          <w:u w:val="single"/>
        </w:rPr>
        <w:t xml:space="preserve">          </w:t>
      </w:r>
      <w:r>
        <w:rPr>
          <w:rFonts w:hAnsi="宋体"/>
          <w:kern w:val="0"/>
          <w:sz w:val="24"/>
          <w:szCs w:val="24"/>
        </w:rPr>
        <w:t>项目（项目编号：</w:t>
      </w:r>
      <w:r>
        <w:rPr>
          <w:kern w:val="0"/>
          <w:sz w:val="24"/>
          <w:szCs w:val="24"/>
          <w:u w:val="single"/>
        </w:rPr>
        <w:t xml:space="preserve"> tzy20018 </w:t>
      </w:r>
      <w:r>
        <w:rPr>
          <w:rFonts w:hAnsi="宋体"/>
          <w:kern w:val="0"/>
          <w:sz w:val="24"/>
          <w:szCs w:val="24"/>
        </w:rPr>
        <w:t>）的招标文件，经我单位研究，决定准时参加本项目的投标。</w:t>
      </w:r>
    </w:p>
    <w:p>
      <w:pPr>
        <w:widowControl/>
        <w:spacing w:line="560" w:lineRule="exact"/>
        <w:ind w:firstLine="480" w:firstLineChars="200"/>
        <w:jc w:val="left"/>
        <w:rPr>
          <w:kern w:val="0"/>
          <w:sz w:val="24"/>
          <w:szCs w:val="24"/>
        </w:rPr>
      </w:pPr>
      <w:r>
        <w:rPr>
          <w:rFonts w:hAnsi="宋体"/>
          <w:kern w:val="0"/>
          <w:sz w:val="24"/>
          <w:szCs w:val="24"/>
        </w:rPr>
        <w:t>我单位名称：</w:t>
      </w:r>
      <w:r>
        <w:rPr>
          <w:kern w:val="0"/>
          <w:sz w:val="24"/>
          <w:szCs w:val="24"/>
          <w:u w:val="single"/>
        </w:rPr>
        <w:t xml:space="preserve">         </w:t>
      </w:r>
      <w:r>
        <w:rPr>
          <w:kern w:val="0"/>
          <w:sz w:val="24"/>
          <w:szCs w:val="24"/>
        </w:rPr>
        <w:t xml:space="preserve"> </w:t>
      </w:r>
      <w:r>
        <w:rPr>
          <w:rFonts w:hAnsi="宋体"/>
          <w:kern w:val="0"/>
          <w:sz w:val="24"/>
          <w:szCs w:val="24"/>
        </w:rPr>
        <w:t>，投标联系人：</w:t>
      </w:r>
      <w:r>
        <w:rPr>
          <w:kern w:val="0"/>
          <w:sz w:val="24"/>
          <w:szCs w:val="24"/>
          <w:u w:val="single"/>
        </w:rPr>
        <w:t xml:space="preserve">         </w:t>
      </w:r>
      <w:r>
        <w:rPr>
          <w:rFonts w:hAnsi="宋体"/>
          <w:kern w:val="0"/>
          <w:sz w:val="24"/>
          <w:szCs w:val="24"/>
        </w:rPr>
        <w:t>，手机：</w:t>
      </w:r>
      <w:r>
        <w:rPr>
          <w:kern w:val="0"/>
          <w:sz w:val="24"/>
          <w:szCs w:val="24"/>
          <w:u w:val="single"/>
        </w:rPr>
        <w:t xml:space="preserve">            </w:t>
      </w:r>
      <w:r>
        <w:rPr>
          <w:rFonts w:hAnsi="宋体"/>
          <w:kern w:val="0"/>
          <w:sz w:val="24"/>
          <w:szCs w:val="24"/>
        </w:rPr>
        <w:t>，传真：</w:t>
      </w:r>
      <w:r>
        <w:rPr>
          <w:kern w:val="0"/>
          <w:sz w:val="24"/>
          <w:szCs w:val="24"/>
          <w:u w:val="single"/>
        </w:rPr>
        <w:t xml:space="preserve">            </w:t>
      </w:r>
      <w:r>
        <w:rPr>
          <w:kern w:val="0"/>
          <w:sz w:val="24"/>
          <w:szCs w:val="24"/>
        </w:rPr>
        <w:t xml:space="preserve"> </w:t>
      </w:r>
      <w:r>
        <w:rPr>
          <w:rFonts w:hAnsi="宋体"/>
          <w:kern w:val="0"/>
          <w:sz w:val="24"/>
          <w:szCs w:val="24"/>
        </w:rPr>
        <w:t>，邮箱：</w:t>
      </w:r>
      <w:r>
        <w:rPr>
          <w:kern w:val="0"/>
          <w:sz w:val="24"/>
          <w:szCs w:val="24"/>
          <w:u w:val="single"/>
        </w:rPr>
        <w:t xml:space="preserve">               </w:t>
      </w:r>
      <w:r>
        <w:rPr>
          <w:rFonts w:hAnsi="宋体"/>
          <w:kern w:val="0"/>
          <w:sz w:val="24"/>
          <w:szCs w:val="24"/>
        </w:rPr>
        <w:t>。</w:t>
      </w:r>
      <w:r>
        <w:rPr>
          <w:kern w:val="0"/>
          <w:sz w:val="24"/>
          <w:szCs w:val="24"/>
        </w:rPr>
        <w:t xml:space="preserve"> </w:t>
      </w:r>
    </w:p>
    <w:p>
      <w:pPr>
        <w:widowControl/>
        <w:spacing w:line="560" w:lineRule="exact"/>
        <w:ind w:firstLine="480" w:firstLineChars="200"/>
        <w:jc w:val="left"/>
        <w:rPr>
          <w:kern w:val="0"/>
          <w:sz w:val="24"/>
          <w:szCs w:val="24"/>
        </w:rPr>
      </w:pPr>
    </w:p>
    <w:p>
      <w:pPr>
        <w:widowControl/>
        <w:spacing w:line="560" w:lineRule="exact"/>
        <w:ind w:firstLine="480" w:firstLineChars="200"/>
        <w:jc w:val="left"/>
        <w:rPr>
          <w:kern w:val="0"/>
          <w:sz w:val="24"/>
          <w:szCs w:val="24"/>
        </w:rPr>
      </w:pPr>
      <w:r>
        <w:rPr>
          <w:kern w:val="0"/>
          <w:sz w:val="24"/>
          <w:szCs w:val="24"/>
        </w:rPr>
        <w:t> </w:t>
      </w:r>
    </w:p>
    <w:p>
      <w:pPr>
        <w:widowControl/>
        <w:spacing w:line="520" w:lineRule="exact"/>
        <w:ind w:firstLine="480" w:firstLineChars="200"/>
        <w:jc w:val="right"/>
        <w:rPr>
          <w:kern w:val="0"/>
          <w:sz w:val="24"/>
          <w:szCs w:val="24"/>
        </w:rPr>
      </w:pPr>
      <w:r>
        <w:rPr>
          <w:kern w:val="0"/>
          <w:sz w:val="24"/>
          <w:szCs w:val="24"/>
        </w:rPr>
        <w:t xml:space="preserve">                          </w:t>
      </w:r>
      <w:r>
        <w:rPr>
          <w:rFonts w:hAnsi="宋体"/>
          <w:kern w:val="0"/>
          <w:sz w:val="24"/>
          <w:szCs w:val="24"/>
        </w:rPr>
        <w:t>单位（公章）：</w:t>
      </w:r>
    </w:p>
    <w:p>
      <w:pPr>
        <w:widowControl/>
        <w:spacing w:line="520" w:lineRule="exact"/>
        <w:ind w:right="120"/>
        <w:jc w:val="right"/>
        <w:rPr>
          <w:kern w:val="0"/>
          <w:sz w:val="24"/>
          <w:szCs w:val="24"/>
        </w:rPr>
      </w:pPr>
      <w:r>
        <w:rPr>
          <w:rFonts w:hAnsi="宋体"/>
          <w:kern w:val="0"/>
          <w:sz w:val="24"/>
          <w:szCs w:val="24"/>
        </w:rPr>
        <w:t>年</w:t>
      </w:r>
      <w:r>
        <w:rPr>
          <w:kern w:val="0"/>
          <w:sz w:val="24"/>
          <w:szCs w:val="24"/>
        </w:rPr>
        <w:t xml:space="preserve">  </w:t>
      </w:r>
      <w:r>
        <w:rPr>
          <w:rFonts w:hAnsi="宋体"/>
          <w:kern w:val="0"/>
          <w:sz w:val="24"/>
          <w:szCs w:val="24"/>
        </w:rPr>
        <w:t>月</w:t>
      </w:r>
      <w:r>
        <w:rPr>
          <w:kern w:val="0"/>
          <w:sz w:val="24"/>
          <w:szCs w:val="24"/>
        </w:rPr>
        <w:t xml:space="preserve">  </w:t>
      </w:r>
      <w:r>
        <w:rPr>
          <w:rFonts w:hAnsi="宋体"/>
          <w:kern w:val="0"/>
          <w:sz w:val="24"/>
          <w:szCs w:val="24"/>
        </w:rPr>
        <w:t>日</w:t>
      </w:r>
    </w:p>
    <w:p>
      <w:pPr>
        <w:widowControl/>
        <w:shd w:val="clear" w:color="auto" w:fill="FFFFFF"/>
        <w:spacing w:line="360" w:lineRule="auto"/>
        <w:ind w:firstLine="480" w:firstLineChars="200"/>
        <w:jc w:val="left"/>
        <w:rPr>
          <w:rFonts w:ascii="宋体" w:hAnsi="宋体" w:cs="宋体"/>
          <w:kern w:val="0"/>
          <w:sz w:val="24"/>
          <w:szCs w:val="24"/>
        </w:rPr>
      </w:pPr>
    </w:p>
    <w:p>
      <w:pPr>
        <w:widowControl/>
        <w:shd w:val="clear" w:color="auto" w:fill="FFFFFF"/>
        <w:tabs>
          <w:tab w:val="left" w:pos="426"/>
          <w:tab w:val="left" w:pos="709"/>
        </w:tabs>
        <w:spacing w:line="360" w:lineRule="auto"/>
        <w:ind w:firstLine="480"/>
        <w:jc w:val="left"/>
        <w:rPr>
          <w:rFonts w:ascii="宋体" w:hAnsi="宋体"/>
          <w:sz w:val="24"/>
        </w:rPr>
      </w:pPr>
      <w:r>
        <w:rPr>
          <w:rFonts w:hint="eastAsia" w:ascii="宋体" w:hAnsi="宋体" w:cs="宋体"/>
          <w:kern w:val="0"/>
          <w:sz w:val="24"/>
          <w:szCs w:val="24"/>
        </w:rPr>
        <w:t>  </w:t>
      </w:r>
    </w:p>
    <w:p>
      <w:pPr>
        <w:pStyle w:val="2"/>
        <w:jc w:val="center"/>
      </w:pPr>
      <w:r>
        <w:rPr>
          <w:rFonts w:hint="eastAsia"/>
          <w:lang w:val="en-US"/>
        </w:rPr>
        <w:t>第</w:t>
      </w:r>
      <w:r>
        <w:rPr>
          <w:rFonts w:hint="eastAsia"/>
        </w:rPr>
        <w:t>二章 供应商须知</w:t>
      </w:r>
    </w:p>
    <w:p>
      <w:pPr>
        <w:numPr>
          <w:ilvl w:val="0"/>
          <w:numId w:val="1"/>
        </w:numPr>
        <w:tabs>
          <w:tab w:val="left" w:pos="735"/>
          <w:tab w:val="clear" w:pos="855"/>
        </w:tabs>
        <w:spacing w:line="360" w:lineRule="auto"/>
        <w:ind w:hanging="330"/>
        <w:rPr>
          <w:rFonts w:ascii="黑体" w:hAnsi="宋体" w:eastAsia="黑体"/>
          <w:bCs/>
          <w:szCs w:val="24"/>
        </w:rPr>
      </w:pPr>
      <w:r>
        <w:rPr>
          <w:rFonts w:hint="eastAsia" w:ascii="黑体" w:hAnsi="宋体" w:eastAsia="黑体"/>
          <w:bCs/>
          <w:szCs w:val="24"/>
        </w:rPr>
        <w:t>遵循原则：</w:t>
      </w:r>
    </w:p>
    <w:p>
      <w:pPr>
        <w:spacing w:line="360" w:lineRule="auto"/>
        <w:ind w:firstLine="420" w:firstLineChars="200"/>
        <w:rPr>
          <w:rFonts w:ascii="黑体" w:hAnsi="宋体" w:eastAsia="黑体"/>
          <w:bCs/>
          <w:szCs w:val="24"/>
        </w:rPr>
      </w:pPr>
      <w:r>
        <w:rPr>
          <w:rFonts w:hint="eastAsia" w:ascii="宋体" w:hAnsi="宋体"/>
          <w:bCs/>
          <w:szCs w:val="24"/>
        </w:rPr>
        <w:t>公开透明原则、公平竞争原则、公正原则和诚实信用原则。</w:t>
      </w:r>
    </w:p>
    <w:p>
      <w:pPr>
        <w:numPr>
          <w:ilvl w:val="0"/>
          <w:numId w:val="1"/>
        </w:numPr>
        <w:tabs>
          <w:tab w:val="left" w:pos="735"/>
          <w:tab w:val="clear" w:pos="855"/>
        </w:tabs>
        <w:spacing w:line="360" w:lineRule="auto"/>
        <w:ind w:hanging="330"/>
        <w:rPr>
          <w:rFonts w:ascii="黑体" w:hAnsi="宋体" w:eastAsia="黑体"/>
          <w:bCs/>
          <w:szCs w:val="24"/>
        </w:rPr>
      </w:pPr>
      <w:r>
        <w:rPr>
          <w:rFonts w:hint="eastAsia" w:ascii="黑体" w:hAnsi="宋体" w:eastAsia="黑体"/>
          <w:bCs/>
          <w:szCs w:val="24"/>
        </w:rPr>
        <w:t>采购文件：</w:t>
      </w:r>
    </w:p>
    <w:p>
      <w:pPr>
        <w:numPr>
          <w:ilvl w:val="0"/>
          <w:numId w:val="2"/>
        </w:numPr>
        <w:tabs>
          <w:tab w:val="left" w:pos="-1260"/>
          <w:tab w:val="left" w:pos="525"/>
          <w:tab w:val="left" w:pos="945"/>
          <w:tab w:val="left" w:pos="1050"/>
          <w:tab w:val="clear" w:pos="552"/>
        </w:tabs>
        <w:spacing w:line="360" w:lineRule="auto"/>
        <w:ind w:left="0" w:firstLine="457" w:firstLineChars="218"/>
        <w:rPr>
          <w:rFonts w:ascii="宋体" w:hAnsi="宋体"/>
          <w:bCs/>
          <w:szCs w:val="24"/>
        </w:rPr>
      </w:pPr>
      <w:r>
        <w:rPr>
          <w:rFonts w:hint="eastAsia" w:ascii="宋体" w:hAnsi="宋体"/>
          <w:bCs/>
          <w:szCs w:val="24"/>
        </w:rPr>
        <w:t>采购文件包括本文件目录所列全部内容，供应商应仔细阅读，并在响应文件中充分响应采购文件的所有要求。</w:t>
      </w:r>
    </w:p>
    <w:p>
      <w:pPr>
        <w:numPr>
          <w:ilvl w:val="0"/>
          <w:numId w:val="2"/>
        </w:numPr>
        <w:tabs>
          <w:tab w:val="left" w:pos="0"/>
          <w:tab w:val="left" w:pos="525"/>
          <w:tab w:val="left" w:pos="945"/>
          <w:tab w:val="left" w:pos="1050"/>
          <w:tab w:val="clear" w:pos="552"/>
        </w:tabs>
        <w:spacing w:line="360" w:lineRule="auto"/>
        <w:ind w:left="0" w:firstLine="457" w:firstLineChars="218"/>
        <w:rPr>
          <w:rFonts w:ascii="宋体" w:hAnsi="宋体"/>
          <w:bCs/>
          <w:szCs w:val="24"/>
        </w:rPr>
      </w:pPr>
      <w:r>
        <w:rPr>
          <w:rFonts w:hint="eastAsia" w:ascii="宋体" w:hAnsi="宋体"/>
          <w:bCs/>
          <w:szCs w:val="24"/>
        </w:rPr>
        <w:t>采购文件中的“法定代表人”是指供应商的营业执照或相关部门的登记证明文件中的“法定代表人”或“负责人”。</w:t>
      </w:r>
    </w:p>
    <w:p>
      <w:pPr>
        <w:numPr>
          <w:ilvl w:val="0"/>
          <w:numId w:val="2"/>
        </w:numPr>
        <w:tabs>
          <w:tab w:val="left" w:pos="525"/>
          <w:tab w:val="left" w:pos="945"/>
          <w:tab w:val="left" w:pos="1050"/>
        </w:tabs>
        <w:spacing w:line="360" w:lineRule="auto"/>
        <w:ind w:left="130" w:firstLine="420"/>
        <w:rPr>
          <w:rFonts w:ascii="宋体" w:hAnsi="宋体"/>
          <w:bCs/>
          <w:szCs w:val="24"/>
        </w:rPr>
      </w:pPr>
      <w:r>
        <w:rPr>
          <w:rFonts w:hint="eastAsia" w:ascii="宋体" w:hAnsi="宋体"/>
          <w:bCs/>
          <w:szCs w:val="24"/>
        </w:rPr>
        <w:t>供应商应在泰州职业技术学院官网下载采购文件及有关资料，按采购文件要求提交全部资料并对采购文件各项内容做出实质性响应，否则报价无效。</w:t>
      </w:r>
    </w:p>
    <w:p>
      <w:pPr>
        <w:numPr>
          <w:ilvl w:val="0"/>
          <w:numId w:val="2"/>
        </w:numPr>
        <w:tabs>
          <w:tab w:val="left" w:pos="0"/>
          <w:tab w:val="left" w:pos="525"/>
          <w:tab w:val="left" w:pos="945"/>
          <w:tab w:val="left" w:pos="1050"/>
          <w:tab w:val="clear" w:pos="552"/>
        </w:tabs>
        <w:spacing w:line="360" w:lineRule="auto"/>
        <w:ind w:left="0" w:firstLine="457" w:firstLineChars="218"/>
        <w:rPr>
          <w:rFonts w:ascii="宋体" w:hAnsi="宋体"/>
          <w:bCs/>
          <w:szCs w:val="24"/>
        </w:rPr>
      </w:pPr>
      <w:r>
        <w:rPr>
          <w:rFonts w:hint="eastAsia" w:ascii="宋体" w:hAnsi="宋体"/>
          <w:bCs/>
          <w:szCs w:val="24"/>
        </w:rPr>
        <w:t>采购文件仅作为本次询价项目使用。</w:t>
      </w:r>
    </w:p>
    <w:p>
      <w:pPr>
        <w:tabs>
          <w:tab w:val="left" w:pos="630"/>
        </w:tabs>
        <w:spacing w:line="360" w:lineRule="auto"/>
        <w:ind w:left="-2" w:leftChars="-1" w:firstLine="457" w:firstLineChars="218"/>
        <w:rPr>
          <w:rFonts w:ascii="黑体" w:hAnsi="宋体" w:eastAsia="黑体"/>
          <w:bCs/>
          <w:szCs w:val="24"/>
        </w:rPr>
      </w:pPr>
      <w:r>
        <w:rPr>
          <w:rFonts w:hint="eastAsia" w:ascii="黑体" w:hAnsi="宋体" w:eastAsia="黑体"/>
          <w:bCs/>
          <w:szCs w:val="24"/>
        </w:rPr>
        <w:t>（三） 采购文件的解释：</w:t>
      </w:r>
    </w:p>
    <w:p>
      <w:pPr>
        <w:tabs>
          <w:tab w:val="left" w:pos="945"/>
        </w:tabs>
        <w:spacing w:line="360" w:lineRule="auto"/>
        <w:ind w:left="523"/>
        <w:rPr>
          <w:rFonts w:ascii="宋体" w:hAnsi="宋体"/>
          <w:bCs/>
          <w:szCs w:val="24"/>
        </w:rPr>
      </w:pPr>
      <w:r>
        <w:rPr>
          <w:rFonts w:hint="eastAsia" w:ascii="宋体" w:hAnsi="宋体"/>
          <w:bCs/>
          <w:szCs w:val="24"/>
        </w:rPr>
        <w:t>本文件的最终解释权归泰州职业技术学院。</w:t>
      </w:r>
    </w:p>
    <w:p>
      <w:pPr>
        <w:spacing w:line="360" w:lineRule="auto"/>
        <w:ind w:left="-2" w:leftChars="-1" w:firstLine="457" w:firstLineChars="218"/>
        <w:rPr>
          <w:rFonts w:ascii="黑体" w:hAnsi="宋体" w:eastAsia="黑体"/>
          <w:bCs/>
          <w:szCs w:val="24"/>
        </w:rPr>
      </w:pPr>
      <w:r>
        <w:rPr>
          <w:rFonts w:hint="eastAsia" w:ascii="黑体" w:hAnsi="宋体" w:eastAsia="黑体"/>
          <w:bCs/>
          <w:szCs w:val="24"/>
        </w:rPr>
        <w:t xml:space="preserve">（四） 采购文件的补充或修正： </w:t>
      </w:r>
    </w:p>
    <w:p>
      <w:pPr>
        <w:numPr>
          <w:ilvl w:val="0"/>
          <w:numId w:val="3"/>
        </w:numPr>
        <w:tabs>
          <w:tab w:val="left" w:pos="525"/>
          <w:tab w:val="left" w:pos="720"/>
          <w:tab w:val="left" w:pos="945"/>
          <w:tab w:val="left" w:pos="1050"/>
          <w:tab w:val="clear" w:pos="898"/>
        </w:tabs>
        <w:spacing w:line="360" w:lineRule="auto"/>
        <w:ind w:left="1" w:firstLine="457" w:firstLineChars="218"/>
        <w:rPr>
          <w:rFonts w:ascii="宋体" w:hAnsi="宋体"/>
          <w:bCs/>
          <w:szCs w:val="24"/>
        </w:rPr>
      </w:pPr>
      <w:r>
        <w:rPr>
          <w:rFonts w:hint="eastAsia" w:ascii="宋体" w:hAnsi="宋体"/>
          <w:bCs/>
          <w:szCs w:val="24"/>
        </w:rPr>
        <w:t>在报价截止时间三个工作日前采购人可对采购文件进行必要的澄清或者修改，不足三个工作日的，将顺延提交响应文件的截止时间。</w:t>
      </w:r>
    </w:p>
    <w:p>
      <w:pPr>
        <w:numPr>
          <w:ilvl w:val="0"/>
          <w:numId w:val="3"/>
        </w:numPr>
        <w:tabs>
          <w:tab w:val="left" w:pos="525"/>
          <w:tab w:val="left" w:pos="720"/>
          <w:tab w:val="left" w:pos="945"/>
          <w:tab w:val="left" w:pos="1050"/>
          <w:tab w:val="clear" w:pos="898"/>
        </w:tabs>
        <w:spacing w:line="360" w:lineRule="auto"/>
        <w:ind w:left="1" w:firstLine="457" w:firstLineChars="218"/>
        <w:rPr>
          <w:rFonts w:ascii="宋体" w:hAnsi="宋体"/>
          <w:bCs/>
          <w:szCs w:val="24"/>
        </w:rPr>
      </w:pPr>
      <w:r>
        <w:rPr>
          <w:rFonts w:hint="eastAsia" w:ascii="宋体" w:hAnsi="宋体"/>
          <w:bCs/>
          <w:szCs w:val="24"/>
        </w:rPr>
        <w:t>如需对采购文件进行补充或修正，采购人将在泰州职业技术学院官网发布更正公告,该补充或修正的内容为采购文件的组成部分。供应商应在报价截止时间前关注原采购公告媒体上发布的相关更正公告。因供应商未尽关注义务，未及时全面地关注更正公告导致其提交的报价材料不符合采购人要求，而造成的损失及风险（包括但不限于未成交）由供应商自行承担。</w:t>
      </w:r>
    </w:p>
    <w:p>
      <w:pPr>
        <w:spacing w:line="360" w:lineRule="auto"/>
        <w:ind w:left="525" w:leftChars="250"/>
        <w:rPr>
          <w:rFonts w:ascii="宋体" w:hAnsi="宋体"/>
          <w:bCs/>
          <w:szCs w:val="24"/>
        </w:rPr>
      </w:pPr>
      <w:r>
        <w:rPr>
          <w:rFonts w:hint="eastAsia" w:ascii="黑体" w:hAnsi="宋体" w:eastAsia="黑体"/>
          <w:bCs/>
          <w:szCs w:val="24"/>
        </w:rPr>
        <w:t>（五） 响应文件的组成：</w:t>
      </w:r>
    </w:p>
    <w:p>
      <w:pPr>
        <w:numPr>
          <w:ilvl w:val="0"/>
          <w:numId w:val="4"/>
        </w:numPr>
        <w:tabs>
          <w:tab w:val="left" w:pos="525"/>
          <w:tab w:val="left" w:pos="945"/>
          <w:tab w:val="clear" w:pos="630"/>
        </w:tabs>
        <w:spacing w:line="360" w:lineRule="auto"/>
        <w:ind w:left="1" w:firstLine="457" w:firstLineChars="218"/>
        <w:rPr>
          <w:rFonts w:ascii="宋体" w:hAnsi="宋体"/>
          <w:bCs/>
          <w:szCs w:val="24"/>
        </w:rPr>
      </w:pPr>
      <w:r>
        <w:rPr>
          <w:rFonts w:hint="eastAsia" w:ascii="宋体" w:hAnsi="宋体"/>
          <w:bCs/>
          <w:szCs w:val="24"/>
        </w:rPr>
        <w:t>响应函（</w:t>
      </w:r>
      <w:r>
        <w:rPr>
          <w:rFonts w:hint="eastAsia" w:ascii="宋体" w:hAnsi="宋体"/>
          <w:b/>
          <w:bCs/>
          <w:szCs w:val="24"/>
        </w:rPr>
        <w:t>格式见附件）</w:t>
      </w:r>
    </w:p>
    <w:p>
      <w:pPr>
        <w:numPr>
          <w:ilvl w:val="0"/>
          <w:numId w:val="4"/>
        </w:numPr>
        <w:tabs>
          <w:tab w:val="left" w:pos="525"/>
          <w:tab w:val="left" w:pos="945"/>
          <w:tab w:val="clear" w:pos="630"/>
        </w:tabs>
        <w:spacing w:line="360" w:lineRule="auto"/>
        <w:ind w:left="0" w:firstLine="457" w:firstLineChars="218"/>
        <w:rPr>
          <w:rFonts w:ascii="宋体" w:hAnsi="宋体"/>
          <w:bCs/>
          <w:szCs w:val="24"/>
        </w:rPr>
      </w:pPr>
      <w:r>
        <w:rPr>
          <w:rFonts w:hint="eastAsia" w:ascii="宋体" w:hAnsi="宋体"/>
          <w:bCs/>
          <w:szCs w:val="24"/>
        </w:rPr>
        <w:t>资格、资信证明文件：</w:t>
      </w:r>
    </w:p>
    <w:p>
      <w:pPr>
        <w:numPr>
          <w:ilvl w:val="0"/>
          <w:numId w:val="5"/>
        </w:numPr>
        <w:tabs>
          <w:tab w:val="left" w:pos="420"/>
          <w:tab w:val="left" w:pos="1155"/>
          <w:tab w:val="clear" w:pos="852"/>
        </w:tabs>
        <w:spacing w:line="360" w:lineRule="auto"/>
        <w:ind w:left="0" w:firstLine="457" w:firstLineChars="218"/>
        <w:rPr>
          <w:rFonts w:ascii="宋体" w:hAnsi="宋体"/>
          <w:bCs/>
          <w:szCs w:val="24"/>
        </w:rPr>
      </w:pPr>
      <w:r>
        <w:rPr>
          <w:rFonts w:hint="eastAsia" w:ascii="宋体" w:hAnsi="宋体"/>
          <w:bCs/>
          <w:szCs w:val="24"/>
        </w:rPr>
        <w:t>关于无重大违法记录的书面声明（</w:t>
      </w:r>
      <w:r>
        <w:rPr>
          <w:rFonts w:hint="eastAsia" w:ascii="宋体" w:hAnsi="宋体"/>
          <w:b/>
          <w:bCs/>
          <w:szCs w:val="24"/>
        </w:rPr>
        <w:t>格式见附件</w:t>
      </w:r>
      <w:r>
        <w:rPr>
          <w:rFonts w:hint="eastAsia" w:ascii="宋体" w:hAnsi="宋体"/>
          <w:bCs/>
          <w:szCs w:val="24"/>
        </w:rPr>
        <w:t>）</w:t>
      </w:r>
    </w:p>
    <w:p>
      <w:pPr>
        <w:numPr>
          <w:ilvl w:val="0"/>
          <w:numId w:val="5"/>
        </w:numPr>
        <w:tabs>
          <w:tab w:val="left" w:pos="420"/>
          <w:tab w:val="left" w:pos="1155"/>
          <w:tab w:val="clear" w:pos="852"/>
        </w:tabs>
        <w:spacing w:line="360" w:lineRule="auto"/>
        <w:ind w:left="0" w:firstLine="457" w:firstLineChars="218"/>
        <w:rPr>
          <w:rFonts w:ascii="宋体" w:hAnsi="宋体"/>
          <w:bCs/>
          <w:szCs w:val="24"/>
        </w:rPr>
      </w:pPr>
      <w:r>
        <w:rPr>
          <w:rFonts w:ascii="宋体" w:hAnsi="宋体"/>
          <w:bCs/>
          <w:szCs w:val="24"/>
        </w:rPr>
        <w:t>具有独立承担民事责任能力</w:t>
      </w:r>
      <w:r>
        <w:rPr>
          <w:rFonts w:hint="eastAsia" w:ascii="宋体" w:hAnsi="宋体"/>
          <w:bCs/>
          <w:szCs w:val="24"/>
        </w:rPr>
        <w:t>的供应商营业执照或相关部门的登记证明文件复印件；</w:t>
      </w:r>
    </w:p>
    <w:p>
      <w:pPr>
        <w:numPr>
          <w:ilvl w:val="0"/>
          <w:numId w:val="5"/>
        </w:numPr>
        <w:tabs>
          <w:tab w:val="left" w:pos="420"/>
          <w:tab w:val="left" w:pos="1155"/>
          <w:tab w:val="clear" w:pos="852"/>
        </w:tabs>
        <w:spacing w:line="360" w:lineRule="auto"/>
        <w:ind w:left="0" w:firstLine="457" w:firstLineChars="218"/>
        <w:rPr>
          <w:rFonts w:ascii="宋体" w:hAnsi="宋体"/>
          <w:bCs/>
          <w:szCs w:val="24"/>
        </w:rPr>
      </w:pPr>
      <w:r>
        <w:rPr>
          <w:rFonts w:hint="eastAsia" w:ascii="宋体" w:hAnsi="宋体"/>
          <w:bCs/>
          <w:szCs w:val="24"/>
        </w:rPr>
        <w:t>供应商法定代表人身份证复印件；</w:t>
      </w:r>
    </w:p>
    <w:p>
      <w:pPr>
        <w:numPr>
          <w:ilvl w:val="0"/>
          <w:numId w:val="5"/>
        </w:numPr>
        <w:tabs>
          <w:tab w:val="left" w:pos="420"/>
          <w:tab w:val="left" w:pos="1155"/>
          <w:tab w:val="clear" w:pos="852"/>
        </w:tabs>
        <w:spacing w:line="360" w:lineRule="auto"/>
        <w:ind w:left="0" w:firstLine="457" w:firstLineChars="218"/>
        <w:rPr>
          <w:rFonts w:ascii="宋体" w:hAnsi="宋体"/>
          <w:bCs/>
          <w:szCs w:val="24"/>
        </w:rPr>
      </w:pPr>
      <w:r>
        <w:rPr>
          <w:rFonts w:hint="eastAsia" w:ascii="宋体" w:hAnsi="宋体"/>
          <w:bCs/>
          <w:szCs w:val="24"/>
        </w:rPr>
        <w:t>供应商近三个月中任意一个月份(不含报价当月)的财务状况报告（资产负债表和利润表）或由会计师事务所出具的近两年中任意一个年度的审计报告和所附已审财务报告复印件；</w:t>
      </w:r>
    </w:p>
    <w:p>
      <w:pPr>
        <w:numPr>
          <w:ilvl w:val="0"/>
          <w:numId w:val="5"/>
        </w:numPr>
        <w:tabs>
          <w:tab w:val="left" w:pos="420"/>
          <w:tab w:val="left" w:pos="1155"/>
          <w:tab w:val="clear" w:pos="852"/>
        </w:tabs>
        <w:spacing w:line="360" w:lineRule="auto"/>
        <w:ind w:left="0" w:firstLine="457" w:firstLineChars="218"/>
        <w:rPr>
          <w:rFonts w:ascii="宋体" w:hAnsi="宋体"/>
          <w:bCs/>
          <w:szCs w:val="24"/>
        </w:rPr>
      </w:pPr>
      <w:r>
        <w:rPr>
          <w:rFonts w:hint="eastAsia" w:ascii="宋体" w:hAnsi="宋体"/>
          <w:bCs/>
          <w:szCs w:val="24"/>
        </w:rPr>
        <w:t>供应商近三个月中任意一个月份(不含报价当月)的依法缴纳税收的相关材料（提供相关主管部门证明或银行代扣证明）复印件；</w:t>
      </w:r>
    </w:p>
    <w:p>
      <w:pPr>
        <w:numPr>
          <w:ilvl w:val="0"/>
          <w:numId w:val="5"/>
        </w:numPr>
        <w:tabs>
          <w:tab w:val="left" w:pos="420"/>
          <w:tab w:val="left" w:pos="1155"/>
          <w:tab w:val="clear" w:pos="852"/>
        </w:tabs>
        <w:spacing w:line="360" w:lineRule="auto"/>
        <w:ind w:left="0" w:firstLine="457" w:firstLineChars="218"/>
        <w:rPr>
          <w:rFonts w:ascii="宋体" w:hAnsi="宋体"/>
          <w:bCs/>
          <w:szCs w:val="24"/>
        </w:rPr>
      </w:pPr>
      <w:r>
        <w:rPr>
          <w:rFonts w:hint="eastAsia" w:ascii="宋体" w:hAnsi="宋体"/>
          <w:bCs/>
          <w:szCs w:val="24"/>
        </w:rPr>
        <w:t>供应商近三个月中任意一个月份(不含报价当月)的依法</w:t>
      </w:r>
      <w:r>
        <w:rPr>
          <w:rFonts w:ascii="宋体" w:hAnsi="宋体"/>
          <w:bCs/>
          <w:szCs w:val="24"/>
        </w:rPr>
        <w:t>缴纳</w:t>
      </w:r>
      <w:r>
        <w:rPr>
          <w:rFonts w:hint="eastAsia" w:ascii="宋体" w:hAnsi="宋体"/>
          <w:bCs/>
          <w:szCs w:val="24"/>
        </w:rPr>
        <w:t>社会保障资金的相关材料（提供相关主管部门证明或银行代扣证明）复印件；</w:t>
      </w:r>
    </w:p>
    <w:p>
      <w:pPr>
        <w:numPr>
          <w:ilvl w:val="0"/>
          <w:numId w:val="5"/>
        </w:numPr>
        <w:tabs>
          <w:tab w:val="left" w:pos="420"/>
          <w:tab w:val="left" w:pos="1155"/>
          <w:tab w:val="clear" w:pos="852"/>
        </w:tabs>
        <w:spacing w:line="360" w:lineRule="auto"/>
        <w:ind w:left="0" w:firstLine="457" w:firstLineChars="218"/>
        <w:rPr>
          <w:rFonts w:ascii="宋体" w:hAnsi="宋体"/>
          <w:bCs/>
          <w:szCs w:val="24"/>
        </w:rPr>
      </w:pPr>
      <w:r>
        <w:rPr>
          <w:rFonts w:hint="eastAsia" w:ascii="宋体" w:hAnsi="宋体"/>
          <w:bCs/>
          <w:szCs w:val="24"/>
        </w:rPr>
        <w:t>承诺书（</w:t>
      </w:r>
      <w:r>
        <w:rPr>
          <w:rFonts w:hint="eastAsia" w:ascii="宋体" w:hAnsi="宋体"/>
          <w:b/>
          <w:bCs/>
          <w:szCs w:val="24"/>
        </w:rPr>
        <w:t>格式见附件</w:t>
      </w:r>
      <w:r>
        <w:rPr>
          <w:rFonts w:hint="eastAsia" w:ascii="宋体" w:hAnsi="宋体"/>
          <w:bCs/>
          <w:szCs w:val="24"/>
        </w:rPr>
        <w:t>）。</w:t>
      </w:r>
    </w:p>
    <w:p>
      <w:pPr>
        <w:numPr>
          <w:ilvl w:val="0"/>
          <w:numId w:val="4"/>
        </w:numPr>
        <w:tabs>
          <w:tab w:val="left" w:pos="525"/>
          <w:tab w:val="left" w:pos="945"/>
          <w:tab w:val="clear" w:pos="630"/>
        </w:tabs>
        <w:spacing w:line="360" w:lineRule="auto"/>
        <w:ind w:left="0" w:firstLine="457" w:firstLineChars="218"/>
        <w:rPr>
          <w:rFonts w:ascii="宋体" w:hAnsi="宋体"/>
          <w:bCs/>
          <w:szCs w:val="24"/>
        </w:rPr>
      </w:pPr>
      <w:r>
        <w:rPr>
          <w:rFonts w:hint="eastAsia" w:ascii="宋体" w:hAnsi="宋体"/>
          <w:bCs/>
          <w:szCs w:val="24"/>
        </w:rPr>
        <w:t>报价一览表</w:t>
      </w:r>
    </w:p>
    <w:p>
      <w:pPr>
        <w:numPr>
          <w:ilvl w:val="0"/>
          <w:numId w:val="4"/>
        </w:numPr>
        <w:tabs>
          <w:tab w:val="left" w:pos="525"/>
          <w:tab w:val="left" w:pos="945"/>
          <w:tab w:val="clear" w:pos="630"/>
        </w:tabs>
        <w:spacing w:line="360" w:lineRule="auto"/>
        <w:ind w:left="0" w:firstLine="457" w:firstLineChars="218"/>
        <w:rPr>
          <w:rFonts w:ascii="宋体" w:hAnsi="宋体"/>
          <w:bCs/>
          <w:szCs w:val="24"/>
        </w:rPr>
      </w:pPr>
      <w:r>
        <w:rPr>
          <w:rFonts w:hint="eastAsia" w:ascii="宋体" w:hAnsi="宋体"/>
          <w:bCs/>
          <w:szCs w:val="24"/>
        </w:rPr>
        <w:t>明细报价及采购需求响应表（</w:t>
      </w:r>
      <w:r>
        <w:rPr>
          <w:rFonts w:hint="eastAsia" w:ascii="宋体" w:hAnsi="宋体"/>
          <w:b/>
          <w:bCs/>
          <w:szCs w:val="24"/>
        </w:rPr>
        <w:t>格式见附件</w:t>
      </w:r>
      <w:r>
        <w:rPr>
          <w:rFonts w:hint="eastAsia" w:ascii="宋体" w:hAnsi="宋体"/>
          <w:bCs/>
          <w:szCs w:val="24"/>
        </w:rPr>
        <w:t>）</w:t>
      </w:r>
    </w:p>
    <w:p>
      <w:pPr>
        <w:numPr>
          <w:ilvl w:val="0"/>
          <w:numId w:val="4"/>
        </w:numPr>
        <w:tabs>
          <w:tab w:val="left" w:pos="525"/>
          <w:tab w:val="left" w:pos="945"/>
          <w:tab w:val="clear" w:pos="630"/>
        </w:tabs>
        <w:spacing w:line="360" w:lineRule="auto"/>
        <w:ind w:left="0" w:firstLine="457" w:firstLineChars="218"/>
        <w:rPr>
          <w:rFonts w:ascii="宋体" w:hAnsi="宋体"/>
          <w:bCs/>
          <w:szCs w:val="24"/>
        </w:rPr>
      </w:pPr>
      <w:r>
        <w:rPr>
          <w:rFonts w:hint="eastAsia" w:ascii="宋体" w:hAnsi="宋体"/>
          <w:bCs/>
          <w:szCs w:val="24"/>
        </w:rPr>
        <w:t>要求采购人提供的配合（</w:t>
      </w:r>
      <w:r>
        <w:rPr>
          <w:rFonts w:hint="eastAsia" w:ascii="宋体" w:hAnsi="宋体"/>
          <w:b/>
          <w:bCs/>
          <w:szCs w:val="24"/>
        </w:rPr>
        <w:t>如有自拟并自行添加</w:t>
      </w:r>
      <w:r>
        <w:rPr>
          <w:rFonts w:hint="eastAsia" w:ascii="宋体" w:hAnsi="宋体"/>
          <w:bCs/>
          <w:szCs w:val="24"/>
        </w:rPr>
        <w:t>）</w:t>
      </w:r>
    </w:p>
    <w:p>
      <w:pPr>
        <w:numPr>
          <w:ilvl w:val="0"/>
          <w:numId w:val="4"/>
        </w:numPr>
        <w:tabs>
          <w:tab w:val="left" w:pos="525"/>
          <w:tab w:val="left" w:pos="945"/>
          <w:tab w:val="clear" w:pos="630"/>
        </w:tabs>
        <w:spacing w:line="360" w:lineRule="auto"/>
        <w:ind w:left="0" w:firstLine="457" w:firstLineChars="218"/>
        <w:rPr>
          <w:rFonts w:ascii="宋体" w:hAnsi="宋体"/>
          <w:bCs/>
          <w:szCs w:val="24"/>
        </w:rPr>
      </w:pPr>
      <w:r>
        <w:rPr>
          <w:rFonts w:hint="eastAsia" w:ascii="宋体" w:hAnsi="宋体"/>
          <w:bCs/>
          <w:szCs w:val="24"/>
        </w:rPr>
        <w:t>其它（</w:t>
      </w:r>
      <w:r>
        <w:rPr>
          <w:rFonts w:hint="eastAsia" w:ascii="宋体" w:hAnsi="宋体"/>
          <w:b/>
          <w:bCs/>
          <w:szCs w:val="24"/>
        </w:rPr>
        <w:t>供应商认为有必要提供的声明和文件，如有自拟并自行添加</w:t>
      </w:r>
      <w:r>
        <w:rPr>
          <w:rFonts w:hint="eastAsia" w:ascii="宋体" w:hAnsi="宋体"/>
          <w:bCs/>
          <w:szCs w:val="24"/>
        </w:rPr>
        <w:t>）</w:t>
      </w:r>
    </w:p>
    <w:p>
      <w:pPr>
        <w:tabs>
          <w:tab w:val="left" w:pos="1050"/>
        </w:tabs>
        <w:spacing w:line="360" w:lineRule="auto"/>
        <w:ind w:firstLine="457" w:firstLineChars="218"/>
        <w:rPr>
          <w:rFonts w:ascii="宋体" w:hAnsi="宋体"/>
          <w:bCs/>
          <w:szCs w:val="24"/>
        </w:rPr>
      </w:pPr>
      <w:r>
        <w:rPr>
          <w:rFonts w:hint="eastAsia" w:ascii="宋体" w:hAnsi="宋体"/>
          <w:bCs/>
          <w:szCs w:val="24"/>
        </w:rPr>
        <w:t>上述</w:t>
      </w:r>
      <w:r>
        <w:rPr>
          <w:rFonts w:ascii="宋体" w:hAnsi="宋体"/>
          <w:bCs/>
          <w:szCs w:val="24"/>
        </w:rPr>
        <w:t>1-</w:t>
      </w:r>
      <w:r>
        <w:rPr>
          <w:rFonts w:hint="eastAsia" w:ascii="宋体" w:hAnsi="宋体"/>
          <w:bCs/>
          <w:szCs w:val="24"/>
        </w:rPr>
        <w:t>4项供应商必须按要求全部提供，否则响应文件无效。</w:t>
      </w:r>
      <w:r>
        <w:rPr>
          <w:rFonts w:hint="eastAsia" w:ascii="Tahoma" w:hAnsi="Tahoma" w:cs="Tahoma"/>
          <w:szCs w:val="24"/>
        </w:rPr>
        <w:t>如上述资格证明文件遇年检、换证，则必须提供法定年检、换证单位出具的有效证明复印件。如上述资格证明文件第（</w:t>
      </w:r>
      <w:r>
        <w:rPr>
          <w:rFonts w:hint="eastAsia" w:ascii="宋体" w:hAnsi="宋体" w:cs="Tahoma"/>
          <w:szCs w:val="24"/>
        </w:rPr>
        <w:t>4</w:t>
      </w:r>
      <w:r>
        <w:rPr>
          <w:rFonts w:hint="eastAsia" w:ascii="Tahoma" w:hAnsi="Tahoma" w:cs="Tahoma"/>
          <w:szCs w:val="24"/>
        </w:rPr>
        <w:t>）（</w:t>
      </w:r>
      <w:r>
        <w:rPr>
          <w:rFonts w:hint="eastAsia" w:ascii="宋体" w:hAnsi="宋体" w:cs="Tahoma"/>
          <w:szCs w:val="24"/>
        </w:rPr>
        <w:t>5</w:t>
      </w:r>
      <w:r>
        <w:rPr>
          <w:rFonts w:hint="eastAsia" w:ascii="Tahoma" w:hAnsi="Tahoma" w:cs="Tahoma"/>
          <w:szCs w:val="24"/>
        </w:rPr>
        <w:t>）（</w:t>
      </w:r>
      <w:r>
        <w:rPr>
          <w:rFonts w:hint="eastAsia" w:ascii="宋体" w:hAnsi="宋体" w:cs="Tahoma"/>
          <w:szCs w:val="24"/>
        </w:rPr>
        <w:t>6</w:t>
      </w:r>
      <w:r>
        <w:rPr>
          <w:rFonts w:hint="eastAsia" w:ascii="Tahoma" w:hAnsi="Tahoma" w:cs="Tahoma"/>
          <w:szCs w:val="24"/>
        </w:rPr>
        <w:t>）三项遇有国家相关政策规定可不具备的，必须提供相关政策规定或相关单位出具的有效证明复印件。</w:t>
      </w:r>
      <w:r>
        <w:rPr>
          <w:rFonts w:hint="eastAsia" w:ascii="宋体" w:hAnsi="宋体"/>
          <w:bCs/>
          <w:szCs w:val="24"/>
        </w:rPr>
        <w:t>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left="-2" w:leftChars="-1" w:firstLine="457" w:firstLineChars="218"/>
        <w:rPr>
          <w:rFonts w:ascii="黑体" w:hAnsi="宋体" w:eastAsia="黑体"/>
          <w:bCs/>
          <w:szCs w:val="24"/>
        </w:rPr>
      </w:pPr>
      <w:r>
        <w:rPr>
          <w:rFonts w:hint="eastAsia" w:ascii="黑体" w:hAnsi="宋体" w:eastAsia="黑体"/>
          <w:bCs/>
          <w:szCs w:val="24"/>
        </w:rPr>
        <w:t>（六） 响应文件的制作：</w:t>
      </w:r>
    </w:p>
    <w:p>
      <w:pPr>
        <w:numPr>
          <w:ilvl w:val="0"/>
          <w:numId w:val="6"/>
        </w:numPr>
        <w:tabs>
          <w:tab w:val="left" w:pos="525"/>
          <w:tab w:val="left" w:pos="945"/>
          <w:tab w:val="clear" w:pos="898"/>
        </w:tabs>
        <w:spacing w:line="360" w:lineRule="auto"/>
        <w:ind w:left="0" w:firstLine="457" w:firstLineChars="218"/>
        <w:rPr>
          <w:rFonts w:ascii="宋体" w:hAnsi="宋体"/>
          <w:bCs/>
          <w:szCs w:val="24"/>
        </w:rPr>
      </w:pPr>
      <w:r>
        <w:rPr>
          <w:rFonts w:hint="eastAsia" w:ascii="宋体" w:hAnsi="宋体"/>
          <w:bCs/>
          <w:szCs w:val="24"/>
        </w:rPr>
        <w:t>所有文件、往来函件均应使用简体中文（规格、型号辅助符号例外）。</w:t>
      </w:r>
    </w:p>
    <w:p>
      <w:pPr>
        <w:numPr>
          <w:ilvl w:val="0"/>
          <w:numId w:val="6"/>
        </w:numPr>
        <w:tabs>
          <w:tab w:val="left" w:pos="525"/>
          <w:tab w:val="left" w:pos="945"/>
          <w:tab w:val="clear" w:pos="898"/>
        </w:tabs>
        <w:spacing w:line="360" w:lineRule="auto"/>
        <w:ind w:left="0" w:firstLine="457" w:firstLineChars="218"/>
        <w:rPr>
          <w:rFonts w:ascii="宋体" w:hAnsi="宋体"/>
          <w:bCs/>
          <w:szCs w:val="24"/>
        </w:rPr>
      </w:pPr>
      <w:r>
        <w:rPr>
          <w:rFonts w:hint="eastAsia" w:ascii="宋体" w:hAnsi="宋体"/>
          <w:bCs/>
          <w:szCs w:val="24"/>
        </w:rPr>
        <w:t>响应文件由供应商按要求参考给定格式如实填写（编写），须有供应商（盖章）、法定代表人或法定代表人授权代表签字或盖章，方为有效，未尽事宜可自行补充。</w:t>
      </w:r>
    </w:p>
    <w:p>
      <w:pPr>
        <w:numPr>
          <w:ilvl w:val="0"/>
          <w:numId w:val="6"/>
        </w:numPr>
        <w:tabs>
          <w:tab w:val="left" w:pos="525"/>
          <w:tab w:val="left" w:pos="945"/>
          <w:tab w:val="clear" w:pos="898"/>
        </w:tabs>
        <w:spacing w:line="360" w:lineRule="auto"/>
        <w:ind w:left="0" w:firstLine="457" w:firstLineChars="218"/>
        <w:rPr>
          <w:rFonts w:ascii="宋体" w:hAnsi="宋体"/>
          <w:bCs/>
          <w:szCs w:val="24"/>
        </w:rPr>
      </w:pPr>
      <w:r>
        <w:rPr>
          <w:rFonts w:hint="eastAsia" w:ascii="宋体"/>
          <w:szCs w:val="24"/>
          <w:lang w:val="zh-CN"/>
        </w:rPr>
        <w:t>如无特别说明，</w:t>
      </w:r>
      <w:r>
        <w:rPr>
          <w:rFonts w:hint="eastAsia" w:ascii="宋体" w:hAnsi="宋体"/>
          <w:bCs/>
          <w:szCs w:val="24"/>
        </w:rPr>
        <w:t>供应商报价一律以人民币为报价结算货币,结算单位为“元”。</w:t>
      </w:r>
    </w:p>
    <w:p>
      <w:pPr>
        <w:numPr>
          <w:ilvl w:val="0"/>
          <w:numId w:val="6"/>
        </w:numPr>
        <w:tabs>
          <w:tab w:val="left" w:pos="525"/>
          <w:tab w:val="left" w:pos="945"/>
          <w:tab w:val="clear" w:pos="898"/>
        </w:tabs>
        <w:spacing w:line="360" w:lineRule="auto"/>
        <w:ind w:left="0" w:firstLine="457" w:firstLineChars="218"/>
        <w:rPr>
          <w:rFonts w:ascii="宋体" w:hAnsi="宋体"/>
          <w:bCs/>
          <w:szCs w:val="24"/>
        </w:rPr>
      </w:pPr>
      <w:r>
        <w:rPr>
          <w:rFonts w:hint="eastAsia" w:ascii="宋体" w:hAnsi="宋体"/>
          <w:bCs/>
          <w:szCs w:val="24"/>
        </w:rPr>
        <w:t>响应文件应用不褪色的墨水书写或打印。</w:t>
      </w:r>
    </w:p>
    <w:p>
      <w:pPr>
        <w:numPr>
          <w:ilvl w:val="0"/>
          <w:numId w:val="6"/>
        </w:numPr>
        <w:tabs>
          <w:tab w:val="left" w:pos="525"/>
          <w:tab w:val="left" w:pos="945"/>
          <w:tab w:val="clear" w:pos="898"/>
        </w:tabs>
        <w:spacing w:line="360" w:lineRule="auto"/>
        <w:ind w:left="0" w:firstLine="457" w:firstLineChars="218"/>
        <w:rPr>
          <w:rFonts w:ascii="宋体" w:hAnsi="宋体"/>
          <w:bCs/>
          <w:szCs w:val="24"/>
        </w:rPr>
      </w:pPr>
      <w:r>
        <w:rPr>
          <w:rFonts w:hint="eastAsia" w:ascii="宋体" w:hAnsi="宋体"/>
          <w:bCs/>
          <w:szCs w:val="24"/>
        </w:rPr>
        <w:t>响应文件应按照“响应文件的组成”顺序制作，并编制目录、页码，装订成册。</w:t>
      </w:r>
    </w:p>
    <w:p>
      <w:pPr>
        <w:numPr>
          <w:ilvl w:val="0"/>
          <w:numId w:val="6"/>
        </w:numPr>
        <w:tabs>
          <w:tab w:val="left" w:pos="525"/>
          <w:tab w:val="left" w:pos="945"/>
          <w:tab w:val="clear" w:pos="898"/>
        </w:tabs>
        <w:spacing w:line="360" w:lineRule="auto"/>
        <w:ind w:left="0" w:firstLine="457" w:firstLineChars="218"/>
        <w:rPr>
          <w:rFonts w:ascii="宋体" w:hAnsi="宋体"/>
          <w:bCs/>
          <w:szCs w:val="24"/>
        </w:rPr>
      </w:pPr>
      <w:r>
        <w:rPr>
          <w:rFonts w:hint="eastAsia" w:ascii="宋体" w:hAnsi="宋体"/>
          <w:bCs/>
          <w:szCs w:val="24"/>
        </w:rPr>
        <w:t>响应文件一式叁份，正本壹份，副本貳份，并注明“正本”、“副本”字样，密封，同时注明供应商名称。</w:t>
      </w:r>
    </w:p>
    <w:p>
      <w:pPr>
        <w:numPr>
          <w:ilvl w:val="0"/>
          <w:numId w:val="6"/>
        </w:numPr>
        <w:tabs>
          <w:tab w:val="left" w:pos="525"/>
          <w:tab w:val="left" w:pos="945"/>
          <w:tab w:val="clear" w:pos="898"/>
        </w:tabs>
        <w:spacing w:line="360" w:lineRule="auto"/>
        <w:ind w:left="0" w:firstLine="457" w:firstLineChars="218"/>
        <w:rPr>
          <w:rFonts w:ascii="宋体" w:hAnsi="宋体"/>
          <w:bCs/>
          <w:szCs w:val="24"/>
        </w:rPr>
      </w:pPr>
      <w:r>
        <w:rPr>
          <w:rFonts w:hint="eastAsia" w:ascii="宋体" w:hAnsi="宋体"/>
          <w:bCs/>
          <w:szCs w:val="24"/>
        </w:rPr>
        <w:t>响应文件不应有涂改、增删和潦草之处，如有必须修改时，修改处必须有供应商盖章、法定代表人或法定代表人授权代表的签字。</w:t>
      </w:r>
    </w:p>
    <w:p>
      <w:pPr>
        <w:numPr>
          <w:ilvl w:val="0"/>
          <w:numId w:val="6"/>
        </w:numPr>
        <w:tabs>
          <w:tab w:val="left" w:pos="525"/>
          <w:tab w:val="left" w:pos="945"/>
          <w:tab w:val="clear" w:pos="898"/>
        </w:tabs>
        <w:spacing w:line="360" w:lineRule="auto"/>
        <w:ind w:left="0" w:firstLine="457" w:firstLineChars="218"/>
        <w:rPr>
          <w:rFonts w:ascii="宋体" w:hAnsi="宋体"/>
          <w:bCs/>
          <w:szCs w:val="24"/>
        </w:rPr>
      </w:pPr>
      <w:r>
        <w:rPr>
          <w:rFonts w:hint="eastAsia" w:ascii="宋体" w:hAnsi="宋体"/>
          <w:bCs/>
          <w:szCs w:val="24"/>
        </w:rPr>
        <w:t>报价费用自理。</w:t>
      </w:r>
    </w:p>
    <w:p>
      <w:pPr>
        <w:spacing w:line="360" w:lineRule="auto"/>
        <w:ind w:left="-2" w:leftChars="-1" w:firstLine="457" w:firstLineChars="218"/>
        <w:rPr>
          <w:rFonts w:ascii="黑体" w:hAnsi="宋体" w:eastAsia="黑体"/>
          <w:bCs/>
          <w:szCs w:val="24"/>
        </w:rPr>
      </w:pPr>
      <w:r>
        <w:rPr>
          <w:rFonts w:hint="eastAsia" w:ascii="黑体" w:hAnsi="宋体" w:eastAsia="黑体"/>
          <w:bCs/>
          <w:szCs w:val="24"/>
        </w:rPr>
        <w:t>（七） 无效响应文件的确认：</w:t>
      </w:r>
    </w:p>
    <w:p>
      <w:pPr>
        <w:spacing w:line="360" w:lineRule="auto"/>
        <w:ind w:firstLine="420" w:firstLineChars="200"/>
        <w:rPr>
          <w:rFonts w:ascii="黑体" w:hAnsi="宋体" w:eastAsia="黑体"/>
          <w:bCs/>
          <w:szCs w:val="24"/>
        </w:rPr>
      </w:pPr>
      <w:r>
        <w:rPr>
          <w:rFonts w:hint="eastAsia" w:ascii="宋体" w:hAnsi="宋体"/>
          <w:bCs/>
          <w:szCs w:val="24"/>
        </w:rPr>
        <w:t>供应商有下列情况之一者，其响应文件无效：</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响应文件未按规定的期限、地点邮件送达的；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响应文件未按要求密封、签署、盖章的；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不具备采购文件中规定的资格要求或未按采购文件规定的要求提供资格、资信证明文件的；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szCs w:val="24"/>
        </w:rPr>
        <w:t>被“信用中国”网站（</w:t>
      </w:r>
      <w:r>
        <w:fldChar w:fldCharType="begin"/>
      </w:r>
      <w:r>
        <w:instrText xml:space="preserve"> HYPERLINK "http://www.creditchina.gov.cn" </w:instrText>
      </w:r>
      <w:r>
        <w:fldChar w:fldCharType="separate"/>
      </w:r>
      <w:r>
        <w:rPr>
          <w:rFonts w:hint="eastAsia" w:ascii="宋体" w:hAnsi="宋体"/>
          <w:szCs w:val="24"/>
        </w:rPr>
        <w:t>www.creditchina.gov.cn</w:t>
      </w:r>
      <w:r>
        <w:rPr>
          <w:rFonts w:hint="eastAsia" w:ascii="宋体" w:hAnsi="宋体"/>
          <w:szCs w:val="24"/>
        </w:rPr>
        <w:fldChar w:fldCharType="end"/>
      </w:r>
      <w:r>
        <w:rPr>
          <w:rFonts w:hint="eastAsia" w:ascii="宋体" w:hAnsi="宋体"/>
          <w:szCs w:val="24"/>
        </w:rPr>
        <w:t>）列入失信执行人、重大税收违法案件当事人名单、政府采购严重违法失信行为记录名单的；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响应文件未按采购文件规定的内容和要求填写的；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响应文件书写潦草、字迹模糊不清、无法辨认的；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响应文件中有采购文件未允许提供的选择性内容的；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ascii="宋体" w:hAnsi="宋体"/>
          <w:bCs/>
          <w:szCs w:val="24"/>
        </w:rPr>
        <w:t>不同</w:t>
      </w:r>
      <w:r>
        <w:rPr>
          <w:rFonts w:hint="eastAsia" w:ascii="宋体" w:hAnsi="宋体"/>
          <w:bCs/>
          <w:szCs w:val="24"/>
        </w:rPr>
        <w:t>供应商</w:t>
      </w:r>
      <w:r>
        <w:rPr>
          <w:rFonts w:ascii="宋体" w:hAnsi="宋体"/>
          <w:bCs/>
          <w:szCs w:val="24"/>
        </w:rPr>
        <w:t>委托同一单位或者个人办理</w:t>
      </w:r>
      <w:r>
        <w:rPr>
          <w:rFonts w:hint="eastAsia" w:ascii="宋体" w:hAnsi="宋体"/>
          <w:bCs/>
          <w:szCs w:val="24"/>
        </w:rPr>
        <w:t>报价</w:t>
      </w:r>
      <w:r>
        <w:rPr>
          <w:rFonts w:ascii="宋体" w:hAnsi="宋体"/>
          <w:bCs/>
          <w:szCs w:val="24"/>
        </w:rPr>
        <w:t>事宜</w:t>
      </w:r>
      <w:r>
        <w:rPr>
          <w:rFonts w:hint="eastAsia" w:ascii="宋体" w:hAnsi="宋体"/>
          <w:bCs/>
          <w:szCs w:val="24"/>
        </w:rPr>
        <w:t>的</w:t>
      </w:r>
      <w:r>
        <w:rPr>
          <w:rFonts w:ascii="宋体" w:hAnsi="宋体"/>
          <w:bCs/>
          <w:szCs w:val="24"/>
        </w:rPr>
        <w:t>；</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不同供应商的单位负责人为同一人或者存在直接控股、管理关系的；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不同供应商的响应文件的装订形式、纸张情况、目录序号、排版格式、文字风格等存在明显的相似性或一致性，特征显示由同一单位或者同一个人编制的；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不同供应商响应文件内容存在非正常一致、项目组成员出现同一人、响应文件中错误（或异常）一致或雷同、电子文档信息一致或雷同的、报价呈规律性差异的；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不同供应商的报价资料相互混装、不同供应商的报价保证金由同一企业或同一账户资金缴纳、不同供应商的委托代理人、项目负责人以及其他相关人员有在同一个单位缴纳社会保险、同一响应文件中单位名称落款与公章不是同一单位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总报价超过本项目预算或最高限价的；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提供虚假材料的（包括工商营业执照、财务报表、资格证明文件等）；</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询价小组</w:t>
      </w:r>
      <w:r>
        <w:rPr>
          <w:rFonts w:ascii="宋体" w:hAnsi="宋体"/>
          <w:bCs/>
          <w:szCs w:val="24"/>
        </w:rPr>
        <w:t>认定</w:t>
      </w:r>
      <w:r>
        <w:rPr>
          <w:rFonts w:hint="eastAsia" w:ascii="宋体" w:hAnsi="宋体"/>
          <w:bCs/>
          <w:szCs w:val="24"/>
        </w:rPr>
        <w:t>供应商</w:t>
      </w:r>
      <w:r>
        <w:rPr>
          <w:rFonts w:ascii="宋体" w:hAnsi="宋体"/>
          <w:bCs/>
          <w:szCs w:val="24"/>
        </w:rPr>
        <w:t>报价明显不合理，有可能影响商品质量和不能诚信履约的</w:t>
      </w:r>
      <w:r>
        <w:rPr>
          <w:rFonts w:hint="eastAsia" w:ascii="宋体" w:hAnsi="宋体"/>
          <w:bCs/>
          <w:szCs w:val="24"/>
        </w:rPr>
        <w:t>；</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除单一来源采购项目外，为采购项目提供整体设计、规范编制或者项目管理、监理、检测等服务的；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响应文件内容不全或不符合采购文件中规定的其它实质性要求的；</w:t>
      </w:r>
    </w:p>
    <w:p>
      <w:pPr>
        <w:numPr>
          <w:ilvl w:val="0"/>
          <w:numId w:val="7"/>
        </w:numPr>
        <w:tabs>
          <w:tab w:val="left" w:pos="525"/>
          <w:tab w:val="left" w:pos="945"/>
          <w:tab w:val="clear" w:pos="762"/>
        </w:tabs>
        <w:spacing w:line="360" w:lineRule="auto"/>
        <w:ind w:left="1" w:firstLine="457" w:firstLineChars="218"/>
        <w:rPr>
          <w:rFonts w:ascii="宋体" w:hAnsi="宋体"/>
          <w:bCs/>
          <w:szCs w:val="24"/>
        </w:rPr>
      </w:pPr>
      <w:r>
        <w:rPr>
          <w:rFonts w:hint="eastAsia" w:ascii="宋体" w:hAnsi="宋体"/>
          <w:bCs/>
          <w:szCs w:val="24"/>
        </w:rPr>
        <w:t>法律法规和采购文件规定的其它无效情形。</w:t>
      </w:r>
    </w:p>
    <w:p>
      <w:pPr>
        <w:rPr>
          <w:rFonts w:ascii="黑体" w:hAnsi="黑体" w:eastAsia="黑体"/>
          <w:szCs w:val="24"/>
        </w:rPr>
      </w:pPr>
      <w:r>
        <w:rPr>
          <w:rFonts w:hint="eastAsia" w:ascii="黑体" w:hAnsi="黑体" w:eastAsia="黑体"/>
          <w:szCs w:val="24"/>
        </w:rPr>
        <w:t>（八） 评审：</w:t>
      </w:r>
    </w:p>
    <w:p>
      <w:pPr>
        <w:tabs>
          <w:tab w:val="left" w:pos="630"/>
          <w:tab w:val="left" w:pos="1050"/>
        </w:tabs>
        <w:spacing w:line="360" w:lineRule="auto"/>
        <w:ind w:firstLine="420" w:firstLineChars="200"/>
        <w:rPr>
          <w:rFonts w:ascii="宋体" w:hAnsi="宋体"/>
          <w:bCs/>
          <w:szCs w:val="24"/>
        </w:rPr>
      </w:pPr>
      <w:r>
        <w:rPr>
          <w:rFonts w:hint="eastAsia" w:ascii="宋体" w:hAnsi="宋体"/>
          <w:bCs/>
          <w:szCs w:val="24"/>
        </w:rPr>
        <w:t>评审工作由泰州职业技术学院负责组织。</w:t>
      </w:r>
    </w:p>
    <w:p>
      <w:pPr>
        <w:tabs>
          <w:tab w:val="left" w:pos="1050"/>
        </w:tabs>
        <w:spacing w:line="360" w:lineRule="auto"/>
        <w:ind w:firstLine="420" w:firstLineChars="200"/>
        <w:rPr>
          <w:rFonts w:ascii="宋体" w:hAnsi="宋体"/>
          <w:bCs/>
          <w:szCs w:val="24"/>
        </w:rPr>
      </w:pPr>
      <w:r>
        <w:rPr>
          <w:rFonts w:hint="eastAsia" w:ascii="宋体" w:hAnsi="宋体"/>
          <w:bCs/>
          <w:szCs w:val="24"/>
        </w:rPr>
        <w:t>具体评审事务由依法组建的询价小组负责。如有争议最终由询价小组认定。</w:t>
      </w:r>
    </w:p>
    <w:p>
      <w:pPr>
        <w:numPr>
          <w:ilvl w:val="1"/>
          <w:numId w:val="8"/>
        </w:numPr>
        <w:tabs>
          <w:tab w:val="left" w:pos="525"/>
          <w:tab w:val="left" w:pos="630"/>
          <w:tab w:val="left" w:pos="945"/>
          <w:tab w:val="clear" w:pos="1290"/>
        </w:tabs>
        <w:spacing w:line="360" w:lineRule="auto"/>
        <w:ind w:left="1" w:firstLine="457" w:firstLineChars="218"/>
        <w:rPr>
          <w:rFonts w:ascii="宋体" w:hAnsi="宋体"/>
          <w:bCs/>
          <w:szCs w:val="24"/>
        </w:rPr>
      </w:pPr>
      <w:r>
        <w:rPr>
          <w:rFonts w:hint="eastAsia" w:ascii="宋体" w:hAnsi="宋体"/>
          <w:bCs/>
          <w:szCs w:val="24"/>
        </w:rPr>
        <w:t>响应文件的审查</w:t>
      </w:r>
    </w:p>
    <w:p>
      <w:pPr>
        <w:numPr>
          <w:ilvl w:val="3"/>
          <w:numId w:val="8"/>
        </w:numPr>
        <w:tabs>
          <w:tab w:val="left" w:pos="525"/>
          <w:tab w:val="left" w:pos="630"/>
          <w:tab w:val="left" w:pos="945"/>
          <w:tab w:val="left" w:pos="1155"/>
          <w:tab w:val="clear" w:pos="1830"/>
        </w:tabs>
        <w:spacing w:line="360" w:lineRule="auto"/>
        <w:ind w:left="0" w:firstLine="457" w:firstLineChars="218"/>
        <w:rPr>
          <w:rFonts w:ascii="宋体" w:hAnsi="宋体"/>
          <w:bCs/>
          <w:szCs w:val="24"/>
        </w:rPr>
      </w:pPr>
      <w:r>
        <w:rPr>
          <w:rFonts w:ascii="宋体" w:hAnsi="宋体"/>
          <w:bCs/>
          <w:szCs w:val="24"/>
        </w:rPr>
        <w:t>报价</w:t>
      </w:r>
      <w:r>
        <w:rPr>
          <w:rFonts w:hint="eastAsia" w:ascii="宋体" w:hAnsi="宋体"/>
          <w:bCs/>
          <w:szCs w:val="24"/>
        </w:rPr>
        <w:t>一览表</w:t>
      </w:r>
      <w:r>
        <w:rPr>
          <w:rFonts w:ascii="宋体" w:hAnsi="宋体"/>
          <w:bCs/>
          <w:szCs w:val="24"/>
        </w:rPr>
        <w:t>内容与明细表内容不一致的，以报价</w:t>
      </w:r>
      <w:r>
        <w:rPr>
          <w:rFonts w:hint="eastAsia" w:ascii="宋体" w:hAnsi="宋体"/>
          <w:bCs/>
          <w:szCs w:val="24"/>
        </w:rPr>
        <w:t>一览表</w:t>
      </w:r>
      <w:r>
        <w:rPr>
          <w:rFonts w:ascii="宋体" w:hAnsi="宋体"/>
          <w:bCs/>
          <w:szCs w:val="24"/>
        </w:rPr>
        <w:t>为准</w:t>
      </w:r>
      <w:r>
        <w:rPr>
          <w:rFonts w:hint="eastAsia" w:ascii="宋体" w:hAnsi="宋体"/>
          <w:bCs/>
          <w:szCs w:val="24"/>
        </w:rPr>
        <w:t>。</w:t>
      </w:r>
    </w:p>
    <w:p>
      <w:pPr>
        <w:tabs>
          <w:tab w:val="left" w:pos="630"/>
          <w:tab w:val="left" w:pos="945"/>
          <w:tab w:val="left" w:pos="1155"/>
        </w:tabs>
        <w:spacing w:line="360" w:lineRule="auto"/>
        <w:ind w:firstLine="420" w:firstLineChars="200"/>
        <w:rPr>
          <w:rFonts w:ascii="宋体" w:hAnsi="宋体"/>
          <w:bCs/>
          <w:szCs w:val="24"/>
        </w:rPr>
      </w:pPr>
      <w:r>
        <w:rPr>
          <w:rFonts w:hint="eastAsia" w:ascii="宋体" w:hAnsi="宋体"/>
          <w:bCs/>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numPr>
          <w:ilvl w:val="3"/>
          <w:numId w:val="8"/>
        </w:numPr>
        <w:tabs>
          <w:tab w:val="left" w:pos="525"/>
          <w:tab w:val="left" w:pos="630"/>
          <w:tab w:val="left" w:pos="945"/>
          <w:tab w:val="left" w:pos="1155"/>
          <w:tab w:val="clear" w:pos="1830"/>
        </w:tabs>
        <w:spacing w:line="360" w:lineRule="auto"/>
        <w:ind w:left="0" w:firstLine="457" w:firstLineChars="218"/>
        <w:rPr>
          <w:rFonts w:ascii="宋体" w:hAnsi="宋体"/>
          <w:bCs/>
          <w:szCs w:val="24"/>
        </w:rPr>
      </w:pPr>
      <w:r>
        <w:rPr>
          <w:rFonts w:hint="eastAsia" w:ascii="宋体" w:hAnsi="宋体"/>
          <w:bCs/>
          <w:szCs w:val="24"/>
        </w:rPr>
        <w:t>正本与副本不符，以正本为准。</w:t>
      </w:r>
    </w:p>
    <w:p>
      <w:pPr>
        <w:numPr>
          <w:ilvl w:val="1"/>
          <w:numId w:val="8"/>
        </w:numPr>
        <w:tabs>
          <w:tab w:val="left" w:pos="525"/>
          <w:tab w:val="left" w:pos="840"/>
          <w:tab w:val="left" w:pos="945"/>
          <w:tab w:val="clear" w:pos="1290"/>
        </w:tabs>
        <w:spacing w:line="360" w:lineRule="auto"/>
        <w:ind w:left="1" w:firstLine="457" w:firstLineChars="218"/>
        <w:rPr>
          <w:rFonts w:ascii="宋体" w:hAnsi="宋体"/>
          <w:bCs/>
          <w:szCs w:val="24"/>
        </w:rPr>
      </w:pPr>
      <w:r>
        <w:rPr>
          <w:rFonts w:ascii="宋体" w:hAnsi="宋体"/>
          <w:bCs/>
        </w:rPr>
        <w:t>评</w:t>
      </w:r>
      <w:r>
        <w:rPr>
          <w:rFonts w:hint="eastAsia" w:ascii="宋体" w:hAnsi="宋体"/>
          <w:bCs/>
        </w:rPr>
        <w:t>审</w:t>
      </w:r>
      <w:r>
        <w:rPr>
          <w:rFonts w:ascii="宋体" w:hAnsi="宋体"/>
          <w:bCs/>
        </w:rPr>
        <w:t>程序</w:t>
      </w:r>
    </w:p>
    <w:p>
      <w:pPr>
        <w:numPr>
          <w:ilvl w:val="0"/>
          <w:numId w:val="9"/>
        </w:numPr>
        <w:tabs>
          <w:tab w:val="left" w:pos="630"/>
          <w:tab w:val="left" w:pos="945"/>
          <w:tab w:val="left" w:pos="1155"/>
          <w:tab w:val="clear" w:pos="1104"/>
        </w:tabs>
        <w:spacing w:line="360" w:lineRule="auto"/>
        <w:ind w:left="0" w:firstLine="457" w:firstLineChars="218"/>
        <w:rPr>
          <w:rFonts w:ascii="宋体" w:hAnsi="宋体"/>
          <w:bCs/>
          <w:szCs w:val="24"/>
        </w:rPr>
      </w:pPr>
      <w:r>
        <w:rPr>
          <w:rFonts w:ascii="宋体" w:hAnsi="宋体"/>
          <w:bCs/>
        </w:rPr>
        <w:t>响应文件初审。初审分为资格性检查和符合性检查</w:t>
      </w:r>
      <w:r>
        <w:rPr>
          <w:rFonts w:ascii="宋体" w:hAnsi="宋体"/>
          <w:bCs/>
          <w:szCs w:val="24"/>
        </w:rPr>
        <w:t>。</w:t>
      </w:r>
      <w:r>
        <w:rPr>
          <w:rFonts w:hint="eastAsia" w:ascii="宋体" w:hAnsi="宋体"/>
          <w:bCs/>
          <w:szCs w:val="24"/>
        </w:rPr>
        <w:t xml:space="preserve"> </w:t>
      </w:r>
    </w:p>
    <w:p>
      <w:pPr>
        <w:numPr>
          <w:ilvl w:val="0"/>
          <w:numId w:val="10"/>
        </w:numPr>
        <w:tabs>
          <w:tab w:val="left" w:pos="210"/>
          <w:tab w:val="left" w:pos="945"/>
          <w:tab w:val="left" w:pos="1365"/>
          <w:tab w:val="clear" w:pos="570"/>
        </w:tabs>
        <w:spacing w:line="360" w:lineRule="auto"/>
        <w:ind w:left="0" w:firstLine="457" w:firstLineChars="218"/>
        <w:rPr>
          <w:rFonts w:ascii="宋体" w:hAnsi="宋体"/>
          <w:bCs/>
        </w:rPr>
      </w:pPr>
      <w:r>
        <w:rPr>
          <w:rFonts w:ascii="宋体" w:hAnsi="宋体"/>
          <w:bCs/>
        </w:rPr>
        <w:t>资格性检查。依据法律法规和采购文件的规定，对响应文件中的资格证明、报价保证金等进行审查</w:t>
      </w:r>
      <w:r>
        <w:rPr>
          <w:rFonts w:hint="eastAsia" w:ascii="宋体" w:hAnsi="宋体"/>
          <w:bCs/>
        </w:rPr>
        <w:t>；</w:t>
      </w:r>
      <w:r>
        <w:rPr>
          <w:rFonts w:hint="eastAsia" w:ascii="宋体" w:hAnsi="宋体"/>
          <w:bCs/>
          <w:szCs w:val="24"/>
        </w:rPr>
        <w:t>通过“信用中国”网站（</w:t>
      </w:r>
      <w:r>
        <w:fldChar w:fldCharType="begin"/>
      </w:r>
      <w:r>
        <w:instrText xml:space="preserve"> HYPERLINK "http://www.creditchina.gov.cn" </w:instrText>
      </w:r>
      <w:r>
        <w:fldChar w:fldCharType="separate"/>
      </w:r>
      <w:r>
        <w:rPr>
          <w:rFonts w:hint="eastAsia" w:ascii="宋体" w:hAnsi="宋体"/>
          <w:bCs/>
          <w:szCs w:val="24"/>
        </w:rPr>
        <w:t>www.creditchina.gov.cn</w:t>
      </w:r>
      <w:r>
        <w:rPr>
          <w:rFonts w:hint="eastAsia" w:ascii="宋体" w:hAnsi="宋体"/>
          <w:bCs/>
          <w:szCs w:val="24"/>
        </w:rPr>
        <w:fldChar w:fldCharType="end"/>
      </w:r>
      <w:r>
        <w:rPr>
          <w:rFonts w:hint="eastAsia" w:ascii="宋体" w:hAnsi="宋体"/>
          <w:bCs/>
          <w:szCs w:val="24"/>
        </w:rPr>
        <w:t>）查询报价供应商在报价截止时间之前，是否被列入</w:t>
      </w:r>
      <w:r>
        <w:rPr>
          <w:rFonts w:hint="eastAsia" w:ascii="宋体" w:hAnsi="宋体"/>
          <w:szCs w:val="24"/>
        </w:rPr>
        <w:t>失信执行人、重大税收违法案件当事人名单、政府采购严重违法失信行为记录名单，</w:t>
      </w:r>
      <w:r>
        <w:rPr>
          <w:rFonts w:hint="eastAsia" w:ascii="宋体" w:hAnsi="宋体"/>
          <w:bCs/>
        </w:rPr>
        <w:t>以确定报价供应商是否具备报价资格。</w:t>
      </w:r>
    </w:p>
    <w:p>
      <w:pPr>
        <w:numPr>
          <w:ilvl w:val="0"/>
          <w:numId w:val="10"/>
        </w:numPr>
        <w:tabs>
          <w:tab w:val="left" w:pos="210"/>
          <w:tab w:val="left" w:pos="945"/>
          <w:tab w:val="left" w:pos="1365"/>
          <w:tab w:val="clear" w:pos="570"/>
        </w:tabs>
        <w:spacing w:line="360" w:lineRule="auto"/>
        <w:ind w:left="0" w:firstLine="457" w:firstLineChars="218"/>
        <w:rPr>
          <w:rFonts w:ascii="宋体" w:hAnsi="宋体"/>
          <w:bCs/>
        </w:rPr>
      </w:pPr>
      <w:r>
        <w:rPr>
          <w:rFonts w:ascii="宋体" w:hAnsi="宋体"/>
          <w:bCs/>
        </w:rPr>
        <w:t>符合性检查。依据采购文件的规定，从响应文件的有效性、完整性和对采购文件的响应程度进行审查，以确定是否对采购文件的实质性要求作出响应</w:t>
      </w:r>
      <w:r>
        <w:rPr>
          <w:rFonts w:hint="eastAsia" w:ascii="宋体" w:hAnsi="宋体"/>
          <w:bCs/>
        </w:rPr>
        <w:t>。</w:t>
      </w:r>
    </w:p>
    <w:p>
      <w:pPr>
        <w:numPr>
          <w:ilvl w:val="0"/>
          <w:numId w:val="9"/>
        </w:numPr>
        <w:tabs>
          <w:tab w:val="left" w:pos="420"/>
          <w:tab w:val="left" w:pos="945"/>
          <w:tab w:val="left" w:pos="1155"/>
          <w:tab w:val="clear" w:pos="1104"/>
        </w:tabs>
        <w:spacing w:line="360" w:lineRule="auto"/>
        <w:ind w:left="0" w:firstLine="457" w:firstLineChars="218"/>
        <w:rPr>
          <w:rFonts w:ascii="宋体" w:hAnsi="宋体"/>
          <w:bCs/>
          <w:szCs w:val="24"/>
        </w:rPr>
      </w:pPr>
      <w:r>
        <w:rPr>
          <w:rFonts w:ascii="宋体" w:hAnsi="宋体"/>
          <w:bCs/>
        </w:rPr>
        <w:t>澄清有关问题。对响应文件中含义不明确、同类问题表述不一致或者有明显文字和计算错误的内容，询价小组可以书面形式（应当由询价小组专家签字）要求供应商作出必要的澄清、说明或者纠正。供应商的澄清、说明或者补正应当采用书面形式，由其授权的代表签字</w:t>
      </w:r>
      <w:r>
        <w:rPr>
          <w:rFonts w:hint="eastAsia" w:ascii="宋体" w:hAnsi="宋体"/>
          <w:bCs/>
          <w:szCs w:val="24"/>
        </w:rPr>
        <w:t>。</w:t>
      </w:r>
    </w:p>
    <w:p>
      <w:pPr>
        <w:numPr>
          <w:ilvl w:val="0"/>
          <w:numId w:val="9"/>
        </w:numPr>
        <w:tabs>
          <w:tab w:val="left" w:pos="945"/>
          <w:tab w:val="left" w:pos="1155"/>
          <w:tab w:val="clear" w:pos="1104"/>
        </w:tabs>
        <w:spacing w:line="360" w:lineRule="auto"/>
        <w:ind w:left="0" w:firstLine="460" w:firstLineChars="218"/>
        <w:rPr>
          <w:rFonts w:ascii="宋体" w:hAnsi="宋体"/>
          <w:bCs/>
          <w:szCs w:val="24"/>
        </w:rPr>
      </w:pPr>
      <w:r>
        <w:rPr>
          <w:rFonts w:hint="eastAsia" w:ascii="宋体" w:hAnsi="宋体"/>
          <w:b/>
          <w:bCs/>
          <w:szCs w:val="24"/>
        </w:rPr>
        <w:t>价格扣除</w:t>
      </w:r>
      <w:r>
        <w:rPr>
          <w:rFonts w:hint="eastAsia" w:ascii="宋体" w:hAnsi="宋体"/>
          <w:bCs/>
          <w:szCs w:val="24"/>
        </w:rPr>
        <w:t>：</w:t>
      </w:r>
    </w:p>
    <w:p>
      <w:pPr>
        <w:tabs>
          <w:tab w:val="left" w:pos="840"/>
          <w:tab w:val="left" w:pos="1050"/>
        </w:tabs>
        <w:spacing w:line="360" w:lineRule="auto"/>
        <w:ind w:left="1" w:firstLine="457" w:firstLineChars="218"/>
        <w:rPr>
          <w:rFonts w:ascii="宋体" w:hAnsi="宋体"/>
          <w:bCs/>
          <w:szCs w:val="24"/>
        </w:rPr>
      </w:pPr>
      <w:r>
        <w:rPr>
          <w:rFonts w:hint="eastAsia" w:ascii="宋体" w:hAnsi="宋体"/>
          <w:bCs/>
          <w:szCs w:val="24"/>
        </w:rPr>
        <w:t>对小型和微型企业产品的价格给予6%的扣除。参加报价的中小企业，应当按照《政府采购促进中小企业发展暂行办法》（财库〔2011〕181号）的规定提供《中小企业声明函》（</w:t>
      </w:r>
      <w:r>
        <w:rPr>
          <w:rFonts w:ascii="宋体" w:hAnsi="宋体"/>
          <w:bCs/>
          <w:szCs w:val="24"/>
        </w:rPr>
        <w:t>中小企业划型标准</w:t>
      </w:r>
      <w:r>
        <w:rPr>
          <w:rFonts w:hint="eastAsia" w:ascii="宋体" w:hAnsi="宋体"/>
          <w:bCs/>
          <w:szCs w:val="24"/>
        </w:rPr>
        <w:t>详见《</w:t>
      </w:r>
      <w:r>
        <w:rPr>
          <w:rFonts w:ascii="宋体" w:hAnsi="宋体"/>
          <w:bCs/>
          <w:szCs w:val="24"/>
        </w:rPr>
        <w:t>关于印发中小企业划型标准规定的通知</w:t>
      </w:r>
      <w:r>
        <w:rPr>
          <w:rFonts w:hint="eastAsia" w:ascii="宋体" w:hAnsi="宋体"/>
          <w:bCs/>
          <w:szCs w:val="24"/>
        </w:rPr>
        <w:t>》工信部联企业〔2011〕300号）。</w:t>
      </w:r>
    </w:p>
    <w:p>
      <w:pPr>
        <w:numPr>
          <w:ilvl w:val="1"/>
          <w:numId w:val="8"/>
        </w:numPr>
        <w:tabs>
          <w:tab w:val="left" w:pos="525"/>
          <w:tab w:val="left" w:pos="840"/>
          <w:tab w:val="left" w:pos="945"/>
          <w:tab w:val="clear" w:pos="1290"/>
        </w:tabs>
        <w:spacing w:line="360" w:lineRule="auto"/>
        <w:ind w:left="1" w:firstLine="457" w:firstLineChars="218"/>
        <w:rPr>
          <w:rFonts w:ascii="宋体" w:hAnsi="宋体"/>
          <w:bCs/>
        </w:rPr>
      </w:pPr>
      <w:r>
        <w:rPr>
          <w:rFonts w:hint="eastAsia" w:ascii="宋体" w:hAnsi="宋体"/>
          <w:bCs/>
        </w:rPr>
        <w:t xml:space="preserve">成交标准 </w:t>
      </w:r>
    </w:p>
    <w:p>
      <w:pPr>
        <w:tabs>
          <w:tab w:val="left" w:pos="840"/>
          <w:tab w:val="left" w:pos="1050"/>
        </w:tabs>
        <w:spacing w:line="360" w:lineRule="auto"/>
        <w:ind w:left="1" w:firstLine="457" w:firstLineChars="218"/>
        <w:rPr>
          <w:rFonts w:ascii="宋体" w:hAnsi="宋体"/>
          <w:bCs/>
          <w:szCs w:val="24"/>
        </w:rPr>
      </w:pPr>
      <w:r>
        <w:rPr>
          <w:rFonts w:hint="eastAsia" w:ascii="宋体" w:hAnsi="宋体"/>
          <w:bCs/>
          <w:szCs w:val="24"/>
        </w:rPr>
        <w:t>本项目在质量和服务均能满足采购文件实质性响应要求的前提下，以提出最低报价（价格扣除后的评审价）的供应商为成交供应商。如因最低评审价相同，</w:t>
      </w:r>
      <w:r>
        <w:rPr>
          <w:rFonts w:ascii="宋体" w:hAnsi="宋体"/>
          <w:bCs/>
          <w:szCs w:val="24"/>
        </w:rPr>
        <w:t>则按抽签决定</w:t>
      </w:r>
      <w:r>
        <w:rPr>
          <w:rFonts w:hint="eastAsia" w:ascii="宋体" w:hAnsi="宋体"/>
          <w:bCs/>
          <w:szCs w:val="24"/>
        </w:rPr>
        <w:t>成交供应商。</w:t>
      </w:r>
    </w:p>
    <w:p>
      <w:pPr>
        <w:rPr>
          <w:rFonts w:ascii="黑体" w:hAnsi="黑体" w:eastAsia="黑体"/>
          <w:szCs w:val="24"/>
        </w:rPr>
      </w:pPr>
      <w:r>
        <w:rPr>
          <w:rFonts w:hint="eastAsia" w:ascii="黑体" w:hAnsi="黑体" w:eastAsia="黑体"/>
          <w:szCs w:val="24"/>
        </w:rPr>
        <w:t>（九） 确定成交供应商：</w:t>
      </w:r>
    </w:p>
    <w:p>
      <w:pPr>
        <w:numPr>
          <w:ilvl w:val="0"/>
          <w:numId w:val="11"/>
        </w:numPr>
        <w:tabs>
          <w:tab w:val="left" w:pos="525"/>
          <w:tab w:val="left" w:pos="945"/>
          <w:tab w:val="clear" w:pos="552"/>
        </w:tabs>
        <w:spacing w:line="360" w:lineRule="auto"/>
        <w:ind w:left="0" w:firstLine="457" w:firstLineChars="218"/>
        <w:rPr>
          <w:rFonts w:ascii="宋体" w:hAnsi="宋体"/>
          <w:bCs/>
          <w:szCs w:val="24"/>
        </w:rPr>
      </w:pPr>
      <w:r>
        <w:rPr>
          <w:rFonts w:hint="eastAsia" w:ascii="宋体" w:hAnsi="宋体"/>
          <w:bCs/>
          <w:szCs w:val="24"/>
        </w:rPr>
        <w:t>询价小组对通过</w:t>
      </w:r>
      <w:r>
        <w:rPr>
          <w:rFonts w:ascii="宋体" w:hAnsi="宋体"/>
          <w:bCs/>
        </w:rPr>
        <w:t>资格性检查和符合性检查</w:t>
      </w:r>
      <w:r>
        <w:rPr>
          <w:rFonts w:hint="eastAsia" w:ascii="宋体" w:hAnsi="宋体"/>
          <w:bCs/>
        </w:rPr>
        <w:t>的有效响应文件</w:t>
      </w:r>
      <w:r>
        <w:rPr>
          <w:rFonts w:hint="eastAsia" w:ascii="宋体" w:hAnsi="宋体"/>
          <w:bCs/>
          <w:szCs w:val="24"/>
        </w:rPr>
        <w:t>，根据成交标准确定成交供应商。</w:t>
      </w:r>
    </w:p>
    <w:p>
      <w:pPr>
        <w:numPr>
          <w:ilvl w:val="0"/>
          <w:numId w:val="11"/>
        </w:numPr>
        <w:tabs>
          <w:tab w:val="left" w:pos="525"/>
          <w:tab w:val="left" w:pos="945"/>
          <w:tab w:val="clear" w:pos="552"/>
        </w:tabs>
        <w:spacing w:line="360" w:lineRule="auto"/>
        <w:ind w:left="0" w:firstLine="457" w:firstLineChars="218"/>
        <w:rPr>
          <w:rFonts w:ascii="宋体" w:hAnsi="宋体"/>
          <w:bCs/>
          <w:szCs w:val="24"/>
        </w:rPr>
      </w:pPr>
      <w:r>
        <w:rPr>
          <w:rFonts w:hint="eastAsia" w:ascii="宋体" w:hAnsi="宋体"/>
          <w:bCs/>
          <w:szCs w:val="24"/>
        </w:rPr>
        <w:t>采购人将评审结果在泰州职业技术学院官网发布成交公告。采购人和询价小组对未成交原因不做解释。如有质疑，应在</w:t>
      </w:r>
      <w:r>
        <w:rPr>
          <w:rFonts w:ascii="宋体" w:hAnsi="宋体"/>
          <w:bCs/>
          <w:szCs w:val="24"/>
        </w:rPr>
        <w:t>法定质疑期限</w:t>
      </w:r>
      <w:r>
        <w:rPr>
          <w:rFonts w:hint="eastAsia" w:ascii="宋体" w:hAnsi="宋体"/>
          <w:bCs/>
          <w:szCs w:val="24"/>
        </w:rPr>
        <w:t>内，即</w:t>
      </w:r>
      <w:r>
        <w:rPr>
          <w:rFonts w:hint="eastAsia" w:ascii="宋体" w:hAnsi="宋体"/>
          <w:szCs w:val="24"/>
        </w:rPr>
        <w:t>成交公告</w:t>
      </w:r>
      <w:r>
        <w:rPr>
          <w:rFonts w:hint="eastAsia" w:ascii="宋体" w:hAnsi="宋体" w:cs="宋体"/>
          <w:bCs/>
          <w:kern w:val="0"/>
        </w:rPr>
        <w:t>期限届满之日</w:t>
      </w:r>
      <w:r>
        <w:rPr>
          <w:rFonts w:hint="eastAsia" w:ascii="宋体" w:hAnsi="宋体"/>
          <w:szCs w:val="24"/>
        </w:rPr>
        <w:t>起</w:t>
      </w:r>
      <w:r>
        <w:rPr>
          <w:rFonts w:ascii="宋体" w:hAnsi="宋体"/>
          <w:szCs w:val="24"/>
        </w:rPr>
        <w:t>3</w:t>
      </w:r>
      <w:r>
        <w:rPr>
          <w:rFonts w:hint="eastAsia" w:ascii="宋体" w:hAnsi="宋体"/>
          <w:szCs w:val="24"/>
        </w:rPr>
        <w:t>个工作日</w:t>
      </w:r>
      <w:r>
        <w:rPr>
          <w:rFonts w:hint="eastAsia" w:ascii="宋体" w:hAnsi="宋体"/>
          <w:bCs/>
          <w:szCs w:val="24"/>
        </w:rPr>
        <w:t>内，以书面形式送达采购人。质疑函应当列明具体的</w:t>
      </w:r>
      <w:r>
        <w:rPr>
          <w:rFonts w:ascii="宋体" w:hAnsi="宋体"/>
          <w:bCs/>
          <w:szCs w:val="24"/>
        </w:rPr>
        <w:t>质疑事项及事实根据</w:t>
      </w:r>
      <w:r>
        <w:rPr>
          <w:rFonts w:hint="eastAsia" w:ascii="宋体" w:hAnsi="宋体"/>
          <w:bCs/>
          <w:szCs w:val="24"/>
        </w:rPr>
        <w:t>，</w:t>
      </w:r>
      <w:r>
        <w:rPr>
          <w:rFonts w:ascii="宋体" w:hAnsi="宋体"/>
          <w:bCs/>
          <w:szCs w:val="24"/>
        </w:rPr>
        <w:t>认为自己合法权益受到损害的相关证据材料</w:t>
      </w:r>
      <w:r>
        <w:rPr>
          <w:rFonts w:hint="eastAsia" w:ascii="宋体" w:hAnsi="宋体"/>
          <w:bCs/>
          <w:szCs w:val="24"/>
        </w:rPr>
        <w:t>以及</w:t>
      </w:r>
      <w:r>
        <w:rPr>
          <w:rFonts w:ascii="宋体" w:hAnsi="宋体"/>
          <w:bCs/>
          <w:szCs w:val="24"/>
        </w:rPr>
        <w:t>质疑供应商的名称、地址、邮编、联系人、联系电话</w:t>
      </w:r>
      <w:r>
        <w:rPr>
          <w:rFonts w:hint="eastAsia" w:ascii="宋体" w:hAnsi="宋体"/>
          <w:bCs/>
          <w:szCs w:val="24"/>
        </w:rPr>
        <w:t>、日期，同时该质疑函应由供应商法定代表人签字并加盖单位公章（原件）。采购人将在收到符合上述要求的书面质疑后七个工作日内，对质疑内容做出答复。供应商在</w:t>
      </w:r>
      <w:r>
        <w:rPr>
          <w:rFonts w:ascii="宋体" w:hAnsi="宋体"/>
          <w:bCs/>
          <w:szCs w:val="24"/>
        </w:rPr>
        <w:t>法定质疑期限</w:t>
      </w:r>
      <w:r>
        <w:rPr>
          <w:rFonts w:hint="eastAsia" w:ascii="宋体" w:hAnsi="宋体"/>
          <w:bCs/>
          <w:szCs w:val="24"/>
        </w:rPr>
        <w:t>外送达的质疑函或</w:t>
      </w:r>
      <w:r>
        <w:rPr>
          <w:rFonts w:ascii="宋体" w:hAnsi="宋体"/>
          <w:bCs/>
          <w:szCs w:val="24"/>
        </w:rPr>
        <w:t>法定质疑期限</w:t>
      </w:r>
      <w:r>
        <w:rPr>
          <w:rFonts w:hint="eastAsia" w:ascii="宋体" w:hAnsi="宋体"/>
          <w:bCs/>
          <w:szCs w:val="24"/>
        </w:rPr>
        <w:t>内送达的</w:t>
      </w:r>
      <w:r>
        <w:rPr>
          <w:rFonts w:ascii="宋体" w:hAnsi="宋体"/>
          <w:bCs/>
          <w:szCs w:val="24"/>
        </w:rPr>
        <w:t>质疑函</w:t>
      </w:r>
      <w:r>
        <w:rPr>
          <w:rFonts w:hint="eastAsia" w:ascii="宋体" w:hAnsi="宋体"/>
          <w:bCs/>
          <w:szCs w:val="24"/>
        </w:rPr>
        <w:t>不符合上述要求</w:t>
      </w:r>
      <w:r>
        <w:rPr>
          <w:rFonts w:ascii="宋体" w:hAnsi="宋体"/>
          <w:bCs/>
          <w:szCs w:val="24"/>
        </w:rPr>
        <w:t>的</w:t>
      </w:r>
      <w:r>
        <w:rPr>
          <w:rFonts w:hint="eastAsia" w:ascii="宋体" w:hAnsi="宋体"/>
          <w:bCs/>
          <w:szCs w:val="24"/>
        </w:rPr>
        <w:t>均</w:t>
      </w:r>
      <w:r>
        <w:rPr>
          <w:rFonts w:ascii="宋体" w:hAnsi="宋体"/>
          <w:bCs/>
          <w:szCs w:val="24"/>
        </w:rPr>
        <w:t>为无效质疑</w:t>
      </w:r>
      <w:r>
        <w:rPr>
          <w:rFonts w:hint="eastAsia" w:ascii="宋体" w:hAnsi="宋体"/>
          <w:bCs/>
          <w:szCs w:val="24"/>
        </w:rPr>
        <w:t>，采购人对无效质疑不予受理。</w:t>
      </w:r>
    </w:p>
    <w:p>
      <w:pPr>
        <w:rPr>
          <w:rFonts w:ascii="黑体" w:hAnsi="黑体" w:eastAsia="黑体"/>
          <w:szCs w:val="24"/>
        </w:rPr>
      </w:pPr>
      <w:r>
        <w:rPr>
          <w:rFonts w:hint="eastAsia" w:ascii="黑体" w:hAnsi="黑体" w:eastAsia="黑体"/>
          <w:szCs w:val="24"/>
        </w:rPr>
        <w:t>（十）采购终止：</w:t>
      </w:r>
    </w:p>
    <w:p>
      <w:pPr>
        <w:spacing w:line="360" w:lineRule="auto"/>
        <w:ind w:firstLine="457" w:firstLineChars="218"/>
        <w:rPr>
          <w:rFonts w:ascii="宋体" w:hAnsi="宋体"/>
          <w:bCs/>
          <w:szCs w:val="24"/>
        </w:rPr>
      </w:pPr>
      <w:r>
        <w:rPr>
          <w:rFonts w:hint="eastAsia" w:ascii="宋体" w:hAnsi="宋体"/>
          <w:bCs/>
          <w:szCs w:val="24"/>
        </w:rPr>
        <w:t>在询价采购中，出现下列情况之一的，本次采购活动终止：</w:t>
      </w:r>
    </w:p>
    <w:p>
      <w:pPr>
        <w:numPr>
          <w:ilvl w:val="0"/>
          <w:numId w:val="12"/>
        </w:numPr>
        <w:tabs>
          <w:tab w:val="right" w:pos="180"/>
          <w:tab w:val="left" w:pos="525"/>
          <w:tab w:val="left" w:pos="945"/>
          <w:tab w:val="clear" w:pos="570"/>
        </w:tabs>
        <w:spacing w:line="360" w:lineRule="auto"/>
        <w:ind w:left="0" w:firstLine="457" w:firstLineChars="218"/>
        <w:rPr>
          <w:rFonts w:ascii="宋体" w:hAnsi="宋体"/>
          <w:bCs/>
          <w:szCs w:val="24"/>
        </w:rPr>
      </w:pPr>
      <w:r>
        <w:rPr>
          <w:rFonts w:ascii="宋体" w:hAnsi="宋体"/>
          <w:bCs/>
          <w:szCs w:val="24"/>
        </w:rPr>
        <w:t>因情况变化，不再符合规定的询价采购方式适用情形的</w:t>
      </w:r>
      <w:r>
        <w:rPr>
          <w:rFonts w:hint="eastAsia" w:ascii="宋体" w:hAnsi="宋体"/>
          <w:bCs/>
          <w:szCs w:val="24"/>
        </w:rPr>
        <w:t>；</w:t>
      </w:r>
    </w:p>
    <w:p>
      <w:pPr>
        <w:numPr>
          <w:ilvl w:val="0"/>
          <w:numId w:val="12"/>
        </w:numPr>
        <w:tabs>
          <w:tab w:val="left" w:pos="525"/>
          <w:tab w:val="left" w:pos="945"/>
          <w:tab w:val="clear" w:pos="570"/>
        </w:tabs>
        <w:spacing w:line="360" w:lineRule="auto"/>
        <w:ind w:left="0" w:firstLine="457" w:firstLineChars="218"/>
        <w:rPr>
          <w:rFonts w:ascii="宋体" w:hAnsi="宋体"/>
          <w:bCs/>
          <w:szCs w:val="24"/>
        </w:rPr>
      </w:pPr>
      <w:r>
        <w:rPr>
          <w:rFonts w:ascii="宋体" w:hAnsi="宋体"/>
          <w:bCs/>
          <w:szCs w:val="24"/>
        </w:rPr>
        <w:t>出现影响采购公正的违法、违规行为的</w:t>
      </w:r>
      <w:r>
        <w:rPr>
          <w:rFonts w:hint="eastAsia" w:ascii="宋体" w:hAnsi="宋体"/>
          <w:bCs/>
          <w:szCs w:val="24"/>
        </w:rPr>
        <w:t>；</w:t>
      </w:r>
    </w:p>
    <w:p>
      <w:pPr>
        <w:numPr>
          <w:ilvl w:val="0"/>
          <w:numId w:val="12"/>
        </w:numPr>
        <w:tabs>
          <w:tab w:val="left" w:pos="525"/>
          <w:tab w:val="left" w:pos="945"/>
          <w:tab w:val="clear" w:pos="570"/>
        </w:tabs>
        <w:spacing w:line="360" w:lineRule="auto"/>
        <w:ind w:left="0" w:firstLine="457" w:firstLineChars="218"/>
        <w:rPr>
          <w:rFonts w:ascii="宋体" w:hAnsi="宋体"/>
          <w:bCs/>
          <w:szCs w:val="24"/>
        </w:rPr>
      </w:pPr>
      <w:r>
        <w:rPr>
          <w:rFonts w:ascii="宋体" w:hAnsi="宋体"/>
          <w:bCs/>
          <w:szCs w:val="24"/>
        </w:rPr>
        <w:t>采购过程中符合竞争要求的供应商或者报价未超过采购预算的供应商不足3家的</w:t>
      </w:r>
      <w:r>
        <w:rPr>
          <w:rFonts w:hint="eastAsia" w:ascii="宋体" w:hAnsi="宋体"/>
          <w:bCs/>
          <w:szCs w:val="24"/>
        </w:rPr>
        <w:t>。</w:t>
      </w:r>
    </w:p>
    <w:p>
      <w:pPr>
        <w:rPr>
          <w:rFonts w:ascii="黑体" w:hAnsi="黑体" w:eastAsia="黑体"/>
        </w:rPr>
      </w:pPr>
      <w:r>
        <w:rPr>
          <w:rFonts w:hint="eastAsia" w:ascii="黑体" w:hAnsi="黑体" w:eastAsia="黑体"/>
        </w:rPr>
        <w:t>（十一）</w:t>
      </w:r>
      <w:r>
        <w:rPr>
          <w:rFonts w:hint="eastAsia" w:ascii="宋体" w:hAnsi="宋体"/>
          <w:bCs/>
          <w:szCs w:val="24"/>
        </w:rPr>
        <w:t>成交供应商有下列情形之一的，</w:t>
      </w:r>
      <w:r>
        <w:rPr>
          <w:rFonts w:hint="eastAsia" w:ascii="宋体" w:hAnsi="宋体"/>
          <w:szCs w:val="24"/>
        </w:rPr>
        <w:t>必须</w:t>
      </w:r>
      <w:r>
        <w:rPr>
          <w:rFonts w:ascii="宋体" w:hAnsi="宋体"/>
          <w:szCs w:val="24"/>
        </w:rPr>
        <w:t>限期改正，情节严重的，列入不良行为记录名单，在1至3年内禁止参加政府采购活动，并予以通报：</w:t>
      </w:r>
    </w:p>
    <w:p>
      <w:pPr>
        <w:numPr>
          <w:ilvl w:val="3"/>
          <w:numId w:val="8"/>
        </w:numPr>
        <w:tabs>
          <w:tab w:val="left" w:pos="315"/>
          <w:tab w:val="left" w:pos="735"/>
          <w:tab w:val="left" w:pos="1155"/>
          <w:tab w:val="clear" w:pos="1830"/>
        </w:tabs>
        <w:spacing w:line="360" w:lineRule="auto"/>
        <w:ind w:left="0" w:firstLine="457" w:firstLineChars="218"/>
        <w:rPr>
          <w:rFonts w:ascii="宋体" w:hAnsi="宋体"/>
          <w:szCs w:val="24"/>
        </w:rPr>
      </w:pPr>
      <w:r>
        <w:rPr>
          <w:rFonts w:ascii="宋体" w:hAnsi="宋体"/>
          <w:szCs w:val="24"/>
        </w:rPr>
        <w:t>未按照采购文件确定的事项签订政府采购合同，或者与采购人另行订立背离合同实质性内容的协议的；</w:t>
      </w:r>
    </w:p>
    <w:p>
      <w:pPr>
        <w:numPr>
          <w:ilvl w:val="3"/>
          <w:numId w:val="8"/>
        </w:numPr>
        <w:tabs>
          <w:tab w:val="left" w:pos="315"/>
          <w:tab w:val="left" w:pos="735"/>
          <w:tab w:val="left" w:pos="1155"/>
          <w:tab w:val="clear" w:pos="1830"/>
        </w:tabs>
        <w:spacing w:line="360" w:lineRule="auto"/>
        <w:ind w:left="0" w:firstLine="457" w:firstLineChars="218"/>
        <w:rPr>
          <w:rFonts w:ascii="宋体" w:hAnsi="宋体"/>
          <w:szCs w:val="24"/>
        </w:rPr>
      </w:pPr>
      <w:r>
        <w:rPr>
          <w:rFonts w:ascii="宋体" w:hAnsi="宋体"/>
          <w:szCs w:val="24"/>
        </w:rPr>
        <w:t>成交后无正当理由不与采购人签订合同的；</w:t>
      </w:r>
    </w:p>
    <w:p>
      <w:pPr>
        <w:numPr>
          <w:ilvl w:val="3"/>
          <w:numId w:val="8"/>
        </w:numPr>
        <w:tabs>
          <w:tab w:val="left" w:pos="315"/>
          <w:tab w:val="left" w:pos="735"/>
          <w:tab w:val="left" w:pos="1155"/>
          <w:tab w:val="clear" w:pos="1830"/>
        </w:tabs>
        <w:spacing w:line="360" w:lineRule="auto"/>
        <w:ind w:left="0" w:firstLine="457" w:firstLineChars="218"/>
        <w:rPr>
          <w:rFonts w:ascii="宋体" w:hAnsi="宋体"/>
          <w:bCs/>
          <w:szCs w:val="24"/>
        </w:rPr>
      </w:pPr>
      <w:r>
        <w:rPr>
          <w:rFonts w:hint="eastAsia" w:ascii="宋体" w:hAnsi="宋体"/>
          <w:bCs/>
          <w:szCs w:val="24"/>
        </w:rPr>
        <w:t>拒绝履行合同义务的。</w:t>
      </w:r>
    </w:p>
    <w:p>
      <w:pPr>
        <w:rPr>
          <w:rFonts w:ascii="黑体" w:hAnsi="黑体" w:eastAsia="黑体"/>
        </w:rPr>
      </w:pPr>
      <w:r>
        <w:rPr>
          <w:rFonts w:hint="eastAsia" w:ascii="黑体" w:hAnsi="黑体" w:eastAsia="黑体"/>
          <w:b/>
        </w:rPr>
        <w:t>（十二）</w:t>
      </w:r>
      <w:r>
        <w:rPr>
          <w:rFonts w:hint="eastAsia" w:ascii="黑体" w:hAnsi="黑体" w:eastAsia="黑体"/>
        </w:rPr>
        <w:t>签订、履行合同：</w:t>
      </w:r>
    </w:p>
    <w:p>
      <w:pPr>
        <w:numPr>
          <w:ilvl w:val="0"/>
          <w:numId w:val="13"/>
        </w:numPr>
        <w:tabs>
          <w:tab w:val="left" w:pos="525"/>
          <w:tab w:val="left" w:pos="945"/>
          <w:tab w:val="clear" w:pos="552"/>
        </w:tabs>
        <w:spacing w:line="360" w:lineRule="auto"/>
        <w:ind w:left="0" w:firstLine="457" w:firstLineChars="218"/>
        <w:rPr>
          <w:rFonts w:ascii="宋体" w:hAnsi="宋体"/>
          <w:bCs/>
          <w:szCs w:val="24"/>
        </w:rPr>
      </w:pPr>
      <w:r>
        <w:rPr>
          <w:rFonts w:ascii="宋体" w:hAnsi="宋体"/>
          <w:bCs/>
          <w:szCs w:val="24"/>
        </w:rPr>
        <w:t>采购人应当自成交通知书发出之日起十日内，按照采购文件和响应文件的约定，与成交供应商签订书面合同。所签订的合同不得对采购文件和成交供应商响应文件作实质性修改。</w:t>
      </w:r>
      <w:r>
        <w:rPr>
          <w:rFonts w:hint="eastAsia" w:ascii="宋体" w:hAnsi="宋体"/>
          <w:bCs/>
          <w:szCs w:val="24"/>
        </w:rPr>
        <w:t>采购人</w:t>
      </w:r>
      <w:r>
        <w:rPr>
          <w:rFonts w:ascii="宋体" w:hAnsi="宋体"/>
          <w:bCs/>
          <w:szCs w:val="24"/>
        </w:rPr>
        <w:t>不得向成交供应商提出任何不合理的要求，作为签订合同的条件，不得与成交供应商私下订立背离合同实质性内容的协议。</w:t>
      </w:r>
    </w:p>
    <w:p>
      <w:pPr>
        <w:numPr>
          <w:ilvl w:val="0"/>
          <w:numId w:val="13"/>
        </w:numPr>
        <w:tabs>
          <w:tab w:val="left" w:pos="525"/>
          <w:tab w:val="left" w:pos="945"/>
          <w:tab w:val="clear" w:pos="552"/>
        </w:tabs>
        <w:spacing w:line="360" w:lineRule="auto"/>
        <w:ind w:left="0" w:firstLine="457" w:firstLineChars="218"/>
        <w:rPr>
          <w:rFonts w:ascii="宋体" w:hAnsi="宋体"/>
          <w:bCs/>
          <w:szCs w:val="24"/>
        </w:rPr>
      </w:pPr>
      <w:r>
        <w:rPr>
          <w:rFonts w:hint="eastAsia" w:ascii="宋体" w:hAnsi="宋体"/>
          <w:bCs/>
          <w:szCs w:val="24"/>
        </w:rPr>
        <w:t>成交供应商非因不可抗力未履行采购文件、响应文件和合同规定的义务，一经查实，泰州职业技术学院将根据具体情况提请政府采购管理部门作出相应处理。</w:t>
      </w:r>
    </w:p>
    <w:p/>
    <w:p>
      <w:pPr>
        <w:pStyle w:val="2"/>
        <w:jc w:val="center"/>
      </w:pPr>
      <w:r>
        <w:rPr>
          <w:rFonts w:hint="eastAsia"/>
        </w:rPr>
        <w:t>第三章 项目技术要求和有关说明</w:t>
      </w:r>
    </w:p>
    <w:tbl>
      <w:tblPr>
        <w:tblStyle w:val="7"/>
        <w:tblW w:w="9234" w:type="dxa"/>
        <w:tblInd w:w="108" w:type="dxa"/>
        <w:tblLayout w:type="autofit"/>
        <w:tblCellMar>
          <w:top w:w="0" w:type="dxa"/>
          <w:left w:w="0" w:type="dxa"/>
          <w:bottom w:w="0" w:type="dxa"/>
          <w:right w:w="0" w:type="dxa"/>
        </w:tblCellMar>
      </w:tblPr>
      <w:tblGrid>
        <w:gridCol w:w="493"/>
        <w:gridCol w:w="5316"/>
        <w:gridCol w:w="946"/>
        <w:gridCol w:w="1843"/>
        <w:gridCol w:w="636"/>
      </w:tblGrid>
      <w:tr>
        <w:tblPrEx>
          <w:tblCellMar>
            <w:top w:w="0" w:type="dxa"/>
            <w:left w:w="0" w:type="dxa"/>
            <w:bottom w:w="0" w:type="dxa"/>
            <w:right w:w="0" w:type="dxa"/>
          </w:tblCellMar>
        </w:tblPrEx>
        <w:tc>
          <w:tcPr>
            <w:tcW w:w="493"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tcPr>
          <w:p>
            <w:pPr>
              <w:widowControl/>
              <w:jc w:val="left"/>
              <w:rPr>
                <w:rFonts w:ascii="宋体" w:hAnsi="宋体" w:cs="宋体"/>
                <w:color w:val="000000"/>
                <w:kern w:val="0"/>
                <w:sz w:val="18"/>
                <w:szCs w:val="18"/>
              </w:rPr>
            </w:pPr>
            <w:r>
              <w:rPr>
                <w:rFonts w:hint="eastAsia" w:ascii="宋体" w:hAnsi="宋体" w:cs="宋体"/>
                <w:color w:val="000000"/>
                <w:kern w:val="0"/>
                <w:sz w:val="24"/>
                <w:szCs w:val="24"/>
              </w:rPr>
              <w:t>设备名称</w:t>
            </w:r>
          </w:p>
        </w:tc>
        <w:tc>
          <w:tcPr>
            <w:tcW w:w="531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center"/>
              <w:rPr>
                <w:rFonts w:ascii="宋体" w:hAnsi="宋体" w:cs="宋体"/>
                <w:color w:val="000000"/>
                <w:kern w:val="0"/>
                <w:sz w:val="18"/>
                <w:szCs w:val="18"/>
              </w:rPr>
            </w:pPr>
            <w:r>
              <w:rPr>
                <w:rFonts w:hint="eastAsia" w:ascii="宋体" w:hAnsi="宋体" w:cs="宋体"/>
                <w:color w:val="000000"/>
                <w:kern w:val="0"/>
                <w:sz w:val="24"/>
                <w:szCs w:val="24"/>
              </w:rPr>
              <w:t>参数要求</w:t>
            </w:r>
          </w:p>
        </w:tc>
        <w:tc>
          <w:tcPr>
            <w:tcW w:w="94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center"/>
              <w:rPr>
                <w:rFonts w:ascii="宋体" w:hAnsi="宋体" w:cs="宋体"/>
                <w:color w:val="000000"/>
                <w:kern w:val="0"/>
                <w:sz w:val="18"/>
                <w:szCs w:val="18"/>
              </w:rPr>
            </w:pPr>
            <w:r>
              <w:rPr>
                <w:rFonts w:hint="eastAsia" w:ascii="宋体" w:hAnsi="宋体" w:cs="宋体"/>
                <w:color w:val="000000"/>
                <w:kern w:val="0"/>
                <w:sz w:val="24"/>
                <w:szCs w:val="24"/>
              </w:rPr>
              <w:t>数量</w:t>
            </w:r>
          </w:p>
        </w:tc>
        <w:tc>
          <w:tcPr>
            <w:tcW w:w="1843"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图片</w:t>
            </w:r>
          </w:p>
        </w:tc>
        <w:tc>
          <w:tcPr>
            <w:tcW w:w="63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0" w:type="dxa"/>
            <w:bottom w:w="0" w:type="dxa"/>
            <w:right w:w="0" w:type="dxa"/>
          </w:tblCellMar>
        </w:tblPrEx>
        <w:tc>
          <w:tcPr>
            <w:tcW w:w="493"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widowControl/>
              <w:jc w:val="center"/>
              <w:rPr>
                <w:rFonts w:ascii="宋体" w:hAnsi="宋体"/>
                <w:color w:val="000000"/>
                <w:kern w:val="0"/>
                <w:sz w:val="22"/>
              </w:rPr>
            </w:pPr>
            <w:r>
              <w:rPr>
                <w:rFonts w:hint="eastAsia" w:ascii="宋体" w:hAnsi="宋体"/>
                <w:color w:val="000000"/>
                <w:sz w:val="22"/>
              </w:rPr>
              <w:t>除颤仪</w:t>
            </w:r>
          </w:p>
        </w:tc>
        <w:tc>
          <w:tcPr>
            <w:tcW w:w="531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具备手动除颤、心电监护、呼吸监护、自动体外除颤（AED）功能。</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整机带电极板、电池的重量不超过6kg。</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sym w:font="Wingdings" w:char="F0AB"/>
            </w:r>
            <w:r>
              <w:rPr>
                <w:rFonts w:hint="eastAsia" w:ascii="宋体" w:hAnsi="宋体" w:cs="宋体"/>
                <w:kern w:val="0"/>
                <w:sz w:val="24"/>
              </w:rPr>
              <w:t>除颤采用双相指数截断波技术，具备自动阻抗补偿功能。除颤能量为360J，提高除颤成功率和有效性。</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手动除颤分为同步和非同步两种方式，能量分20档以上，可通过体外电极板进行能量选择。</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sym w:font="Wingdings" w:char="F0AB"/>
            </w:r>
            <w:r>
              <w:rPr>
                <w:rFonts w:hint="eastAsia" w:ascii="宋体" w:hAnsi="宋体" w:cs="宋体"/>
                <w:kern w:val="0"/>
                <w:sz w:val="24"/>
              </w:rPr>
              <w:t>除颤充电迅速，充电至200J&lt;5s，360J&lt;8s。</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可选配体外起搏功能，起搏分为固定和按需两种模式。具备慢速起搏功能。</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CPR辅助功能，可指导CPR操作，符合2010国际CPR指南要求。</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心电波形扫描时间&gt;10s，扫描长度&gt;100mm。</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可选配血氧饱和度、无创血压监护功能。</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sym w:font="Wingdings" w:char="F0AB"/>
            </w:r>
            <w:r>
              <w:rPr>
                <w:rFonts w:hint="eastAsia" w:ascii="宋体" w:hAnsi="宋体" w:cs="宋体"/>
                <w:kern w:val="0"/>
                <w:sz w:val="24"/>
              </w:rPr>
              <w:t>可充电锂电池，支持100次以上200J除颤。</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具备生理报警和技术报警功能，通过声音、灯光等多种方式进行报警。</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成人、小儿一体化电极板，可选用除颤起搏监护多功能电极片。</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支持中文操作界面、AED中文语音提示。</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sym w:font="Wingdings" w:char="F0AB"/>
            </w:r>
            <w:r>
              <w:rPr>
                <w:rFonts w:hint="eastAsia" w:ascii="宋体" w:hAnsi="宋体" w:cs="宋体"/>
                <w:kern w:val="0"/>
                <w:sz w:val="24"/>
              </w:rPr>
              <w:t>彩色TFT显示屏&gt;6</w:t>
            </w:r>
            <w:r>
              <w:rPr>
                <w:rFonts w:ascii="宋体" w:hAnsi="宋体" w:cs="宋体"/>
                <w:kern w:val="0"/>
                <w:sz w:val="24"/>
              </w:rPr>
              <w:t>”</w:t>
            </w:r>
            <w:r>
              <w:rPr>
                <w:rFonts w:hint="eastAsia" w:ascii="宋体" w:hAnsi="宋体" w:cs="宋体"/>
                <w:kern w:val="0"/>
                <w:sz w:val="24"/>
              </w:rPr>
              <w:t>, 分辨率640×480，最多可显示3通道监护参数波形，有高对比度显示界面。</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50mm记录仪，自动打印除颤记录，可延迟打印心电，延迟时间&gt;10s。</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可存储24小时连续ECG波形，数据可导出至电脑查看。</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关机状态下设备可自动运行自检，支持大能量自检（不低于150J）、屏幕、按键检测。</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可在-10</w:t>
            </w:r>
            <w:r>
              <w:rPr>
                <w:rFonts w:ascii="宋体" w:hAnsi="宋体" w:cs="宋体"/>
                <w:kern w:val="0"/>
                <w:sz w:val="24"/>
              </w:rPr>
              <w:t>ºC</w:t>
            </w:r>
            <w:r>
              <w:rPr>
                <w:rFonts w:hint="eastAsia" w:ascii="宋体" w:hAnsi="宋体" w:cs="宋体"/>
                <w:kern w:val="0"/>
                <w:sz w:val="24"/>
              </w:rPr>
              <w:t>环境正常工作，存储温度</w:t>
            </w:r>
            <w:r>
              <w:rPr>
                <w:rFonts w:ascii="宋体" w:hAnsi="宋体" w:cs="宋体"/>
                <w:kern w:val="0"/>
                <w:sz w:val="24"/>
              </w:rPr>
              <w:t>-30</w:t>
            </w:r>
            <w:r>
              <w:rPr>
                <w:rFonts w:hint="eastAsia" w:ascii="宋体" w:hAnsi="宋体" w:cs="宋体"/>
                <w:kern w:val="0"/>
                <w:sz w:val="24"/>
              </w:rPr>
              <w:t>～</w:t>
            </w:r>
            <w:r>
              <w:rPr>
                <w:rFonts w:ascii="宋体" w:hAnsi="宋体" w:cs="宋体"/>
                <w:kern w:val="0"/>
                <w:sz w:val="24"/>
              </w:rPr>
              <w:t>70ºC</w:t>
            </w:r>
            <w:r>
              <w:rPr>
                <w:rFonts w:hint="eastAsia" w:ascii="宋体" w:hAnsi="宋体" w:cs="宋体"/>
                <w:kern w:val="0"/>
                <w:sz w:val="24"/>
              </w:rPr>
              <w:t>。</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符合除颤国际专用安全标准</w:t>
            </w:r>
            <w:r>
              <w:rPr>
                <w:rFonts w:ascii="宋体" w:hAnsi="宋体" w:cs="宋体"/>
                <w:kern w:val="0"/>
                <w:sz w:val="24"/>
              </w:rPr>
              <w:t>IEC60601-2-4:2002</w:t>
            </w:r>
            <w:r>
              <w:rPr>
                <w:rFonts w:hint="eastAsia" w:ascii="宋体" w:hAnsi="宋体" w:cs="宋体"/>
                <w:kern w:val="0"/>
                <w:sz w:val="24"/>
              </w:rPr>
              <w:t>。</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符合欧盟救护车标准</w:t>
            </w:r>
            <w:r>
              <w:rPr>
                <w:rFonts w:ascii="宋体" w:hAnsi="宋体" w:cs="宋体"/>
                <w:kern w:val="0"/>
                <w:sz w:val="24"/>
              </w:rPr>
              <w:t>EN1789:2007</w:t>
            </w:r>
            <w:r>
              <w:rPr>
                <w:rFonts w:hint="eastAsia" w:ascii="宋体" w:hAnsi="宋体" w:cs="宋体"/>
                <w:kern w:val="0"/>
                <w:sz w:val="24"/>
              </w:rPr>
              <w:t>。</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具备良好的防水性能，防水级别IPX4。</w:t>
            </w:r>
          </w:p>
          <w:p>
            <w:pPr>
              <w:widowControl/>
              <w:numPr>
                <w:ilvl w:val="0"/>
                <w:numId w:val="14"/>
              </w:numPr>
              <w:spacing w:line="480" w:lineRule="exact"/>
              <w:jc w:val="left"/>
              <w:rPr>
                <w:rFonts w:ascii="宋体" w:hAnsi="宋体" w:cs="宋体"/>
                <w:kern w:val="0"/>
                <w:sz w:val="24"/>
              </w:rPr>
            </w:pPr>
            <w:r>
              <w:rPr>
                <w:rFonts w:hint="eastAsia" w:ascii="宋体" w:hAnsi="宋体" w:cs="宋体"/>
                <w:kern w:val="0"/>
                <w:sz w:val="24"/>
              </w:rPr>
              <w:t>具备优异的抗跌落性能，裸机可承受0.75m跌落冲击。</w:t>
            </w:r>
          </w:p>
          <w:p>
            <w:pPr>
              <w:widowControl/>
              <w:jc w:val="left"/>
              <w:rPr>
                <w:rFonts w:ascii="宋体" w:hAnsi="宋体" w:cs="宋体"/>
                <w:color w:val="000000"/>
                <w:kern w:val="0"/>
                <w:sz w:val="24"/>
                <w:szCs w:val="24"/>
              </w:rPr>
            </w:pPr>
          </w:p>
        </w:tc>
        <w:tc>
          <w:tcPr>
            <w:tcW w:w="94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w:t>
            </w:r>
          </w:p>
        </w:tc>
        <w:tc>
          <w:tcPr>
            <w:tcW w:w="1843"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right"/>
              <w:rPr>
                <w:rFonts w:ascii="宋体" w:hAnsi="宋体" w:cs="宋体"/>
                <w:color w:val="000000"/>
                <w:kern w:val="0"/>
                <w:sz w:val="24"/>
                <w:szCs w:val="24"/>
              </w:rPr>
            </w:pPr>
            <w:r>
              <w:rPr>
                <w:rFonts w:ascii="宋体" w:hAnsi="宋体"/>
              </w:rPr>
              <w:drawing>
                <wp:inline distT="0" distB="0" distL="114300" distR="114300">
                  <wp:extent cx="1032510" cy="798830"/>
                  <wp:effectExtent l="0" t="0" r="0" b="1270"/>
                  <wp:docPr id="3" name="图片 3" descr="1599982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9982116(1)"/>
                          <pic:cNvPicPr>
                            <a:picLocks noChangeAspect="1"/>
                          </pic:cNvPicPr>
                        </pic:nvPicPr>
                        <pic:blipFill>
                          <a:blip r:embed="rId4"/>
                          <a:stretch>
                            <a:fillRect/>
                          </a:stretch>
                        </pic:blipFill>
                        <pic:spPr>
                          <a:xfrm>
                            <a:off x="0" y="0"/>
                            <a:ext cx="1050428" cy="812588"/>
                          </a:xfrm>
                          <a:prstGeom prst="rect">
                            <a:avLst/>
                          </a:prstGeom>
                        </pic:spPr>
                      </pic:pic>
                    </a:graphicData>
                  </a:graphic>
                </wp:inline>
              </w:drawing>
            </w:r>
          </w:p>
        </w:tc>
        <w:tc>
          <w:tcPr>
            <w:tcW w:w="63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left"/>
              <w:rPr>
                <w:rFonts w:ascii="宋体" w:hAnsi="宋体" w:cs="宋体"/>
                <w:color w:val="000000"/>
                <w:kern w:val="0"/>
                <w:sz w:val="24"/>
                <w:szCs w:val="24"/>
              </w:rPr>
            </w:pPr>
          </w:p>
        </w:tc>
      </w:tr>
      <w:tr>
        <w:tblPrEx>
          <w:tblCellMar>
            <w:top w:w="0" w:type="dxa"/>
            <w:left w:w="0" w:type="dxa"/>
            <w:bottom w:w="0" w:type="dxa"/>
            <w:right w:w="0" w:type="dxa"/>
          </w:tblCellMar>
        </w:tblPrEx>
        <w:tc>
          <w:tcPr>
            <w:tcW w:w="493"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jc w:val="center"/>
              <w:rPr>
                <w:rFonts w:ascii="宋体" w:hAnsi="宋体"/>
                <w:color w:val="000000"/>
                <w:sz w:val="22"/>
              </w:rPr>
            </w:pPr>
            <w:r>
              <w:rPr>
                <w:rFonts w:hint="eastAsia" w:ascii="宋体" w:hAnsi="宋体"/>
                <w:color w:val="000000"/>
                <w:sz w:val="22"/>
              </w:rPr>
              <w:t>双通道注射泵</w:t>
            </w:r>
          </w:p>
        </w:tc>
        <w:tc>
          <w:tcPr>
            <w:tcW w:w="531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numPr>
                <w:ilvl w:val="0"/>
                <w:numId w:val="15"/>
              </w:numPr>
              <w:rPr>
                <w:rFonts w:ascii="宋体" w:hAnsi="宋体"/>
                <w:color w:val="000000"/>
                <w:sz w:val="24"/>
                <w:szCs w:val="24"/>
              </w:rPr>
            </w:pPr>
            <w:r>
              <w:rPr>
                <w:rFonts w:hint="eastAsia" w:ascii="宋体" w:hAnsi="宋体"/>
                <w:color w:val="000000"/>
                <w:sz w:val="24"/>
                <w:szCs w:val="24"/>
              </w:rPr>
              <w:t>双通道为主机一体化设计，无需额外配件。每个通道具备独立电源开关，使用时更节能。</w:t>
            </w:r>
          </w:p>
          <w:p>
            <w:pPr>
              <w:numPr>
                <w:ilvl w:val="0"/>
                <w:numId w:val="15"/>
              </w:numPr>
              <w:rPr>
                <w:rFonts w:ascii="宋体" w:hAnsi="宋体"/>
                <w:color w:val="000000"/>
                <w:sz w:val="24"/>
                <w:szCs w:val="24"/>
              </w:rPr>
            </w:pPr>
            <w:r>
              <w:rPr>
                <w:rFonts w:hint="eastAsia" w:ascii="宋体" w:hAnsi="宋体"/>
                <w:color w:val="000000"/>
                <w:sz w:val="24"/>
                <w:szCs w:val="24"/>
              </w:rPr>
              <w:t>注射精度≤±2% 或0.005mL/h取大者</w:t>
            </w:r>
          </w:p>
          <w:p>
            <w:pPr>
              <w:numPr>
                <w:ilvl w:val="0"/>
                <w:numId w:val="15"/>
              </w:numPr>
              <w:rPr>
                <w:rFonts w:ascii="宋体" w:hAnsi="宋体"/>
                <w:color w:val="000000"/>
                <w:sz w:val="24"/>
                <w:szCs w:val="24"/>
              </w:rPr>
            </w:pPr>
            <w:r>
              <w:rPr>
                <w:rFonts w:hint="eastAsia" w:ascii="宋体" w:hAnsi="宋体"/>
                <w:color w:val="000000"/>
                <w:sz w:val="24"/>
                <w:szCs w:val="24"/>
              </w:rPr>
              <w:t>速率范围：0.1-1800ml/h, 最小步进0.1ml/h</w:t>
            </w:r>
          </w:p>
          <w:p>
            <w:pPr>
              <w:numPr>
                <w:ilvl w:val="0"/>
                <w:numId w:val="15"/>
              </w:numPr>
              <w:rPr>
                <w:rFonts w:ascii="宋体" w:hAnsi="宋体"/>
                <w:color w:val="000000"/>
                <w:sz w:val="24"/>
                <w:szCs w:val="24"/>
              </w:rPr>
            </w:pPr>
            <w:r>
              <w:rPr>
                <w:rFonts w:hint="eastAsia" w:ascii="宋体" w:hAnsi="宋体"/>
                <w:color w:val="000000"/>
                <w:sz w:val="24"/>
                <w:szCs w:val="24"/>
              </w:rPr>
              <w:t>预置输液总量范围：0.1-9999ml</w:t>
            </w:r>
          </w:p>
          <w:p>
            <w:pPr>
              <w:numPr>
                <w:ilvl w:val="0"/>
                <w:numId w:val="15"/>
              </w:numPr>
              <w:rPr>
                <w:rFonts w:ascii="宋体" w:hAnsi="宋体"/>
                <w:color w:val="000000"/>
                <w:sz w:val="24"/>
                <w:szCs w:val="24"/>
              </w:rPr>
            </w:pPr>
            <w:r>
              <w:rPr>
                <w:rFonts w:hint="eastAsia" w:ascii="宋体" w:hAnsi="宋体"/>
                <w:color w:val="000000"/>
                <w:sz w:val="24"/>
                <w:szCs w:val="24"/>
              </w:rPr>
              <w:t>快进流速范围：0.1-1800ml/h，具有自动和手动快进可选；</w:t>
            </w:r>
          </w:p>
          <w:p>
            <w:pPr>
              <w:numPr>
                <w:ilvl w:val="0"/>
                <w:numId w:val="15"/>
              </w:numPr>
              <w:rPr>
                <w:rFonts w:ascii="宋体" w:hAnsi="宋体"/>
                <w:color w:val="000000"/>
                <w:sz w:val="24"/>
                <w:szCs w:val="24"/>
              </w:rPr>
            </w:pPr>
            <w:r>
              <w:rPr>
                <w:rFonts w:hint="eastAsia" w:ascii="宋体" w:hAnsi="宋体"/>
                <w:color w:val="000000"/>
                <w:sz w:val="24"/>
                <w:szCs w:val="24"/>
              </w:rPr>
              <w:t>KVO：0.1-5ml/h</w:t>
            </w:r>
          </w:p>
          <w:p>
            <w:pPr>
              <w:numPr>
                <w:ilvl w:val="0"/>
                <w:numId w:val="15"/>
              </w:numPr>
              <w:rPr>
                <w:rFonts w:ascii="宋体" w:hAnsi="宋体"/>
                <w:color w:val="000000"/>
                <w:sz w:val="24"/>
                <w:szCs w:val="24"/>
              </w:rPr>
            </w:pPr>
            <w:r>
              <w:rPr>
                <w:rFonts w:hint="eastAsia" w:ascii="宋体" w:hAnsi="宋体"/>
                <w:color w:val="000000"/>
                <w:sz w:val="24"/>
                <w:szCs w:val="24"/>
              </w:rPr>
              <w:t>可自动统计四种累计量：24h累计量、最近累计量、自定义时间段累计量、定时间隔累计量</w:t>
            </w:r>
          </w:p>
          <w:p>
            <w:pPr>
              <w:numPr>
                <w:ilvl w:val="0"/>
                <w:numId w:val="15"/>
              </w:numPr>
              <w:rPr>
                <w:rFonts w:ascii="宋体" w:hAnsi="宋体"/>
                <w:color w:val="000000"/>
                <w:sz w:val="24"/>
                <w:szCs w:val="24"/>
              </w:rPr>
            </w:pPr>
            <w:r>
              <w:rPr>
                <w:rFonts w:hint="eastAsia" w:ascii="宋体" w:hAnsi="宋体"/>
                <w:color w:val="000000"/>
                <w:sz w:val="24"/>
                <w:szCs w:val="24"/>
              </w:rPr>
              <w:t>支持注射器规格：5ml、10ml、20ml、30ml、50/60ml；</w:t>
            </w:r>
          </w:p>
          <w:p>
            <w:pPr>
              <w:numPr>
                <w:ilvl w:val="0"/>
                <w:numId w:val="15"/>
              </w:numPr>
              <w:rPr>
                <w:rFonts w:ascii="宋体" w:hAnsi="宋体"/>
                <w:color w:val="000000"/>
                <w:sz w:val="24"/>
                <w:szCs w:val="24"/>
              </w:rPr>
            </w:pPr>
            <w:r>
              <w:rPr>
                <w:rFonts w:hint="eastAsia" w:ascii="宋体" w:hAnsi="宋体"/>
                <w:color w:val="000000"/>
                <w:sz w:val="24"/>
                <w:szCs w:val="24"/>
              </w:rPr>
              <w:t>无需额外工具或设备，可直接在注射泵上添加注射器品牌名称</w:t>
            </w:r>
          </w:p>
          <w:p>
            <w:pPr>
              <w:numPr>
                <w:ilvl w:val="0"/>
                <w:numId w:val="15"/>
              </w:numPr>
              <w:rPr>
                <w:rFonts w:ascii="宋体" w:hAnsi="宋体"/>
                <w:color w:val="000000"/>
                <w:sz w:val="24"/>
                <w:szCs w:val="24"/>
              </w:rPr>
            </w:pPr>
            <w:r>
              <w:rPr>
                <w:rFonts w:hint="eastAsia" w:ascii="宋体" w:hAnsi="宋体"/>
                <w:color w:val="000000"/>
                <w:sz w:val="24"/>
                <w:szCs w:val="24"/>
              </w:rPr>
              <w:t>具备间断给药模式，通过设置流速、间断输液量、间隔时间和输液总量来控制输液</w:t>
            </w:r>
          </w:p>
          <w:p>
            <w:pPr>
              <w:numPr>
                <w:ilvl w:val="0"/>
                <w:numId w:val="15"/>
              </w:numPr>
              <w:rPr>
                <w:rFonts w:ascii="宋体" w:hAnsi="宋体"/>
                <w:color w:val="000000"/>
                <w:sz w:val="24"/>
                <w:szCs w:val="24"/>
              </w:rPr>
            </w:pPr>
            <w:r>
              <w:rPr>
                <w:rFonts w:hint="eastAsia" w:ascii="宋体" w:hAnsi="宋体"/>
                <w:color w:val="000000"/>
                <w:sz w:val="24"/>
                <w:szCs w:val="24"/>
              </w:rPr>
              <w:t>具有联机功能，可自动启动第二通道注射，保证临床连续给药功能，维持血药浓度稳定。</w:t>
            </w:r>
          </w:p>
          <w:p>
            <w:pPr>
              <w:numPr>
                <w:ilvl w:val="0"/>
                <w:numId w:val="15"/>
              </w:numPr>
              <w:rPr>
                <w:rFonts w:ascii="宋体" w:hAnsi="宋体"/>
                <w:color w:val="000000"/>
                <w:sz w:val="24"/>
                <w:szCs w:val="24"/>
              </w:rPr>
            </w:pPr>
            <w:r>
              <w:rPr>
                <w:rFonts w:hint="eastAsia" w:ascii="宋体" w:hAnsi="宋体"/>
                <w:color w:val="000000"/>
                <w:sz w:val="24"/>
                <w:szCs w:val="24"/>
              </w:rPr>
              <w:t>LCD显示屏，可同屏显示：输注模式、速度、当前注射状态、预置量、累计量、电池状态、报警压力阈值和在线压力等信息；</w:t>
            </w:r>
          </w:p>
          <w:p>
            <w:pPr>
              <w:numPr>
                <w:ilvl w:val="0"/>
                <w:numId w:val="15"/>
              </w:numPr>
              <w:rPr>
                <w:rFonts w:ascii="宋体" w:hAnsi="宋体"/>
                <w:color w:val="000000"/>
                <w:sz w:val="24"/>
                <w:szCs w:val="24"/>
              </w:rPr>
            </w:pPr>
            <w:r>
              <w:rPr>
                <w:rFonts w:hint="eastAsia" w:ascii="宋体" w:hAnsi="宋体"/>
                <w:color w:val="000000"/>
                <w:sz w:val="24"/>
                <w:szCs w:val="24"/>
              </w:rPr>
              <w:t>全中文软件操作界面</w:t>
            </w:r>
          </w:p>
          <w:p>
            <w:pPr>
              <w:numPr>
                <w:ilvl w:val="0"/>
                <w:numId w:val="15"/>
              </w:numPr>
              <w:rPr>
                <w:rFonts w:ascii="宋体" w:hAnsi="宋体"/>
                <w:color w:val="000000"/>
                <w:sz w:val="24"/>
                <w:szCs w:val="24"/>
              </w:rPr>
            </w:pPr>
            <w:r>
              <w:rPr>
                <w:rFonts w:hint="eastAsia" w:ascii="宋体" w:hAnsi="宋体"/>
                <w:color w:val="000000"/>
                <w:sz w:val="24"/>
                <w:szCs w:val="24"/>
              </w:rPr>
              <w:t>锁屏功能：支持自动锁屏，自动锁屏时间可调</w:t>
            </w:r>
          </w:p>
          <w:p>
            <w:pPr>
              <w:numPr>
                <w:ilvl w:val="0"/>
                <w:numId w:val="15"/>
              </w:numPr>
              <w:rPr>
                <w:rFonts w:ascii="宋体" w:hAnsi="宋体"/>
                <w:color w:val="000000"/>
                <w:sz w:val="24"/>
                <w:szCs w:val="24"/>
              </w:rPr>
            </w:pPr>
            <w:r>
              <w:rPr>
                <w:rFonts w:hint="eastAsia" w:ascii="宋体" w:hAnsi="宋体"/>
                <w:color w:val="000000"/>
                <w:sz w:val="24"/>
                <w:szCs w:val="24"/>
              </w:rPr>
              <w:t>在线滴定功能：安全不中断输液而更改速率；</w:t>
            </w:r>
          </w:p>
          <w:p>
            <w:pPr>
              <w:numPr>
                <w:ilvl w:val="0"/>
                <w:numId w:val="15"/>
              </w:numPr>
              <w:rPr>
                <w:rFonts w:ascii="宋体" w:hAnsi="宋体"/>
                <w:color w:val="000000"/>
                <w:sz w:val="24"/>
                <w:szCs w:val="24"/>
              </w:rPr>
            </w:pPr>
            <w:r>
              <w:rPr>
                <w:rFonts w:hint="eastAsia" w:ascii="宋体" w:hAnsi="宋体"/>
                <w:color w:val="000000"/>
                <w:sz w:val="24"/>
                <w:szCs w:val="24"/>
              </w:rPr>
              <w:t>分低级、中级、高级三级报警。可实现声光，动画和文字同时报警提示，同时显示具体报警信息；</w:t>
            </w:r>
          </w:p>
          <w:p>
            <w:pPr>
              <w:numPr>
                <w:ilvl w:val="0"/>
                <w:numId w:val="15"/>
              </w:numPr>
              <w:rPr>
                <w:rFonts w:ascii="宋体" w:hAnsi="宋体"/>
                <w:color w:val="000000"/>
                <w:sz w:val="24"/>
                <w:szCs w:val="24"/>
              </w:rPr>
            </w:pPr>
            <w:r>
              <w:rPr>
                <w:rFonts w:hint="eastAsia" w:ascii="宋体" w:hAnsi="宋体"/>
                <w:color w:val="000000"/>
                <w:sz w:val="24"/>
                <w:szCs w:val="24"/>
              </w:rPr>
              <w:t>在线动态压力监测，可实时显示当前压力数值；</w:t>
            </w:r>
          </w:p>
          <w:p>
            <w:pPr>
              <w:numPr>
                <w:ilvl w:val="0"/>
                <w:numId w:val="15"/>
              </w:numPr>
              <w:rPr>
                <w:rFonts w:ascii="宋体" w:hAnsi="宋体"/>
                <w:color w:val="000000"/>
                <w:sz w:val="24"/>
                <w:szCs w:val="24"/>
              </w:rPr>
            </w:pPr>
            <w:r>
              <w:rPr>
                <w:rFonts w:hint="eastAsia" w:ascii="宋体" w:hAnsi="宋体"/>
                <w:color w:val="000000"/>
                <w:sz w:val="24"/>
                <w:szCs w:val="24"/>
              </w:rPr>
              <w:t>压力报警阈值可调，最低75mmHg</w:t>
            </w:r>
          </w:p>
          <w:p>
            <w:pPr>
              <w:numPr>
                <w:ilvl w:val="0"/>
                <w:numId w:val="15"/>
              </w:numPr>
              <w:rPr>
                <w:rFonts w:ascii="宋体" w:hAnsi="宋体"/>
                <w:color w:val="000000"/>
                <w:sz w:val="24"/>
                <w:szCs w:val="24"/>
              </w:rPr>
            </w:pPr>
            <w:r>
              <w:rPr>
                <w:rFonts w:hint="eastAsia" w:ascii="宋体" w:hAnsi="宋体"/>
                <w:color w:val="000000"/>
                <w:sz w:val="24"/>
                <w:szCs w:val="24"/>
              </w:rPr>
              <w:t>信息储存：可存储至少1000条的历史记录</w:t>
            </w:r>
          </w:p>
          <w:p>
            <w:pPr>
              <w:numPr>
                <w:ilvl w:val="0"/>
                <w:numId w:val="15"/>
              </w:numPr>
              <w:rPr>
                <w:rFonts w:ascii="宋体" w:hAnsi="宋体"/>
                <w:color w:val="000000"/>
                <w:sz w:val="24"/>
                <w:szCs w:val="24"/>
              </w:rPr>
            </w:pPr>
            <w:r>
              <w:rPr>
                <w:rFonts w:hint="eastAsia" w:ascii="宋体" w:hAnsi="宋体"/>
                <w:color w:val="000000"/>
                <w:sz w:val="24"/>
                <w:szCs w:val="24"/>
              </w:rPr>
              <w:t>双通道注射时，电池工作时间≥3小时@5ml/h，可升级至≥6小时@5ml/h</w:t>
            </w:r>
          </w:p>
          <w:p>
            <w:pPr>
              <w:numPr>
                <w:ilvl w:val="0"/>
                <w:numId w:val="15"/>
              </w:numPr>
              <w:rPr>
                <w:rFonts w:ascii="宋体" w:hAnsi="宋体"/>
                <w:color w:val="000000"/>
                <w:sz w:val="24"/>
                <w:szCs w:val="24"/>
              </w:rPr>
            </w:pPr>
            <w:r>
              <w:rPr>
                <w:rFonts w:hint="eastAsia" w:ascii="宋体" w:hAnsi="宋体"/>
                <w:color w:val="000000"/>
                <w:sz w:val="24"/>
                <w:szCs w:val="24"/>
              </w:rPr>
              <w:t>接口支持RS232数据传输、护士呼叫、DC输入功能</w:t>
            </w:r>
          </w:p>
          <w:p>
            <w:pPr>
              <w:numPr>
                <w:ilvl w:val="0"/>
                <w:numId w:val="15"/>
              </w:numPr>
              <w:rPr>
                <w:rFonts w:ascii="宋体" w:hAnsi="宋体"/>
                <w:color w:val="000000"/>
                <w:sz w:val="24"/>
                <w:szCs w:val="24"/>
              </w:rPr>
            </w:pPr>
            <w:r>
              <w:rPr>
                <w:rFonts w:hint="eastAsia" w:ascii="宋体" w:hAnsi="宋体"/>
                <w:color w:val="000000"/>
                <w:sz w:val="24"/>
                <w:szCs w:val="24"/>
              </w:rPr>
              <w:t>防异物及进液等级IP34</w:t>
            </w:r>
          </w:p>
          <w:p>
            <w:pPr>
              <w:numPr>
                <w:ilvl w:val="0"/>
                <w:numId w:val="15"/>
              </w:numPr>
              <w:rPr>
                <w:rFonts w:ascii="宋体" w:hAnsi="宋体"/>
                <w:color w:val="000000"/>
                <w:sz w:val="24"/>
                <w:szCs w:val="24"/>
              </w:rPr>
            </w:pPr>
            <w:r>
              <w:rPr>
                <w:rFonts w:hint="eastAsia" w:ascii="宋体" w:hAnsi="宋体"/>
                <w:color w:val="000000"/>
                <w:sz w:val="24"/>
                <w:szCs w:val="24"/>
              </w:rPr>
              <w:t>可升级无线模块，实现无线联网监测；</w:t>
            </w:r>
          </w:p>
          <w:p>
            <w:pPr>
              <w:numPr>
                <w:ilvl w:val="0"/>
                <w:numId w:val="15"/>
              </w:numPr>
              <w:rPr>
                <w:rFonts w:ascii="宋体" w:hAnsi="宋体"/>
                <w:color w:val="000000"/>
                <w:sz w:val="24"/>
                <w:szCs w:val="24"/>
              </w:rPr>
            </w:pPr>
            <w:r>
              <w:rPr>
                <w:rFonts w:hint="eastAsia" w:ascii="宋体" w:hAnsi="宋体"/>
                <w:color w:val="000000"/>
                <w:sz w:val="24"/>
                <w:szCs w:val="24"/>
              </w:rPr>
              <w:t>整机重量不超过3.6kg</w:t>
            </w:r>
          </w:p>
          <w:p>
            <w:pPr>
              <w:numPr>
                <w:ilvl w:val="0"/>
                <w:numId w:val="15"/>
              </w:numPr>
              <w:rPr>
                <w:rFonts w:ascii="宋体" w:hAnsi="宋体"/>
                <w:color w:val="000000"/>
                <w:sz w:val="24"/>
                <w:szCs w:val="24"/>
              </w:rPr>
            </w:pPr>
            <w:r>
              <w:rPr>
                <w:rFonts w:hint="eastAsia" w:ascii="宋体" w:hAnsi="宋体"/>
                <w:color w:val="000000"/>
                <w:sz w:val="24"/>
                <w:szCs w:val="24"/>
              </w:rPr>
              <w:t>满足EN1789标准，适合在救护车使用，需提供第三方证明。</w:t>
            </w:r>
          </w:p>
          <w:p>
            <w:pPr>
              <w:widowControl/>
              <w:jc w:val="left"/>
              <w:rPr>
                <w:rFonts w:ascii="宋体" w:hAnsi="宋体" w:cs="宋体"/>
                <w:color w:val="000000"/>
                <w:kern w:val="0"/>
                <w:sz w:val="24"/>
                <w:szCs w:val="24"/>
              </w:rPr>
            </w:pPr>
          </w:p>
        </w:tc>
        <w:tc>
          <w:tcPr>
            <w:tcW w:w="94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left"/>
              <w:rPr>
                <w:rFonts w:ascii="宋体" w:hAnsi="宋体" w:cs="宋体"/>
                <w:color w:val="000000"/>
                <w:kern w:val="0"/>
                <w:sz w:val="24"/>
                <w:szCs w:val="24"/>
              </w:rPr>
            </w:pPr>
            <w:r>
              <w:rPr>
                <w:rFonts w:ascii="宋体" w:hAnsi="宋体" w:cs="宋体"/>
                <w:color w:val="000000"/>
                <w:kern w:val="0"/>
                <w:sz w:val="24"/>
                <w:szCs w:val="24"/>
              </w:rPr>
              <w:t>3</w:t>
            </w:r>
          </w:p>
        </w:tc>
        <w:tc>
          <w:tcPr>
            <w:tcW w:w="1843"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right"/>
              <w:rPr>
                <w:rFonts w:ascii="宋体" w:hAnsi="宋体" w:cs="宋体"/>
                <w:color w:val="000000"/>
                <w:kern w:val="0"/>
                <w:sz w:val="24"/>
                <w:szCs w:val="24"/>
              </w:rPr>
            </w:pPr>
            <w:r>
              <w:rPr>
                <w:rFonts w:ascii="宋体" w:hAnsi="宋体"/>
                <w:color w:val="000000"/>
                <w:sz w:val="20"/>
                <w:szCs w:val="18"/>
              </w:rPr>
              <w:drawing>
                <wp:inline distT="0" distB="0" distL="114300" distR="114300">
                  <wp:extent cx="846455" cy="569595"/>
                  <wp:effectExtent l="0" t="0" r="0" b="1905"/>
                  <wp:docPr id="4" name="图片 2" descr="SP3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SP3Dex"/>
                          <pic:cNvPicPr>
                            <a:picLocks noChangeAspect="1"/>
                          </pic:cNvPicPr>
                        </pic:nvPicPr>
                        <pic:blipFill>
                          <a:blip r:embed="rId5"/>
                          <a:stretch>
                            <a:fillRect/>
                          </a:stretch>
                        </pic:blipFill>
                        <pic:spPr>
                          <a:xfrm>
                            <a:off x="0" y="0"/>
                            <a:ext cx="873382" cy="587926"/>
                          </a:xfrm>
                          <a:prstGeom prst="rect">
                            <a:avLst/>
                          </a:prstGeom>
                          <a:noFill/>
                          <a:ln>
                            <a:noFill/>
                          </a:ln>
                        </pic:spPr>
                      </pic:pic>
                    </a:graphicData>
                  </a:graphic>
                </wp:inline>
              </w:drawing>
            </w:r>
          </w:p>
        </w:tc>
        <w:tc>
          <w:tcPr>
            <w:tcW w:w="63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left"/>
              <w:rPr>
                <w:rFonts w:ascii="宋体" w:hAnsi="宋体" w:cs="宋体"/>
                <w:color w:val="000000"/>
                <w:kern w:val="0"/>
                <w:sz w:val="24"/>
                <w:szCs w:val="24"/>
              </w:rPr>
            </w:pPr>
          </w:p>
        </w:tc>
      </w:tr>
      <w:tr>
        <w:tblPrEx>
          <w:tblCellMar>
            <w:top w:w="0" w:type="dxa"/>
            <w:left w:w="0" w:type="dxa"/>
            <w:bottom w:w="0" w:type="dxa"/>
            <w:right w:w="0" w:type="dxa"/>
          </w:tblCellMar>
        </w:tblPrEx>
        <w:tc>
          <w:tcPr>
            <w:tcW w:w="493"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jc w:val="center"/>
              <w:rPr>
                <w:rFonts w:ascii="宋体" w:hAnsi="宋体"/>
                <w:color w:val="000000"/>
                <w:sz w:val="22"/>
              </w:rPr>
            </w:pPr>
            <w:r>
              <w:rPr>
                <w:rFonts w:hint="eastAsia" w:ascii="宋体" w:hAnsi="宋体"/>
                <w:color w:val="000000"/>
                <w:sz w:val="22"/>
              </w:rPr>
              <w:t>输液泵</w:t>
            </w:r>
          </w:p>
        </w:tc>
        <w:tc>
          <w:tcPr>
            <w:tcW w:w="531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numPr>
                <w:ilvl w:val="0"/>
                <w:numId w:val="16"/>
              </w:numPr>
              <w:rPr>
                <w:rFonts w:ascii="宋体" w:hAnsi="宋体"/>
                <w:color w:val="000000"/>
                <w:sz w:val="24"/>
                <w:szCs w:val="24"/>
              </w:rPr>
            </w:pPr>
            <w:r>
              <w:rPr>
                <w:rFonts w:hint="eastAsia" w:ascii="宋体" w:hAnsi="宋体"/>
                <w:color w:val="000000"/>
                <w:sz w:val="24"/>
                <w:szCs w:val="24"/>
              </w:rPr>
              <w:t>模块式设计，无需附件可实现多泵叠加使用</w:t>
            </w:r>
          </w:p>
          <w:p>
            <w:pPr>
              <w:numPr>
                <w:ilvl w:val="0"/>
                <w:numId w:val="16"/>
              </w:numPr>
              <w:rPr>
                <w:rFonts w:ascii="宋体" w:hAnsi="宋体"/>
                <w:color w:val="000000"/>
                <w:sz w:val="24"/>
                <w:szCs w:val="24"/>
              </w:rPr>
            </w:pPr>
            <w:r>
              <w:rPr>
                <w:rFonts w:hint="eastAsia" w:ascii="宋体" w:hAnsi="宋体"/>
                <w:color w:val="000000"/>
                <w:sz w:val="24"/>
                <w:szCs w:val="24"/>
              </w:rPr>
              <w:t>支持输血功能，并提供证明文件</w:t>
            </w:r>
          </w:p>
          <w:p>
            <w:pPr>
              <w:numPr>
                <w:ilvl w:val="0"/>
                <w:numId w:val="16"/>
              </w:numPr>
              <w:rPr>
                <w:rFonts w:ascii="宋体" w:hAnsi="宋体"/>
                <w:color w:val="000000"/>
                <w:sz w:val="24"/>
                <w:szCs w:val="24"/>
              </w:rPr>
            </w:pPr>
            <w:r>
              <w:rPr>
                <w:rFonts w:hint="eastAsia" w:ascii="宋体" w:hAnsi="宋体"/>
                <w:color w:val="000000"/>
                <w:sz w:val="24"/>
                <w:szCs w:val="24"/>
              </w:rPr>
              <w:t>输液精度≤±5%</w:t>
            </w:r>
          </w:p>
          <w:p>
            <w:pPr>
              <w:numPr>
                <w:ilvl w:val="0"/>
                <w:numId w:val="16"/>
              </w:numPr>
              <w:rPr>
                <w:rFonts w:ascii="宋体" w:hAnsi="宋体"/>
                <w:color w:val="000000"/>
                <w:sz w:val="24"/>
                <w:szCs w:val="24"/>
              </w:rPr>
            </w:pPr>
            <w:r>
              <w:rPr>
                <w:rFonts w:hint="eastAsia" w:ascii="宋体" w:hAnsi="宋体"/>
                <w:color w:val="000000"/>
                <w:sz w:val="24"/>
                <w:szCs w:val="24"/>
              </w:rPr>
              <w:t>速率范围：0.1-1500ml/h, 最小步进0.01ml/h</w:t>
            </w:r>
          </w:p>
          <w:p>
            <w:pPr>
              <w:numPr>
                <w:ilvl w:val="0"/>
                <w:numId w:val="16"/>
              </w:numPr>
              <w:rPr>
                <w:rFonts w:ascii="宋体" w:hAnsi="宋体"/>
                <w:color w:val="000000"/>
                <w:sz w:val="24"/>
                <w:szCs w:val="24"/>
              </w:rPr>
            </w:pPr>
            <w:r>
              <w:rPr>
                <w:rFonts w:hint="eastAsia" w:ascii="宋体" w:hAnsi="宋体"/>
                <w:color w:val="000000"/>
                <w:sz w:val="24"/>
                <w:szCs w:val="24"/>
              </w:rPr>
              <w:t>预置输液总量范围：0.1-9999.99ml</w:t>
            </w:r>
          </w:p>
          <w:p>
            <w:pPr>
              <w:numPr>
                <w:ilvl w:val="0"/>
                <w:numId w:val="16"/>
              </w:numPr>
              <w:rPr>
                <w:rFonts w:ascii="宋体" w:hAnsi="宋体"/>
                <w:color w:val="000000"/>
                <w:sz w:val="24"/>
                <w:szCs w:val="24"/>
              </w:rPr>
            </w:pPr>
            <w:r>
              <w:rPr>
                <w:rFonts w:hint="eastAsia" w:ascii="宋体" w:hAnsi="宋体"/>
                <w:color w:val="000000"/>
                <w:sz w:val="24"/>
                <w:szCs w:val="24"/>
              </w:rPr>
              <w:t>快进流速范围：0.1-1500ml/h，具有自动和手动快进可选；</w:t>
            </w:r>
          </w:p>
          <w:p>
            <w:pPr>
              <w:numPr>
                <w:ilvl w:val="0"/>
                <w:numId w:val="16"/>
              </w:numPr>
              <w:rPr>
                <w:rFonts w:ascii="宋体" w:hAnsi="宋体"/>
                <w:color w:val="000000"/>
                <w:sz w:val="24"/>
                <w:szCs w:val="24"/>
              </w:rPr>
            </w:pPr>
            <w:r>
              <w:rPr>
                <w:rFonts w:hint="eastAsia" w:ascii="宋体" w:hAnsi="宋体"/>
                <w:color w:val="000000"/>
                <w:sz w:val="24"/>
                <w:szCs w:val="24"/>
              </w:rPr>
              <w:t>KVO：0.1-5ml/h</w:t>
            </w:r>
          </w:p>
          <w:p>
            <w:pPr>
              <w:numPr>
                <w:ilvl w:val="0"/>
                <w:numId w:val="16"/>
              </w:numPr>
              <w:rPr>
                <w:rFonts w:ascii="宋体" w:hAnsi="宋体"/>
                <w:color w:val="000000"/>
                <w:sz w:val="24"/>
                <w:szCs w:val="24"/>
              </w:rPr>
            </w:pPr>
            <w:r>
              <w:rPr>
                <w:rFonts w:hint="eastAsia" w:ascii="宋体" w:hAnsi="宋体"/>
                <w:color w:val="000000"/>
                <w:sz w:val="24"/>
                <w:szCs w:val="24"/>
              </w:rPr>
              <w:t>可自动统计四种累计量：24h累计量、最近累计量、自定义时间段累计量、定时间隔累计量</w:t>
            </w:r>
          </w:p>
          <w:p>
            <w:pPr>
              <w:numPr>
                <w:ilvl w:val="0"/>
                <w:numId w:val="16"/>
              </w:numPr>
              <w:rPr>
                <w:rFonts w:ascii="宋体" w:hAnsi="宋体"/>
                <w:color w:val="000000"/>
                <w:sz w:val="24"/>
                <w:szCs w:val="24"/>
              </w:rPr>
            </w:pPr>
            <w:r>
              <w:rPr>
                <w:rFonts w:hint="eastAsia" w:ascii="宋体" w:hAnsi="宋体"/>
                <w:color w:val="000000"/>
                <w:sz w:val="24"/>
                <w:szCs w:val="24"/>
              </w:rPr>
              <w:t>无需额外工具或设备，可直接在输液泵添加输液器品牌名称</w:t>
            </w:r>
          </w:p>
          <w:p>
            <w:pPr>
              <w:numPr>
                <w:ilvl w:val="0"/>
                <w:numId w:val="16"/>
              </w:numPr>
              <w:rPr>
                <w:rFonts w:ascii="宋体" w:hAnsi="宋体"/>
                <w:color w:val="000000"/>
                <w:sz w:val="24"/>
                <w:szCs w:val="24"/>
              </w:rPr>
            </w:pPr>
            <w:r>
              <w:rPr>
                <w:rFonts w:hint="eastAsia" w:ascii="宋体" w:hAnsi="宋体"/>
                <w:color w:val="000000"/>
                <w:sz w:val="24"/>
                <w:szCs w:val="24"/>
              </w:rPr>
              <w:t>具有6种输液模式可选：速度模式（支持ml/h和滴/min两种单位）、时间模式、体重模式、梯度模式、序列模式和首剂量模式；具备联机功能</w:t>
            </w:r>
          </w:p>
          <w:p>
            <w:pPr>
              <w:numPr>
                <w:ilvl w:val="0"/>
                <w:numId w:val="16"/>
              </w:numPr>
              <w:rPr>
                <w:rFonts w:ascii="宋体" w:hAnsi="宋体"/>
                <w:color w:val="000000"/>
                <w:sz w:val="24"/>
                <w:szCs w:val="24"/>
              </w:rPr>
            </w:pPr>
            <w:r>
              <w:rPr>
                <w:rFonts w:hint="eastAsia" w:ascii="宋体" w:hAnsi="宋体"/>
                <w:color w:val="000000"/>
                <w:sz w:val="24"/>
                <w:szCs w:val="24"/>
              </w:rPr>
              <w:t>不小于3.5英寸彩色大屏幕，同屏显示：输注模式、速度、当前注射状态、预置量、累计量、剩余时间、电池状态、药物名称及浓度、报警压力阈值和在线压力等信息；</w:t>
            </w:r>
          </w:p>
          <w:p>
            <w:pPr>
              <w:numPr>
                <w:ilvl w:val="0"/>
                <w:numId w:val="16"/>
              </w:numPr>
              <w:rPr>
                <w:rFonts w:ascii="宋体" w:hAnsi="宋体"/>
                <w:color w:val="000000"/>
                <w:sz w:val="24"/>
                <w:szCs w:val="24"/>
              </w:rPr>
            </w:pPr>
            <w:r>
              <w:rPr>
                <w:rFonts w:hint="eastAsia" w:ascii="宋体" w:hAnsi="宋体"/>
                <w:color w:val="000000"/>
                <w:sz w:val="24"/>
                <w:szCs w:val="24"/>
              </w:rPr>
              <w:t>全中文软件操作界面</w:t>
            </w:r>
          </w:p>
          <w:p>
            <w:pPr>
              <w:numPr>
                <w:ilvl w:val="0"/>
                <w:numId w:val="16"/>
              </w:numPr>
              <w:rPr>
                <w:rFonts w:ascii="宋体" w:hAnsi="宋体"/>
                <w:color w:val="000000"/>
                <w:sz w:val="24"/>
                <w:szCs w:val="24"/>
              </w:rPr>
            </w:pPr>
            <w:r>
              <w:rPr>
                <w:rFonts w:hint="eastAsia" w:ascii="宋体" w:hAnsi="宋体"/>
                <w:color w:val="000000"/>
                <w:sz w:val="24"/>
                <w:szCs w:val="24"/>
              </w:rPr>
              <w:t>锁屏功能：支持自动锁屏，自动锁屏时间可调</w:t>
            </w:r>
          </w:p>
          <w:p>
            <w:pPr>
              <w:numPr>
                <w:ilvl w:val="0"/>
                <w:numId w:val="16"/>
              </w:numPr>
              <w:rPr>
                <w:rFonts w:ascii="宋体" w:hAnsi="宋体"/>
                <w:color w:val="000000"/>
                <w:sz w:val="24"/>
                <w:szCs w:val="24"/>
              </w:rPr>
            </w:pPr>
            <w:r>
              <w:rPr>
                <w:rFonts w:hint="eastAsia" w:ascii="宋体" w:hAnsi="宋体"/>
                <w:color w:val="000000"/>
                <w:sz w:val="24"/>
                <w:szCs w:val="24"/>
              </w:rPr>
              <w:t>在线滴定功能：安全不中断输液而更改速率；</w:t>
            </w:r>
          </w:p>
          <w:p>
            <w:pPr>
              <w:numPr>
                <w:ilvl w:val="0"/>
                <w:numId w:val="16"/>
              </w:numPr>
              <w:rPr>
                <w:rFonts w:ascii="宋体" w:hAnsi="宋体"/>
                <w:color w:val="000000"/>
                <w:sz w:val="24"/>
                <w:szCs w:val="24"/>
              </w:rPr>
            </w:pPr>
            <w:r>
              <w:rPr>
                <w:rFonts w:hint="eastAsia" w:ascii="宋体" w:hAnsi="宋体"/>
                <w:color w:val="000000"/>
                <w:sz w:val="24"/>
                <w:szCs w:val="24"/>
              </w:rPr>
              <w:t>支持药物库，可储存2000种药物信息。</w:t>
            </w:r>
          </w:p>
          <w:p>
            <w:pPr>
              <w:numPr>
                <w:ilvl w:val="0"/>
                <w:numId w:val="16"/>
              </w:numPr>
              <w:rPr>
                <w:rFonts w:ascii="宋体" w:hAnsi="宋体"/>
                <w:color w:val="000000"/>
                <w:sz w:val="24"/>
                <w:szCs w:val="24"/>
              </w:rPr>
            </w:pPr>
            <w:r>
              <w:rPr>
                <w:rFonts w:hint="eastAsia" w:ascii="宋体" w:hAnsi="宋体"/>
                <w:color w:val="000000"/>
                <w:sz w:val="24"/>
                <w:szCs w:val="24"/>
              </w:rPr>
              <w:t>具备药物剂量纠错功能，可设置不同药物的流速上、下软硬限值，在参数超限时给予提示</w:t>
            </w:r>
          </w:p>
          <w:p>
            <w:pPr>
              <w:numPr>
                <w:ilvl w:val="0"/>
                <w:numId w:val="16"/>
              </w:numPr>
              <w:rPr>
                <w:rFonts w:ascii="宋体" w:hAnsi="宋体"/>
                <w:color w:val="000000"/>
                <w:sz w:val="24"/>
                <w:szCs w:val="24"/>
              </w:rPr>
            </w:pPr>
            <w:r>
              <w:rPr>
                <w:rFonts w:hint="eastAsia" w:ascii="宋体" w:hAnsi="宋体"/>
                <w:color w:val="000000"/>
                <w:sz w:val="24"/>
                <w:szCs w:val="24"/>
              </w:rPr>
              <w:t>支持药物色彩标识，不同类型药物可用不同颜色标识，支持10种以上颜色</w:t>
            </w:r>
          </w:p>
          <w:p>
            <w:pPr>
              <w:numPr>
                <w:ilvl w:val="0"/>
                <w:numId w:val="16"/>
              </w:numPr>
              <w:rPr>
                <w:rFonts w:ascii="宋体" w:hAnsi="宋体"/>
                <w:color w:val="000000"/>
                <w:sz w:val="24"/>
                <w:szCs w:val="24"/>
              </w:rPr>
            </w:pPr>
            <w:r>
              <w:rPr>
                <w:rFonts w:hint="eastAsia" w:ascii="宋体" w:hAnsi="宋体"/>
                <w:color w:val="000000"/>
                <w:sz w:val="24"/>
                <w:szCs w:val="24"/>
              </w:rPr>
              <w:t>分低级、中级、高级三级报警。可实现声光，动画和文字同时报警提示，同时显示具体报警信息；</w:t>
            </w:r>
          </w:p>
          <w:p>
            <w:pPr>
              <w:numPr>
                <w:ilvl w:val="0"/>
                <w:numId w:val="16"/>
              </w:numPr>
              <w:rPr>
                <w:rFonts w:ascii="宋体" w:hAnsi="宋体"/>
                <w:color w:val="000000"/>
                <w:sz w:val="24"/>
                <w:szCs w:val="24"/>
              </w:rPr>
            </w:pPr>
            <w:r>
              <w:rPr>
                <w:rFonts w:hint="eastAsia" w:ascii="宋体" w:hAnsi="宋体"/>
                <w:color w:val="000000"/>
                <w:sz w:val="24"/>
                <w:szCs w:val="24"/>
              </w:rPr>
              <w:t>立体凸起式报警灯设计，水平面报警观察范围可达270度</w:t>
            </w:r>
          </w:p>
          <w:p>
            <w:pPr>
              <w:numPr>
                <w:ilvl w:val="0"/>
                <w:numId w:val="16"/>
              </w:numPr>
              <w:rPr>
                <w:rFonts w:ascii="宋体" w:hAnsi="宋体"/>
                <w:color w:val="000000"/>
                <w:sz w:val="24"/>
                <w:szCs w:val="24"/>
              </w:rPr>
            </w:pPr>
            <w:r>
              <w:rPr>
                <w:rFonts w:hint="eastAsia" w:ascii="宋体" w:hAnsi="宋体"/>
                <w:color w:val="000000"/>
                <w:sz w:val="24"/>
                <w:szCs w:val="24"/>
              </w:rPr>
              <w:t>在线动态压力监测，可实时显示当前压力数值；</w:t>
            </w:r>
          </w:p>
          <w:p>
            <w:pPr>
              <w:numPr>
                <w:ilvl w:val="0"/>
                <w:numId w:val="16"/>
              </w:numPr>
              <w:rPr>
                <w:rFonts w:ascii="宋体" w:hAnsi="宋体"/>
                <w:color w:val="000000"/>
                <w:sz w:val="24"/>
                <w:szCs w:val="24"/>
              </w:rPr>
            </w:pPr>
            <w:r>
              <w:rPr>
                <w:rFonts w:hint="eastAsia" w:ascii="宋体" w:hAnsi="宋体"/>
                <w:color w:val="000000"/>
                <w:sz w:val="24"/>
                <w:szCs w:val="24"/>
              </w:rPr>
              <w:t>压力报警阈值至少12档可调，最低75mmHg</w:t>
            </w:r>
          </w:p>
          <w:p>
            <w:pPr>
              <w:numPr>
                <w:ilvl w:val="0"/>
                <w:numId w:val="16"/>
              </w:numPr>
              <w:rPr>
                <w:rFonts w:ascii="宋体" w:hAnsi="宋体"/>
                <w:color w:val="000000"/>
                <w:sz w:val="24"/>
                <w:szCs w:val="24"/>
              </w:rPr>
            </w:pPr>
            <w:r>
              <w:rPr>
                <w:rFonts w:hint="eastAsia" w:ascii="宋体" w:hAnsi="宋体"/>
                <w:color w:val="000000"/>
                <w:sz w:val="24"/>
                <w:szCs w:val="24"/>
              </w:rPr>
              <w:t>具备双压力传感器，可检测管路上下端的压力变化</w:t>
            </w:r>
          </w:p>
          <w:p>
            <w:pPr>
              <w:numPr>
                <w:ilvl w:val="0"/>
                <w:numId w:val="16"/>
              </w:numPr>
              <w:rPr>
                <w:rFonts w:ascii="宋体" w:hAnsi="宋体"/>
                <w:color w:val="000000"/>
                <w:sz w:val="24"/>
                <w:szCs w:val="24"/>
              </w:rPr>
            </w:pPr>
            <w:r>
              <w:rPr>
                <w:rFonts w:hint="eastAsia" w:ascii="宋体" w:hAnsi="宋体"/>
                <w:color w:val="000000"/>
                <w:sz w:val="24"/>
                <w:szCs w:val="24"/>
              </w:rPr>
              <w:t>具备单个气泡和累积气泡报警功能，支持最小20μL的单个气泡报警</w:t>
            </w:r>
          </w:p>
          <w:p>
            <w:pPr>
              <w:numPr>
                <w:ilvl w:val="0"/>
                <w:numId w:val="16"/>
              </w:numPr>
              <w:rPr>
                <w:rFonts w:ascii="宋体" w:hAnsi="宋体"/>
                <w:color w:val="000000"/>
                <w:sz w:val="24"/>
                <w:szCs w:val="24"/>
              </w:rPr>
            </w:pPr>
            <w:r>
              <w:rPr>
                <w:rFonts w:hint="eastAsia" w:ascii="宋体" w:hAnsi="宋体"/>
                <w:color w:val="000000"/>
                <w:sz w:val="24"/>
                <w:szCs w:val="24"/>
              </w:rPr>
              <w:t>信息储存：可存储2000条的历史记录</w:t>
            </w:r>
          </w:p>
          <w:p>
            <w:pPr>
              <w:numPr>
                <w:ilvl w:val="0"/>
                <w:numId w:val="16"/>
              </w:numPr>
              <w:rPr>
                <w:rFonts w:ascii="宋体" w:hAnsi="宋体"/>
                <w:color w:val="000000"/>
                <w:sz w:val="24"/>
                <w:szCs w:val="24"/>
              </w:rPr>
            </w:pPr>
            <w:r>
              <w:rPr>
                <w:rFonts w:hint="eastAsia" w:ascii="宋体" w:hAnsi="宋体"/>
                <w:color w:val="000000"/>
                <w:sz w:val="24"/>
                <w:szCs w:val="24"/>
              </w:rPr>
              <w:t>电池工作时间≥9小时@25ml/h；</w:t>
            </w:r>
          </w:p>
          <w:p>
            <w:pPr>
              <w:numPr>
                <w:ilvl w:val="0"/>
                <w:numId w:val="16"/>
              </w:numPr>
              <w:rPr>
                <w:rFonts w:ascii="宋体" w:hAnsi="宋体"/>
                <w:color w:val="000000"/>
                <w:sz w:val="24"/>
                <w:szCs w:val="24"/>
              </w:rPr>
            </w:pPr>
            <w:r>
              <w:rPr>
                <w:rFonts w:hint="eastAsia" w:ascii="宋体" w:hAnsi="宋体"/>
                <w:color w:val="000000"/>
                <w:sz w:val="24"/>
                <w:szCs w:val="24"/>
              </w:rPr>
              <w:t>支持不拆机手动更换电池；</w:t>
            </w:r>
          </w:p>
          <w:p>
            <w:pPr>
              <w:numPr>
                <w:ilvl w:val="0"/>
                <w:numId w:val="16"/>
              </w:numPr>
              <w:rPr>
                <w:rFonts w:ascii="宋体" w:hAnsi="宋体"/>
                <w:color w:val="000000"/>
                <w:sz w:val="24"/>
                <w:szCs w:val="24"/>
              </w:rPr>
            </w:pPr>
            <w:r>
              <w:rPr>
                <w:rFonts w:hint="eastAsia" w:ascii="宋体" w:hAnsi="宋体"/>
                <w:color w:val="000000"/>
                <w:sz w:val="24"/>
                <w:szCs w:val="24"/>
              </w:rPr>
              <w:t>接口支持RS232数据传输、护士呼叫、DC输入功能</w:t>
            </w:r>
          </w:p>
          <w:p>
            <w:pPr>
              <w:numPr>
                <w:ilvl w:val="0"/>
                <w:numId w:val="16"/>
              </w:numPr>
              <w:rPr>
                <w:rFonts w:ascii="宋体" w:hAnsi="宋体"/>
                <w:color w:val="000000"/>
                <w:sz w:val="24"/>
                <w:szCs w:val="24"/>
              </w:rPr>
            </w:pPr>
            <w:r>
              <w:rPr>
                <w:rFonts w:hint="eastAsia" w:ascii="宋体" w:hAnsi="宋体"/>
                <w:color w:val="000000"/>
                <w:sz w:val="24"/>
                <w:szCs w:val="24"/>
              </w:rPr>
              <w:t>防异物及进液等级IP23</w:t>
            </w:r>
          </w:p>
          <w:p>
            <w:pPr>
              <w:numPr>
                <w:ilvl w:val="0"/>
                <w:numId w:val="16"/>
              </w:numPr>
              <w:rPr>
                <w:rFonts w:ascii="宋体" w:hAnsi="宋体"/>
                <w:color w:val="000000"/>
                <w:sz w:val="24"/>
                <w:szCs w:val="24"/>
              </w:rPr>
            </w:pPr>
            <w:r>
              <w:rPr>
                <w:rFonts w:hint="eastAsia" w:ascii="宋体" w:hAnsi="宋体"/>
                <w:color w:val="000000"/>
                <w:sz w:val="24"/>
                <w:szCs w:val="24"/>
              </w:rPr>
              <w:t>可升级无线模块，实现无线联网监测；</w:t>
            </w:r>
          </w:p>
          <w:p>
            <w:pPr>
              <w:numPr>
                <w:ilvl w:val="0"/>
                <w:numId w:val="16"/>
              </w:numPr>
              <w:rPr>
                <w:rFonts w:ascii="宋体" w:hAnsi="宋体"/>
                <w:color w:val="000000"/>
                <w:sz w:val="24"/>
                <w:szCs w:val="24"/>
              </w:rPr>
            </w:pPr>
            <w:r>
              <w:rPr>
                <w:rFonts w:hint="eastAsia" w:ascii="宋体" w:hAnsi="宋体"/>
                <w:color w:val="000000"/>
                <w:sz w:val="24"/>
                <w:szCs w:val="24"/>
              </w:rPr>
              <w:t>泵片用防水膜保护，防止药液进入机器内部，便于清洁和消毒。</w:t>
            </w:r>
          </w:p>
          <w:p>
            <w:pPr>
              <w:widowControl/>
              <w:jc w:val="left"/>
              <w:rPr>
                <w:rFonts w:ascii="宋体" w:hAnsi="宋体" w:cs="宋体"/>
                <w:color w:val="000000"/>
                <w:kern w:val="0"/>
                <w:sz w:val="24"/>
                <w:szCs w:val="24"/>
              </w:rPr>
            </w:pPr>
          </w:p>
        </w:tc>
        <w:tc>
          <w:tcPr>
            <w:tcW w:w="94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left"/>
              <w:rPr>
                <w:rFonts w:ascii="宋体" w:hAnsi="宋体" w:cs="宋体"/>
                <w:color w:val="000000"/>
                <w:kern w:val="0"/>
                <w:sz w:val="24"/>
                <w:szCs w:val="24"/>
              </w:rPr>
            </w:pPr>
            <w:r>
              <w:rPr>
                <w:rFonts w:ascii="宋体" w:hAnsi="宋体" w:cs="宋体"/>
                <w:color w:val="000000"/>
                <w:kern w:val="0"/>
                <w:sz w:val="24"/>
                <w:szCs w:val="24"/>
              </w:rPr>
              <w:t>3</w:t>
            </w:r>
          </w:p>
        </w:tc>
        <w:tc>
          <w:tcPr>
            <w:tcW w:w="1843"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right"/>
              <w:rPr>
                <w:rFonts w:ascii="宋体" w:hAnsi="宋体" w:cs="宋体"/>
                <w:color w:val="000000"/>
                <w:kern w:val="0"/>
                <w:sz w:val="24"/>
                <w:szCs w:val="24"/>
              </w:rPr>
            </w:pPr>
            <w:r>
              <w:rPr>
                <w:rFonts w:hint="eastAsia" w:ascii="宋体" w:hAnsi="宋体"/>
                <w:color w:val="FF0000"/>
                <w:sz w:val="20"/>
                <w:szCs w:val="18"/>
              </w:rPr>
              <w:drawing>
                <wp:inline distT="0" distB="0" distL="114300" distR="114300">
                  <wp:extent cx="953135" cy="953135"/>
                  <wp:effectExtent l="0" t="0" r="0" b="0"/>
                  <wp:docPr id="5" name="图片 3" descr="VP5 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VP5 Ex"/>
                          <pic:cNvPicPr>
                            <a:picLocks noChangeAspect="1"/>
                          </pic:cNvPicPr>
                        </pic:nvPicPr>
                        <pic:blipFill>
                          <a:blip r:embed="rId6"/>
                          <a:stretch>
                            <a:fillRect/>
                          </a:stretch>
                        </pic:blipFill>
                        <pic:spPr>
                          <a:xfrm>
                            <a:off x="0" y="0"/>
                            <a:ext cx="974458" cy="974458"/>
                          </a:xfrm>
                          <a:prstGeom prst="rect">
                            <a:avLst/>
                          </a:prstGeom>
                          <a:noFill/>
                          <a:ln>
                            <a:noFill/>
                          </a:ln>
                        </pic:spPr>
                      </pic:pic>
                    </a:graphicData>
                  </a:graphic>
                </wp:inline>
              </w:drawing>
            </w:r>
          </w:p>
        </w:tc>
        <w:tc>
          <w:tcPr>
            <w:tcW w:w="63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left"/>
              <w:rPr>
                <w:rFonts w:ascii="宋体" w:hAnsi="宋体" w:cs="宋体"/>
                <w:color w:val="000000"/>
                <w:kern w:val="0"/>
                <w:sz w:val="24"/>
                <w:szCs w:val="24"/>
              </w:rPr>
            </w:pPr>
          </w:p>
        </w:tc>
      </w:tr>
      <w:tr>
        <w:tblPrEx>
          <w:tblCellMar>
            <w:top w:w="0" w:type="dxa"/>
            <w:left w:w="0" w:type="dxa"/>
            <w:bottom w:w="0" w:type="dxa"/>
            <w:right w:w="0" w:type="dxa"/>
          </w:tblCellMar>
        </w:tblPrEx>
        <w:tc>
          <w:tcPr>
            <w:tcW w:w="493"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jc w:val="center"/>
              <w:rPr>
                <w:rFonts w:ascii="宋体" w:hAnsi="宋体"/>
                <w:color w:val="000000"/>
                <w:sz w:val="22"/>
              </w:rPr>
            </w:pPr>
            <w:r>
              <w:rPr>
                <w:rFonts w:hint="eastAsia" w:ascii="宋体" w:hAnsi="宋体"/>
                <w:color w:val="000000"/>
                <w:sz w:val="22"/>
              </w:rPr>
              <w:t>多功能监护仪</w:t>
            </w:r>
          </w:p>
        </w:tc>
        <w:tc>
          <w:tcPr>
            <w:tcW w:w="531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numPr>
                <w:ilvl w:val="0"/>
                <w:numId w:val="17"/>
              </w:numPr>
              <w:autoSpaceDE w:val="0"/>
              <w:autoSpaceDN w:val="0"/>
              <w:adjustRightInd w:val="0"/>
              <w:spacing w:line="360" w:lineRule="auto"/>
              <w:jc w:val="left"/>
              <w:rPr>
                <w:rFonts w:ascii="宋体" w:hAnsi="宋体" w:cs="宋体"/>
                <w:kern w:val="0"/>
                <w:sz w:val="24"/>
              </w:rPr>
            </w:pPr>
            <w:r>
              <w:rPr>
                <w:rFonts w:hint="eastAsia" w:ascii="宋体" w:hAnsi="宋体" w:cs="宋体"/>
                <w:sz w:val="24"/>
              </w:rPr>
              <w:t>一体式监护仪,可用于监护成人,儿童,新生儿患者</w:t>
            </w:r>
          </w:p>
          <w:p>
            <w:pPr>
              <w:numPr>
                <w:ilvl w:val="0"/>
                <w:numId w:val="17"/>
              </w:numPr>
              <w:autoSpaceDE w:val="0"/>
              <w:autoSpaceDN w:val="0"/>
              <w:adjustRightInd w:val="0"/>
              <w:spacing w:line="360" w:lineRule="auto"/>
              <w:jc w:val="left"/>
              <w:rPr>
                <w:rFonts w:ascii="宋体" w:hAnsi="宋体" w:cs="宋体"/>
                <w:kern w:val="0"/>
                <w:sz w:val="24"/>
              </w:rPr>
            </w:pPr>
            <w:r>
              <w:rPr>
                <w:rFonts w:hint="eastAsia" w:ascii="宋体" w:hAnsi="宋体" w:cs="宋体"/>
                <w:sz w:val="24"/>
              </w:rPr>
              <w:t>※10.4寸彩色LCD显示屏，</w:t>
            </w:r>
            <w:r>
              <w:rPr>
                <w:rFonts w:hint="eastAsia" w:ascii="宋体" w:hAnsi="宋体" w:cs="宋体"/>
                <w:color w:val="000000"/>
                <w:sz w:val="24"/>
              </w:rPr>
              <w:t>LED背光</w:t>
            </w:r>
            <w:r>
              <w:rPr>
                <w:rFonts w:hint="eastAsia" w:ascii="宋体" w:hAnsi="宋体" w:cs="宋体"/>
                <w:sz w:val="24"/>
              </w:rPr>
              <w:t>，彩色高分辨率达800*600，8通道波形显示</w:t>
            </w:r>
          </w:p>
          <w:p>
            <w:pPr>
              <w:numPr>
                <w:ilvl w:val="0"/>
                <w:numId w:val="17"/>
              </w:numPr>
              <w:autoSpaceDE w:val="0"/>
              <w:autoSpaceDN w:val="0"/>
              <w:adjustRightInd w:val="0"/>
              <w:spacing w:line="360" w:lineRule="auto"/>
              <w:jc w:val="left"/>
              <w:rPr>
                <w:rFonts w:ascii="宋体" w:hAnsi="宋体" w:cs="宋体"/>
                <w:kern w:val="0"/>
                <w:sz w:val="24"/>
              </w:rPr>
            </w:pPr>
            <w:r>
              <w:rPr>
                <w:rFonts w:hint="eastAsia" w:ascii="宋体" w:hAnsi="宋体" w:cs="宋体"/>
                <w:sz w:val="24"/>
              </w:rPr>
              <w:t>主机带电池重量&lt;3.5kg（标配，不含记录仪）</w:t>
            </w:r>
          </w:p>
          <w:p>
            <w:pPr>
              <w:numPr>
                <w:ilvl w:val="0"/>
                <w:numId w:val="17"/>
              </w:numPr>
              <w:autoSpaceDE w:val="0"/>
              <w:autoSpaceDN w:val="0"/>
              <w:adjustRightInd w:val="0"/>
              <w:spacing w:line="360" w:lineRule="auto"/>
              <w:jc w:val="left"/>
              <w:rPr>
                <w:rFonts w:ascii="宋体" w:hAnsi="宋体" w:cs="宋体"/>
                <w:color w:val="000000"/>
                <w:kern w:val="0"/>
                <w:sz w:val="24"/>
              </w:rPr>
            </w:pPr>
            <w:r>
              <w:rPr>
                <w:rFonts w:hint="eastAsia" w:ascii="宋体" w:hAnsi="宋体" w:cs="宋体"/>
                <w:sz w:val="24"/>
              </w:rPr>
              <w:t>※</w:t>
            </w:r>
            <w:r>
              <w:rPr>
                <w:rFonts w:hint="eastAsia" w:ascii="宋体" w:hAnsi="宋体" w:cs="宋体"/>
                <w:color w:val="000000"/>
                <w:sz w:val="24"/>
              </w:rPr>
              <w:t>可选配触摸屏</w:t>
            </w:r>
          </w:p>
          <w:p>
            <w:pPr>
              <w:numPr>
                <w:ilvl w:val="0"/>
                <w:numId w:val="17"/>
              </w:numPr>
              <w:autoSpaceDE w:val="0"/>
              <w:autoSpaceDN w:val="0"/>
              <w:adjustRightInd w:val="0"/>
              <w:spacing w:line="360" w:lineRule="auto"/>
              <w:jc w:val="left"/>
              <w:rPr>
                <w:rFonts w:ascii="宋体" w:hAnsi="宋体" w:cs="宋体"/>
                <w:sz w:val="24"/>
              </w:rPr>
            </w:pPr>
            <w:r>
              <w:rPr>
                <w:rFonts w:hint="eastAsia" w:ascii="宋体" w:hAnsi="宋体" w:cs="宋体"/>
                <w:sz w:val="24"/>
              </w:rPr>
              <w:t>标准配置可监测心电，呼吸，无创血压，血氧饱和度，脉搏和体温</w:t>
            </w:r>
          </w:p>
          <w:p>
            <w:pPr>
              <w:numPr>
                <w:ilvl w:val="0"/>
                <w:numId w:val="17"/>
              </w:numPr>
              <w:autoSpaceDE w:val="0"/>
              <w:autoSpaceDN w:val="0"/>
              <w:adjustRightInd w:val="0"/>
              <w:spacing w:line="360" w:lineRule="auto"/>
              <w:jc w:val="left"/>
              <w:rPr>
                <w:rFonts w:ascii="宋体" w:hAnsi="宋体" w:cs="宋体"/>
                <w:bCs/>
                <w:sz w:val="24"/>
              </w:rPr>
            </w:pPr>
            <w:r>
              <w:rPr>
                <w:rFonts w:hint="eastAsia" w:ascii="宋体" w:hAnsi="宋体" w:cs="宋体"/>
                <w:bCs/>
                <w:color w:val="000000"/>
                <w:sz w:val="24"/>
              </w:rPr>
              <w:t>具备ECG多导同步分析功能</w:t>
            </w:r>
            <w:r>
              <w:rPr>
                <w:rFonts w:hint="eastAsia" w:ascii="宋体" w:hAnsi="宋体" w:cs="宋体"/>
                <w:bCs/>
                <w:sz w:val="24"/>
              </w:rPr>
              <w:t>，同时分析多个心电导联，个别导联干扰情况下仍能准确监测</w:t>
            </w:r>
          </w:p>
          <w:p>
            <w:pPr>
              <w:numPr>
                <w:ilvl w:val="0"/>
                <w:numId w:val="17"/>
              </w:numPr>
              <w:autoSpaceDE w:val="0"/>
              <w:autoSpaceDN w:val="0"/>
              <w:adjustRightInd w:val="0"/>
              <w:spacing w:line="360" w:lineRule="auto"/>
              <w:jc w:val="left"/>
              <w:rPr>
                <w:rFonts w:ascii="宋体" w:hAnsi="宋体" w:cs="宋体"/>
                <w:bCs/>
                <w:sz w:val="24"/>
              </w:rPr>
            </w:pPr>
            <w:r>
              <w:rPr>
                <w:rFonts w:hint="eastAsia" w:ascii="宋体" w:hAnsi="宋体" w:cs="宋体"/>
                <w:bCs/>
                <w:color w:val="000000"/>
                <w:sz w:val="24"/>
              </w:rPr>
              <w:t>具备智能导联脱落监测功能</w:t>
            </w:r>
            <w:r>
              <w:rPr>
                <w:rFonts w:hint="eastAsia" w:ascii="宋体" w:hAnsi="宋体" w:cs="宋体"/>
                <w:bCs/>
                <w:sz w:val="24"/>
              </w:rPr>
              <w:t>，个别导联脱落的情况下仍能保持监护</w:t>
            </w:r>
          </w:p>
          <w:p>
            <w:pPr>
              <w:numPr>
                <w:ilvl w:val="0"/>
                <w:numId w:val="17"/>
              </w:numPr>
              <w:autoSpaceDE w:val="0"/>
              <w:autoSpaceDN w:val="0"/>
              <w:adjustRightInd w:val="0"/>
              <w:spacing w:line="360" w:lineRule="auto"/>
              <w:jc w:val="left"/>
              <w:rPr>
                <w:rFonts w:ascii="宋体" w:hAnsi="宋体" w:cs="宋体"/>
                <w:bCs/>
                <w:color w:val="000000"/>
                <w:sz w:val="24"/>
              </w:rPr>
            </w:pPr>
            <w:r>
              <w:rPr>
                <w:rFonts w:hint="eastAsia" w:ascii="宋体" w:hAnsi="宋体" w:cs="宋体"/>
                <w:bCs/>
                <w:sz w:val="24"/>
              </w:rPr>
              <w:t>※</w:t>
            </w:r>
            <w:r>
              <w:rPr>
                <w:rFonts w:hint="eastAsia" w:ascii="宋体" w:hAnsi="宋体" w:cs="宋体"/>
                <w:bCs/>
                <w:color w:val="000000"/>
                <w:sz w:val="24"/>
              </w:rPr>
              <w:t>可显示PI血氧灌注指数，有效反映血氧灌注情况</w:t>
            </w:r>
          </w:p>
          <w:p>
            <w:pPr>
              <w:numPr>
                <w:ilvl w:val="0"/>
                <w:numId w:val="17"/>
              </w:numPr>
              <w:autoSpaceDE w:val="0"/>
              <w:autoSpaceDN w:val="0"/>
              <w:adjustRightInd w:val="0"/>
              <w:spacing w:line="360" w:lineRule="auto"/>
              <w:jc w:val="left"/>
              <w:rPr>
                <w:rFonts w:ascii="宋体" w:hAnsi="宋体" w:cs="宋体"/>
                <w:bCs/>
                <w:sz w:val="24"/>
              </w:rPr>
            </w:pPr>
            <w:r>
              <w:rPr>
                <w:rFonts w:hint="eastAsia" w:ascii="宋体" w:hAnsi="宋体" w:cs="宋体"/>
                <w:bCs/>
                <w:sz w:val="24"/>
              </w:rPr>
              <w:t>采用专利的抗干扰和弱灌注血氧技术</w:t>
            </w:r>
          </w:p>
          <w:p>
            <w:pPr>
              <w:numPr>
                <w:ilvl w:val="0"/>
                <w:numId w:val="17"/>
              </w:numPr>
              <w:autoSpaceDE w:val="0"/>
              <w:autoSpaceDN w:val="0"/>
              <w:adjustRightInd w:val="0"/>
              <w:spacing w:line="360" w:lineRule="auto"/>
              <w:jc w:val="left"/>
              <w:rPr>
                <w:rFonts w:ascii="宋体" w:hAnsi="宋体" w:cs="宋体"/>
                <w:bCs/>
                <w:sz w:val="24"/>
              </w:rPr>
            </w:pPr>
            <w:r>
              <w:rPr>
                <w:rFonts w:hint="eastAsia" w:ascii="宋体" w:hAnsi="宋体" w:cs="宋体"/>
                <w:bCs/>
                <w:sz w:val="24"/>
              </w:rPr>
              <w:t>※</w:t>
            </w:r>
            <w:r>
              <w:rPr>
                <w:rFonts w:hint="eastAsia" w:ascii="宋体" w:hAnsi="宋体" w:cs="宋体"/>
                <w:bCs/>
                <w:color w:val="000000"/>
                <w:sz w:val="24"/>
              </w:rPr>
              <w:t>NIBP和BP的测量范围宽，</w:t>
            </w:r>
            <w:r>
              <w:rPr>
                <w:rFonts w:hint="eastAsia" w:ascii="宋体" w:hAnsi="宋体" w:cs="宋体"/>
                <w:bCs/>
                <w:sz w:val="24"/>
              </w:rPr>
              <w:t>大大提升边界情况的测量准确性</w:t>
            </w:r>
          </w:p>
          <w:p>
            <w:pPr>
              <w:numPr>
                <w:ilvl w:val="1"/>
                <w:numId w:val="18"/>
              </w:numPr>
              <w:autoSpaceDE w:val="0"/>
              <w:autoSpaceDN w:val="0"/>
              <w:adjustRightInd w:val="0"/>
              <w:spacing w:line="360" w:lineRule="auto"/>
              <w:jc w:val="left"/>
              <w:rPr>
                <w:rFonts w:ascii="宋体" w:hAnsi="宋体" w:cs="宋体"/>
                <w:sz w:val="24"/>
              </w:rPr>
            </w:pPr>
            <w:r>
              <w:rPr>
                <w:rFonts w:hint="eastAsia" w:ascii="宋体" w:hAnsi="宋体" w:cs="宋体"/>
                <w:sz w:val="24"/>
              </w:rPr>
              <w:t>成人:sys 25-290 dia 10-250 avr 15-260</w:t>
            </w:r>
          </w:p>
          <w:p>
            <w:pPr>
              <w:numPr>
                <w:ilvl w:val="1"/>
                <w:numId w:val="18"/>
              </w:numPr>
              <w:autoSpaceDE w:val="0"/>
              <w:autoSpaceDN w:val="0"/>
              <w:adjustRightInd w:val="0"/>
              <w:spacing w:line="360" w:lineRule="auto"/>
              <w:jc w:val="left"/>
              <w:rPr>
                <w:rFonts w:ascii="宋体" w:hAnsi="宋体" w:cs="宋体"/>
                <w:sz w:val="24"/>
              </w:rPr>
            </w:pPr>
            <w:r>
              <w:rPr>
                <w:rFonts w:hint="eastAsia" w:ascii="宋体" w:hAnsi="宋体" w:cs="宋体"/>
                <w:sz w:val="24"/>
              </w:rPr>
              <w:t>小儿: sys:25-240 dia:10-200 avr:15-215</w:t>
            </w:r>
          </w:p>
          <w:p>
            <w:pPr>
              <w:numPr>
                <w:ilvl w:val="1"/>
                <w:numId w:val="18"/>
              </w:numPr>
              <w:autoSpaceDE w:val="0"/>
              <w:autoSpaceDN w:val="0"/>
              <w:adjustRightInd w:val="0"/>
              <w:spacing w:line="360" w:lineRule="auto"/>
              <w:jc w:val="left"/>
              <w:rPr>
                <w:rFonts w:ascii="宋体" w:hAnsi="宋体" w:cs="宋体"/>
                <w:sz w:val="24"/>
              </w:rPr>
            </w:pPr>
            <w:r>
              <w:rPr>
                <w:rFonts w:hint="eastAsia" w:ascii="宋体" w:hAnsi="宋体" w:cs="宋体"/>
                <w:sz w:val="24"/>
              </w:rPr>
              <w:t>新生儿: sys:25-140 dia:10-115 avr:15-125</w:t>
            </w:r>
          </w:p>
          <w:p>
            <w:pPr>
              <w:numPr>
                <w:ilvl w:val="0"/>
                <w:numId w:val="17"/>
              </w:numPr>
              <w:autoSpaceDE w:val="0"/>
              <w:autoSpaceDN w:val="0"/>
              <w:adjustRightInd w:val="0"/>
              <w:spacing w:line="360" w:lineRule="auto"/>
              <w:jc w:val="left"/>
              <w:rPr>
                <w:rFonts w:ascii="宋体" w:hAnsi="宋体" w:cs="宋体"/>
                <w:b/>
                <w:color w:val="000000"/>
                <w:sz w:val="24"/>
              </w:rPr>
            </w:pPr>
            <w:r>
              <w:rPr>
                <w:rFonts w:hint="eastAsia" w:ascii="宋体" w:hAnsi="宋体" w:cs="宋体"/>
                <w:sz w:val="24"/>
              </w:rPr>
              <w:t>※</w:t>
            </w:r>
            <w:r>
              <w:rPr>
                <w:rFonts w:hint="eastAsia" w:ascii="宋体" w:hAnsi="宋体" w:cs="宋体"/>
                <w:color w:val="000000"/>
                <w:sz w:val="24"/>
              </w:rPr>
              <w:t>支持心率变化统计和动态血压分析</w:t>
            </w:r>
          </w:p>
          <w:p>
            <w:pPr>
              <w:numPr>
                <w:ilvl w:val="0"/>
                <w:numId w:val="19"/>
              </w:numPr>
              <w:spacing w:line="360" w:lineRule="auto"/>
              <w:ind w:right="-512" w:rightChars="-244"/>
              <w:rPr>
                <w:rFonts w:ascii="宋体" w:hAnsi="宋体" w:cs="宋体"/>
                <w:bCs/>
                <w:sz w:val="24"/>
              </w:rPr>
            </w:pPr>
            <w:r>
              <w:rPr>
                <w:rFonts w:hint="eastAsia" w:ascii="宋体" w:hAnsi="宋体" w:cs="宋体"/>
                <w:sz w:val="24"/>
              </w:rPr>
              <w:t>※支持中/英文字符和</w:t>
            </w:r>
            <w:r>
              <w:rPr>
                <w:rFonts w:hint="eastAsia" w:ascii="宋体" w:hAnsi="宋体" w:cs="宋体"/>
                <w:bCs/>
                <w:color w:val="000000"/>
                <w:sz w:val="24"/>
              </w:rPr>
              <w:t>条码扫描枪输入</w:t>
            </w:r>
          </w:p>
          <w:p>
            <w:pPr>
              <w:numPr>
                <w:ilvl w:val="0"/>
                <w:numId w:val="19"/>
              </w:numPr>
              <w:spacing w:line="360" w:lineRule="auto"/>
              <w:ind w:right="-512" w:rightChars="-244"/>
              <w:rPr>
                <w:rFonts w:ascii="宋体" w:hAnsi="宋体" w:cs="宋体"/>
                <w:sz w:val="24"/>
              </w:rPr>
            </w:pPr>
            <w:r>
              <w:rPr>
                <w:rFonts w:hint="eastAsia" w:ascii="宋体" w:hAnsi="宋体" w:cs="宋体"/>
                <w:sz w:val="24"/>
              </w:rPr>
              <w:t>具有三级声光报警，参数报警级别可调</w:t>
            </w:r>
          </w:p>
          <w:p>
            <w:pPr>
              <w:numPr>
                <w:ilvl w:val="0"/>
                <w:numId w:val="19"/>
              </w:numPr>
              <w:spacing w:line="360" w:lineRule="auto"/>
              <w:ind w:right="-512" w:rightChars="-244"/>
              <w:rPr>
                <w:rFonts w:ascii="宋体" w:hAnsi="宋体" w:cs="宋体"/>
                <w:color w:val="000000"/>
                <w:sz w:val="24"/>
              </w:rPr>
            </w:pPr>
            <w:r>
              <w:rPr>
                <w:rFonts w:hint="eastAsia" w:ascii="宋体" w:hAnsi="宋体" w:cs="宋体"/>
                <w:color w:val="000000"/>
                <w:sz w:val="24"/>
              </w:rPr>
              <w:t>※具备报警集中设置功能</w:t>
            </w:r>
          </w:p>
          <w:p>
            <w:pPr>
              <w:numPr>
                <w:ilvl w:val="0"/>
                <w:numId w:val="19"/>
              </w:numPr>
              <w:spacing w:line="360" w:lineRule="auto"/>
              <w:rPr>
                <w:rFonts w:ascii="宋体" w:hAnsi="宋体" w:cs="宋体"/>
                <w:sz w:val="24"/>
              </w:rPr>
            </w:pPr>
            <w:r>
              <w:rPr>
                <w:rFonts w:hint="eastAsia" w:ascii="宋体" w:hAnsi="宋体" w:cs="宋体"/>
                <w:sz w:val="24"/>
              </w:rPr>
              <w:t>具备血液动力学、药物计算功能</w:t>
            </w:r>
          </w:p>
          <w:p>
            <w:pPr>
              <w:numPr>
                <w:ilvl w:val="0"/>
                <w:numId w:val="19"/>
              </w:numPr>
              <w:spacing w:line="360" w:lineRule="auto"/>
              <w:rPr>
                <w:rFonts w:ascii="宋体" w:hAnsi="宋体" w:cs="宋体"/>
                <w:bCs/>
                <w:color w:val="000000"/>
                <w:sz w:val="24"/>
              </w:rPr>
            </w:pPr>
            <w:r>
              <w:rPr>
                <w:rFonts w:hint="eastAsia" w:ascii="宋体" w:hAnsi="宋体" w:cs="宋体"/>
                <w:sz w:val="24"/>
              </w:rPr>
              <w:t>可选内置存储卡，也</w:t>
            </w:r>
            <w:r>
              <w:rPr>
                <w:rFonts w:hint="eastAsia" w:ascii="宋体" w:hAnsi="宋体" w:cs="宋体"/>
                <w:bCs/>
                <w:color w:val="000000"/>
                <w:sz w:val="24"/>
              </w:rPr>
              <w:t>支持外部USB存储设备，支持掉电存储和U盘数据导入导出功能</w:t>
            </w:r>
          </w:p>
          <w:p>
            <w:pPr>
              <w:numPr>
                <w:ilvl w:val="0"/>
                <w:numId w:val="19"/>
              </w:numPr>
              <w:spacing w:line="360" w:lineRule="auto"/>
              <w:rPr>
                <w:rFonts w:ascii="宋体" w:hAnsi="宋体" w:cs="宋体"/>
                <w:sz w:val="24"/>
              </w:rPr>
            </w:pPr>
            <w:r>
              <w:rPr>
                <w:rFonts w:hint="eastAsia" w:ascii="宋体" w:hAnsi="宋体" w:cs="宋体"/>
                <w:sz w:val="24"/>
              </w:rPr>
              <w:t>具备Nurse Call报警功能</w:t>
            </w:r>
          </w:p>
          <w:p>
            <w:pPr>
              <w:numPr>
                <w:ilvl w:val="0"/>
                <w:numId w:val="19"/>
              </w:numPr>
              <w:spacing w:line="360" w:lineRule="auto"/>
              <w:rPr>
                <w:rFonts w:ascii="宋体" w:hAnsi="宋体" w:cs="宋体"/>
                <w:sz w:val="24"/>
              </w:rPr>
            </w:pPr>
            <w:r>
              <w:rPr>
                <w:rFonts w:hint="eastAsia" w:ascii="宋体" w:hAnsi="宋体" w:cs="宋体"/>
                <w:sz w:val="24"/>
              </w:rPr>
              <w:t>支持</w:t>
            </w:r>
            <w:r>
              <w:rPr>
                <w:rFonts w:hint="eastAsia" w:ascii="宋体" w:hAnsi="宋体" w:cs="宋体"/>
                <w:color w:val="000000"/>
                <w:sz w:val="24"/>
              </w:rPr>
              <w:t>VGA外接拓展显示屏</w:t>
            </w:r>
          </w:p>
          <w:p>
            <w:pPr>
              <w:numPr>
                <w:ilvl w:val="0"/>
                <w:numId w:val="19"/>
              </w:numPr>
              <w:spacing w:line="360" w:lineRule="auto"/>
              <w:ind w:right="-512" w:rightChars="-244"/>
              <w:rPr>
                <w:rFonts w:ascii="宋体" w:hAnsi="宋体" w:cs="宋体"/>
                <w:color w:val="000000"/>
                <w:sz w:val="24"/>
              </w:rPr>
            </w:pPr>
            <w:r>
              <w:rPr>
                <w:rFonts w:hint="eastAsia" w:ascii="宋体" w:hAnsi="宋体" w:cs="宋体"/>
                <w:sz w:val="24"/>
              </w:rPr>
              <w:t>※</w:t>
            </w:r>
            <w:r>
              <w:rPr>
                <w:rFonts w:hint="eastAsia" w:ascii="宋体" w:hAnsi="宋体" w:cs="宋体"/>
                <w:color w:val="000000"/>
                <w:sz w:val="24"/>
              </w:rPr>
              <w:t>具备1200小时趋势图表、1800个报警事件、1600组NIBP测量的数据存储和回顾功能,48小时全息波形回顾.</w:t>
            </w:r>
          </w:p>
          <w:p>
            <w:pPr>
              <w:numPr>
                <w:ilvl w:val="0"/>
                <w:numId w:val="17"/>
              </w:numPr>
              <w:spacing w:line="360" w:lineRule="auto"/>
              <w:rPr>
                <w:rFonts w:ascii="宋体" w:hAnsi="宋体" w:cs="宋体"/>
                <w:sz w:val="24"/>
              </w:rPr>
            </w:pPr>
            <w:r>
              <w:rPr>
                <w:rFonts w:hint="eastAsia" w:ascii="宋体" w:hAnsi="宋体" w:cs="宋体"/>
                <w:sz w:val="24"/>
              </w:rPr>
              <w:t>具备趋势共存界面、呼吸氧合图界面，大字体显示界面，及标准显示界面等多种显示界面</w:t>
            </w:r>
          </w:p>
          <w:p>
            <w:pPr>
              <w:numPr>
                <w:ilvl w:val="0"/>
                <w:numId w:val="17"/>
              </w:numPr>
              <w:spacing w:line="360" w:lineRule="auto"/>
              <w:rPr>
                <w:rFonts w:ascii="宋体" w:hAnsi="宋体" w:cs="宋体"/>
                <w:sz w:val="24"/>
              </w:rPr>
            </w:pPr>
            <w:r>
              <w:rPr>
                <w:rFonts w:hint="eastAsia" w:ascii="宋体" w:hAnsi="宋体" w:cs="宋体"/>
                <w:sz w:val="24"/>
              </w:rPr>
              <w:t>具备成人、小儿、新生儿三种病人配置，</w:t>
            </w:r>
            <w:r>
              <w:rPr>
                <w:rFonts w:hint="eastAsia" w:ascii="宋体" w:hAnsi="宋体" w:cs="宋体"/>
                <w:color w:val="000000"/>
                <w:sz w:val="24"/>
              </w:rPr>
              <w:t>支持U盘导入导出配置</w:t>
            </w:r>
          </w:p>
          <w:p>
            <w:pPr>
              <w:numPr>
                <w:ilvl w:val="0"/>
                <w:numId w:val="17"/>
              </w:numPr>
              <w:spacing w:line="360" w:lineRule="auto"/>
              <w:rPr>
                <w:rFonts w:ascii="宋体" w:hAnsi="宋体" w:cs="宋体"/>
                <w:color w:val="000000"/>
                <w:sz w:val="24"/>
              </w:rPr>
            </w:pPr>
            <w:r>
              <w:rPr>
                <w:rFonts w:hint="eastAsia" w:ascii="宋体" w:hAnsi="宋体" w:cs="宋体"/>
                <w:sz w:val="24"/>
              </w:rPr>
              <w:t>※标配普通锂电池，工作时间可达4小时；可选配高容量锂电池，</w:t>
            </w:r>
            <w:r>
              <w:rPr>
                <w:rFonts w:hint="eastAsia" w:ascii="宋体" w:hAnsi="宋体" w:cs="宋体"/>
                <w:color w:val="000000"/>
                <w:sz w:val="24"/>
              </w:rPr>
              <w:t>工作时间达8小时</w:t>
            </w:r>
          </w:p>
          <w:p>
            <w:pPr>
              <w:numPr>
                <w:ilvl w:val="0"/>
                <w:numId w:val="17"/>
              </w:numPr>
              <w:autoSpaceDE w:val="0"/>
              <w:autoSpaceDN w:val="0"/>
              <w:adjustRightInd w:val="0"/>
              <w:spacing w:line="360" w:lineRule="auto"/>
              <w:jc w:val="left"/>
              <w:rPr>
                <w:rFonts w:ascii="宋体" w:hAnsi="宋体" w:cs="宋体"/>
                <w:sz w:val="24"/>
              </w:rPr>
            </w:pPr>
            <w:r>
              <w:rPr>
                <w:rFonts w:hint="eastAsia" w:ascii="宋体" w:hAnsi="宋体" w:cs="宋体"/>
                <w:sz w:val="24"/>
              </w:rPr>
              <w:t>支持3通道记录仪</w:t>
            </w:r>
          </w:p>
          <w:p>
            <w:pPr>
              <w:numPr>
                <w:ilvl w:val="0"/>
                <w:numId w:val="17"/>
              </w:numPr>
              <w:autoSpaceDE w:val="0"/>
              <w:autoSpaceDN w:val="0"/>
              <w:adjustRightInd w:val="0"/>
              <w:spacing w:line="360" w:lineRule="auto"/>
              <w:jc w:val="left"/>
              <w:rPr>
                <w:rFonts w:ascii="宋体" w:hAnsi="宋体" w:cs="宋体"/>
                <w:color w:val="000000"/>
                <w:sz w:val="24"/>
              </w:rPr>
            </w:pPr>
            <w:r>
              <w:rPr>
                <w:rFonts w:hint="eastAsia" w:ascii="宋体" w:hAnsi="宋体" w:cs="宋体"/>
                <w:color w:val="000000"/>
                <w:sz w:val="24"/>
              </w:rPr>
              <w:t>※整机无风扇设计，降低环境噪音干扰</w:t>
            </w:r>
          </w:p>
          <w:p>
            <w:pPr>
              <w:numPr>
                <w:ilvl w:val="0"/>
                <w:numId w:val="17"/>
              </w:numPr>
              <w:autoSpaceDE w:val="0"/>
              <w:autoSpaceDN w:val="0"/>
              <w:adjustRightInd w:val="0"/>
              <w:spacing w:line="360" w:lineRule="auto"/>
              <w:jc w:val="left"/>
              <w:rPr>
                <w:rFonts w:ascii="宋体" w:hAnsi="宋体" w:cs="宋体"/>
                <w:color w:val="000000"/>
                <w:sz w:val="24"/>
              </w:rPr>
            </w:pPr>
            <w:r>
              <w:rPr>
                <w:rFonts w:hint="eastAsia" w:ascii="宋体" w:hAnsi="宋体" w:cs="宋体"/>
                <w:sz w:val="24"/>
              </w:rPr>
              <w:t>※</w:t>
            </w:r>
            <w:r>
              <w:rPr>
                <w:rFonts w:hint="eastAsia" w:ascii="宋体" w:hAnsi="宋体" w:cs="宋体"/>
                <w:color w:val="000000"/>
                <w:sz w:val="24"/>
              </w:rPr>
              <w:t>独创支持附件收纳盒设计，让床旁附件管理更有序、更高效</w:t>
            </w:r>
          </w:p>
          <w:p>
            <w:pPr>
              <w:numPr>
                <w:ilvl w:val="0"/>
                <w:numId w:val="17"/>
              </w:numPr>
              <w:autoSpaceDE w:val="0"/>
              <w:autoSpaceDN w:val="0"/>
              <w:adjustRightInd w:val="0"/>
              <w:spacing w:line="360" w:lineRule="auto"/>
              <w:jc w:val="left"/>
              <w:rPr>
                <w:rFonts w:ascii="宋体" w:hAnsi="宋体" w:cs="宋体"/>
                <w:sz w:val="24"/>
              </w:rPr>
            </w:pPr>
            <w:r>
              <w:rPr>
                <w:rFonts w:hint="eastAsia" w:ascii="宋体" w:hAnsi="宋体" w:cs="宋体"/>
                <w:sz w:val="24"/>
              </w:rPr>
              <w:t>防水等级达到IPX1标准</w:t>
            </w:r>
          </w:p>
          <w:p>
            <w:pPr>
              <w:numPr>
                <w:ilvl w:val="0"/>
                <w:numId w:val="17"/>
              </w:numPr>
              <w:autoSpaceDE w:val="0"/>
              <w:autoSpaceDN w:val="0"/>
              <w:adjustRightInd w:val="0"/>
              <w:spacing w:line="360" w:lineRule="auto"/>
              <w:jc w:val="left"/>
              <w:rPr>
                <w:rFonts w:ascii="宋体" w:hAnsi="宋体" w:cs="宋体"/>
                <w:sz w:val="24"/>
              </w:rPr>
            </w:pPr>
            <w:r>
              <w:rPr>
                <w:rFonts w:hint="eastAsia" w:ascii="宋体" w:hAnsi="宋体" w:cs="宋体"/>
                <w:sz w:val="24"/>
              </w:rPr>
              <w:t>产品使用材料通过UL安全认证</w:t>
            </w:r>
          </w:p>
          <w:p>
            <w:pPr>
              <w:numPr>
                <w:ilvl w:val="0"/>
                <w:numId w:val="17"/>
              </w:numPr>
              <w:autoSpaceDE w:val="0"/>
              <w:autoSpaceDN w:val="0"/>
              <w:adjustRightInd w:val="0"/>
              <w:spacing w:line="360" w:lineRule="auto"/>
              <w:jc w:val="left"/>
              <w:rPr>
                <w:rFonts w:ascii="宋体" w:hAnsi="宋体" w:cs="宋体"/>
                <w:sz w:val="24"/>
              </w:rPr>
            </w:pPr>
            <w:r>
              <w:rPr>
                <w:rFonts w:hint="eastAsia" w:ascii="宋体" w:hAnsi="宋体" w:cs="宋体"/>
                <w:sz w:val="24"/>
                <w:lang w:eastAsia="zh-CN"/>
              </w:rPr>
              <w:t>有演示模式</w:t>
            </w:r>
          </w:p>
          <w:p>
            <w:pPr>
              <w:spacing w:line="360" w:lineRule="auto"/>
              <w:rPr>
                <w:rFonts w:ascii="宋体" w:hAnsi="宋体" w:cs="宋体"/>
                <w:sz w:val="24"/>
              </w:rPr>
            </w:pPr>
            <w:r>
              <w:rPr>
                <w:rFonts w:hint="eastAsia" w:ascii="宋体" w:hAnsi="宋体" w:cs="宋体"/>
                <w:sz w:val="24"/>
              </w:rPr>
              <w:t>认证：CE认证、SFDA认证</w:t>
            </w:r>
          </w:p>
          <w:p>
            <w:pPr>
              <w:widowControl/>
              <w:jc w:val="left"/>
              <w:rPr>
                <w:rFonts w:ascii="宋体" w:hAnsi="宋体" w:cs="宋体"/>
                <w:color w:val="000000"/>
                <w:kern w:val="0"/>
                <w:sz w:val="24"/>
                <w:szCs w:val="24"/>
              </w:rPr>
            </w:pPr>
          </w:p>
        </w:tc>
        <w:tc>
          <w:tcPr>
            <w:tcW w:w="94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left"/>
              <w:rPr>
                <w:rFonts w:ascii="宋体" w:hAnsi="宋体" w:cs="宋体"/>
                <w:color w:val="000000"/>
                <w:kern w:val="0"/>
                <w:sz w:val="24"/>
                <w:szCs w:val="24"/>
              </w:rPr>
            </w:pPr>
            <w:r>
              <w:rPr>
                <w:rFonts w:ascii="宋体" w:hAnsi="宋体" w:cs="宋体"/>
                <w:color w:val="000000"/>
                <w:kern w:val="0"/>
                <w:sz w:val="24"/>
                <w:szCs w:val="24"/>
              </w:rPr>
              <w:t>2</w:t>
            </w:r>
          </w:p>
        </w:tc>
        <w:tc>
          <w:tcPr>
            <w:tcW w:w="1843"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right"/>
              <w:rPr>
                <w:rFonts w:ascii="宋体" w:hAnsi="宋体" w:cs="宋体"/>
                <w:color w:val="000000"/>
                <w:kern w:val="0"/>
                <w:sz w:val="24"/>
                <w:szCs w:val="24"/>
              </w:rPr>
            </w:pPr>
            <w:r>
              <w:rPr>
                <w:rFonts w:hint="eastAsia" w:ascii="宋体" w:hAnsi="宋体"/>
                <w:sz w:val="24"/>
              </w:rPr>
              <w:drawing>
                <wp:inline distT="0" distB="0" distL="114300" distR="114300">
                  <wp:extent cx="929005" cy="684530"/>
                  <wp:effectExtent l="0" t="0" r="4445" b="1270"/>
                  <wp:docPr id="2" name="图片 1" descr="1599982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99982514(1)"/>
                          <pic:cNvPicPr>
                            <a:picLocks noChangeAspect="1"/>
                          </pic:cNvPicPr>
                        </pic:nvPicPr>
                        <pic:blipFill>
                          <a:blip r:embed="rId7"/>
                          <a:stretch>
                            <a:fillRect/>
                          </a:stretch>
                        </pic:blipFill>
                        <pic:spPr>
                          <a:xfrm>
                            <a:off x="0" y="0"/>
                            <a:ext cx="945618" cy="696688"/>
                          </a:xfrm>
                          <a:prstGeom prst="rect">
                            <a:avLst/>
                          </a:prstGeom>
                          <a:noFill/>
                          <a:ln>
                            <a:noFill/>
                          </a:ln>
                        </pic:spPr>
                      </pic:pic>
                    </a:graphicData>
                  </a:graphic>
                </wp:inline>
              </w:drawing>
            </w:r>
          </w:p>
        </w:tc>
        <w:tc>
          <w:tcPr>
            <w:tcW w:w="63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w:t>
            </w:r>
          </w:p>
        </w:tc>
      </w:tr>
      <w:tr>
        <w:tblPrEx>
          <w:tblCellMar>
            <w:top w:w="0" w:type="dxa"/>
            <w:left w:w="0" w:type="dxa"/>
            <w:bottom w:w="0" w:type="dxa"/>
            <w:right w:w="0" w:type="dxa"/>
          </w:tblCellMar>
        </w:tblPrEx>
        <w:tc>
          <w:tcPr>
            <w:tcW w:w="493"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jc w:val="center"/>
              <w:rPr>
                <w:rFonts w:ascii="宋体" w:hAnsi="宋体" w:cs="宋体"/>
                <w:color w:val="FF0000"/>
                <w:sz w:val="24"/>
                <w:szCs w:val="24"/>
              </w:rPr>
            </w:pPr>
            <w:r>
              <w:rPr>
                <w:rFonts w:hint="eastAsia" w:ascii="宋体" w:hAnsi="宋体" w:cs="宋体"/>
                <w:color w:val="000000" w:themeColor="text1"/>
                <w:sz w:val="24"/>
                <w:szCs w:val="24"/>
                <w14:textFill>
                  <w14:solidFill>
                    <w14:schemeClr w14:val="tx1"/>
                  </w14:solidFill>
                </w14:textFill>
              </w:rPr>
              <w:t>★多功能监护仪</w:t>
            </w:r>
          </w:p>
        </w:tc>
        <w:tc>
          <w:tcPr>
            <w:tcW w:w="531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sz w:val="24"/>
                <w:szCs w:val="24"/>
              </w:rPr>
              <w:t>模块化插件式床边监护仪，主机、显示屏和插件槽一体化设计，主机插槽数&gt;=5个，并可外接8槽位辅助插件箱方便升级</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sz w:val="24"/>
                <w:szCs w:val="24"/>
              </w:rPr>
              <w:t>&gt;=15英寸彩色电容触摸屏，支持多点触摸操作，高分辨率达1920 x 1080像素，10通道显示，显示屏亮度根据环境光强度自动调节</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工作海拔高度4550米，满足高原地区</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工作温度0 ~40 ℃</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采用无风扇设计</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支持升级内置锂电池，供电时间&gt;=2小时</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配置&gt;=4个USB接口，支持连接存储介质、鼠标、键盘、条码扫描枪等USB设备</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支持扩展独立显示屏</w:t>
            </w:r>
          </w:p>
          <w:p>
            <w:pPr>
              <w:autoSpaceDE w:val="0"/>
              <w:autoSpaceDN w:val="0"/>
              <w:adjustRightInd w:val="0"/>
              <w:spacing w:line="360" w:lineRule="auto"/>
              <w:rPr>
                <w:rFonts w:ascii="宋体" w:hAnsi="宋体" w:cs="宋体"/>
                <w:b/>
                <w:color w:val="FF0000"/>
                <w:sz w:val="24"/>
                <w:szCs w:val="24"/>
              </w:rPr>
            </w:pPr>
          </w:p>
          <w:p>
            <w:pPr>
              <w:autoSpaceDE w:val="0"/>
              <w:autoSpaceDN w:val="0"/>
              <w:adjustRightInd w:val="0"/>
              <w:spacing w:line="360" w:lineRule="auto"/>
              <w:rPr>
                <w:rFonts w:ascii="宋体" w:hAnsi="宋体" w:cs="宋体"/>
                <w:b/>
                <w:sz w:val="24"/>
                <w:szCs w:val="24"/>
              </w:rPr>
            </w:pPr>
            <w:r>
              <w:rPr>
                <w:rFonts w:hint="eastAsia" w:ascii="宋体" w:hAnsi="宋体" w:cs="宋体"/>
                <w:b/>
                <w:sz w:val="24"/>
                <w:szCs w:val="24"/>
              </w:rPr>
              <w:t>监测参数：</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sz w:val="24"/>
                <w:szCs w:val="24"/>
              </w:rPr>
              <w:t>基本功能模块支持心电，呼吸，心率，无创血压，血氧饱和度，脉搏，双通道体温和双通道有创血压的同时监测</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★支持升级</w:t>
            </w:r>
            <w:r>
              <w:rPr>
                <w:rFonts w:hint="eastAsia" w:ascii="宋体" w:hAnsi="宋体" w:cs="宋体"/>
                <w:sz w:val="24"/>
                <w:szCs w:val="24"/>
              </w:rPr>
              <w:t>基本功能模块从监护仪拔出后作为一个独立的监护仪支持病人的无缝转移，具有显示屏，屏幕尺寸&gt;=5英寸，内置锂电池供电不小于4小时，无风扇设计</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sz w:val="24"/>
                <w:szCs w:val="24"/>
              </w:rPr>
              <w:t>支持3/5导心电监测,配置抗电刀电缆，支持升级6/12导心电测量，并在监护仪上完成12导静息分析，并提供监护截图证明材料</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支持房颤心律失常分析功能，支持不少于20种实时心律失常分析,并提供监护截图证明材料</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sz w:val="24"/>
                <w:szCs w:val="24"/>
              </w:rPr>
              <w:t>提供ST段分析功能，</w:t>
            </w:r>
            <w:r>
              <w:rPr>
                <w:rFonts w:hint="eastAsia" w:ascii="宋体" w:hAnsi="宋体" w:cs="宋体"/>
                <w:color w:val="000000" w:themeColor="text1"/>
                <w:sz w:val="24"/>
                <w:szCs w:val="24"/>
                <w14:textFill>
                  <w14:solidFill>
                    <w14:schemeClr w14:val="tx1"/>
                  </w14:solidFill>
                </w14:textFill>
              </w:rPr>
              <w:t>支持在专门的窗口中分组显示心脏前壁，下壁和侧壁的ST实时片段和参考片段，并提供监护截图证明材料</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监测ST段抬高或者压低，提供ST报警。提供单个，或多个ST值报警，并支持相对的报警限设置。</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提供导联类型自动识别功能，具备智能导联脱落监测功能，导联脱落的情况下仍能保持监护</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sz w:val="24"/>
                <w:szCs w:val="24"/>
              </w:rPr>
              <w:t>具有QT/QTc测量功能，提供QT，QTc和ΔQTc参数值。</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提供QT和QTc模板显示。</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无创血压提供手动、自动间隔、连续、序列四种测量模式</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无创血压成人测量范围：25-290mmHg（收缩压），10-250mmHg（舒张压），15-260mmHg（平均压）。</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无创血压小儿测量范围：25-240mmHg（收缩压），10-200mmHg（舒张压），15-215mmHg（平均压）。</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无创血压新生儿测量范围：25-140mmHg（收缩压），10-115mmHg（舒张压），15-125mmHg（平均压）。</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血氧监测提供灌注指数（PI）的监测</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支持双通道有创压IBP监测，支持升级多达8通道有创压监测</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 xml:space="preserve">提供肺动脉锲压（PAWP）的监测和PPV参数监测 </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支持多达4道IBP波形叠加显示，满足临床对比查看和节约显示空间的需求</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支持升级EtCO2监测模块，支持监测呼末CO2和O2浓度，采用旁流技术，水槽要求易用快速更换</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CO2波形提供填充和线条两种方式显示，满足不同临床使用习惯</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CO2波形最小走速为3mm/s,满足同屏查看更多呼吸周期</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支持升级AG监测模块，支持监测5种麻醉气体，O2，N2O和CO2浓度，提供MAC值测量。</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支持升级BISx4监测模块或者单机，提供不少于4通道EEG，双频指数（BIS），肌电活动（EMG）,抑制比（SR），频谱边缘频率（SEF）等参数的监测</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提供功率谱密度（DSA）显示界面，可以直观地显示一段时间内的双侧功率谱分布变化的情况。</w:t>
            </w:r>
          </w:p>
          <w:p>
            <w:pPr>
              <w:numPr>
                <w:ilvl w:val="0"/>
                <w:numId w:val="20"/>
              </w:numPr>
              <w:tabs>
                <w:tab w:val="left" w:pos="420"/>
              </w:tabs>
              <w:autoSpaceDE w:val="0"/>
              <w:autoSpaceDN w:val="0"/>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麻醉综合指示界面：在显示实时波形和数据的同时，通过结合反映意识程度的麻醉深度BIS、反映麻痹状态的NMT、反映疼痛情况的</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HR和</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Sys值的二维平衡视图界面动态呈现了整个围术期内病人麻醉情况</w:t>
            </w:r>
          </w:p>
          <w:p>
            <w:pPr>
              <w:numPr>
                <w:ilvl w:val="0"/>
                <w:numId w:val="20"/>
              </w:numPr>
              <w:tabs>
                <w:tab w:val="left" w:pos="420"/>
              </w:tabs>
              <w:autoSpaceDE w:val="0"/>
              <w:autoSpaceDN w:val="0"/>
              <w:adjustRightInd w:val="0"/>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sz w:val="24"/>
                <w:szCs w:val="24"/>
              </w:rPr>
              <w:t>支持升级PiCCO监测模块或者单机，采用Pulsion PiCCO技术股动脉和中心静脉常规穿刺实现微创CCO等血液动力学监测参数，并提供蛛网图，直观观察病人的变化情况</w:t>
            </w:r>
          </w:p>
          <w:p>
            <w:pPr>
              <w:numPr>
                <w:ilvl w:val="0"/>
                <w:numId w:val="20"/>
              </w:numPr>
              <w:tabs>
                <w:tab w:val="left" w:pos="420"/>
              </w:tabs>
              <w:autoSpaceDE w:val="0"/>
              <w:autoSpaceDN w:val="0"/>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支持升级ScvO2监测，监测组织氧供和氧耗情况</w:t>
            </w:r>
          </w:p>
          <w:p>
            <w:pPr>
              <w:pStyle w:val="22"/>
              <w:numPr>
                <w:ilvl w:val="0"/>
                <w:numId w:val="20"/>
              </w:numPr>
              <w:tabs>
                <w:tab w:val="left" w:pos="420"/>
              </w:tabs>
              <w:autoSpaceDE w:val="0"/>
              <w:autoSpaceDN w:val="0"/>
              <w:adjustRightInd w:val="0"/>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支持升级与主流呼吸机品牌的呼吸机相连，实现呼吸机设备的信息在监护仪上显示、存储、记录、打印或者用于参与计算。</w:t>
            </w:r>
          </w:p>
          <w:p>
            <w:pPr>
              <w:autoSpaceDE w:val="0"/>
              <w:autoSpaceDN w:val="0"/>
              <w:adjustRightInd w:val="0"/>
              <w:spacing w:line="360" w:lineRule="auto"/>
              <w:ind w:left="420"/>
              <w:rPr>
                <w:rFonts w:ascii="宋体" w:hAnsi="宋体" w:cs="宋体"/>
                <w:sz w:val="24"/>
                <w:szCs w:val="24"/>
              </w:rPr>
            </w:pPr>
          </w:p>
          <w:p>
            <w:pPr>
              <w:spacing w:line="360" w:lineRule="auto"/>
              <w:ind w:right="-512" w:rightChars="-244"/>
              <w:rPr>
                <w:rFonts w:ascii="宋体" w:hAnsi="宋体" w:cs="宋体"/>
                <w:sz w:val="24"/>
                <w:szCs w:val="24"/>
              </w:rPr>
            </w:pPr>
            <w:r>
              <w:rPr>
                <w:rFonts w:hint="eastAsia" w:ascii="宋体" w:hAnsi="宋体" w:cs="宋体"/>
                <w:b/>
                <w:bCs/>
                <w:sz w:val="24"/>
                <w:szCs w:val="24"/>
              </w:rPr>
              <w:t>系统功能：</w:t>
            </w:r>
          </w:p>
          <w:p>
            <w:pPr>
              <w:numPr>
                <w:ilvl w:val="0"/>
                <w:numId w:val="20"/>
              </w:numPr>
              <w:tabs>
                <w:tab w:val="left" w:pos="42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大字体界面支持6个参数的设置和显示</w:t>
            </w:r>
          </w:p>
          <w:p>
            <w:pPr>
              <w:numPr>
                <w:ilvl w:val="0"/>
                <w:numId w:val="20"/>
              </w:numPr>
              <w:tabs>
                <w:tab w:val="left" w:pos="42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具有图形化报警指示功能，看报警信息更容易</w:t>
            </w:r>
          </w:p>
          <w:p>
            <w:pPr>
              <w:numPr>
                <w:ilvl w:val="0"/>
                <w:numId w:val="20"/>
              </w:numPr>
              <w:tabs>
                <w:tab w:val="left" w:pos="42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所有参数报警限自动设置</w:t>
            </w:r>
          </w:p>
          <w:p>
            <w:pPr>
              <w:numPr>
                <w:ilvl w:val="0"/>
                <w:numId w:val="20"/>
              </w:numPr>
              <w:tabs>
                <w:tab w:val="left" w:pos="42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能够设置护理组，一个护理组能够设置6-12个病人。这些病人之间能够互相进行它床观察。</w:t>
            </w:r>
          </w:p>
          <w:p>
            <w:pPr>
              <w:numPr>
                <w:ilvl w:val="0"/>
                <w:numId w:val="20"/>
              </w:numPr>
              <w:tabs>
                <w:tab w:val="left" w:pos="42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★标配具备血液动力学，药物计算，氧合计算，通气计算和肾功能计算功能，并提供截图证明材料</w:t>
            </w:r>
          </w:p>
          <w:p>
            <w:pPr>
              <w:numPr>
                <w:ilvl w:val="0"/>
                <w:numId w:val="20"/>
              </w:numPr>
              <w:tabs>
                <w:tab w:val="left" w:pos="42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40个及以上参数的120小时（分辨率1分钟）趋势表、趋势图回顾，4小时（分辨率5秒）趋势表、趋势图回顾。</w:t>
            </w:r>
          </w:p>
          <w:p>
            <w:pPr>
              <w:numPr>
                <w:ilvl w:val="0"/>
                <w:numId w:val="20"/>
              </w:numPr>
              <w:tabs>
                <w:tab w:val="left" w:pos="42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1000条事件回顾。每条报警事件至少能够存储32秒三道相关波形，以及报警触发时所有测量参数值。</w:t>
            </w:r>
          </w:p>
          <w:p>
            <w:pPr>
              <w:numPr>
                <w:ilvl w:val="0"/>
                <w:numId w:val="20"/>
              </w:numPr>
              <w:tabs>
                <w:tab w:val="left" w:pos="42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事件回顾时能够提供报警事件列表。能够根据时间、报警优先级、报警类型和参数组对事件进行筛选。</w:t>
            </w:r>
          </w:p>
          <w:p>
            <w:pPr>
              <w:numPr>
                <w:ilvl w:val="0"/>
                <w:numId w:val="20"/>
              </w:numPr>
              <w:tabs>
                <w:tab w:val="left" w:pos="420"/>
              </w:tabs>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★具备大于等于48小时全息波形的存储与回顾功能</w:t>
            </w:r>
          </w:p>
          <w:p>
            <w:pPr>
              <w:numPr>
                <w:ilvl w:val="0"/>
                <w:numId w:val="20"/>
              </w:numPr>
              <w:tabs>
                <w:tab w:val="left" w:pos="420"/>
              </w:tabs>
              <w:spacing w:line="360" w:lineRule="auto"/>
              <w:rPr>
                <w:rFonts w:ascii="宋体" w:hAnsi="宋体" w:cs="宋体"/>
                <w:sz w:val="24"/>
                <w:szCs w:val="24"/>
              </w:rPr>
            </w:pPr>
            <w:r>
              <w:rPr>
                <w:rFonts w:hint="eastAsia" w:ascii="宋体" w:hAnsi="宋体" w:cs="宋体"/>
                <w:sz w:val="24"/>
                <w:szCs w:val="24"/>
              </w:rPr>
              <w:t>120小时（分辨率5分钟）ST模板回顾。</w:t>
            </w:r>
          </w:p>
          <w:p>
            <w:pPr>
              <w:numPr>
                <w:ilvl w:val="0"/>
                <w:numId w:val="20"/>
              </w:numPr>
              <w:tabs>
                <w:tab w:val="left" w:pos="420"/>
              </w:tabs>
              <w:spacing w:line="360" w:lineRule="auto"/>
              <w:rPr>
                <w:rFonts w:ascii="宋体" w:hAnsi="宋体" w:cs="宋体"/>
                <w:sz w:val="24"/>
                <w:szCs w:val="24"/>
              </w:rPr>
            </w:pPr>
            <w:r>
              <w:rPr>
                <w:rFonts w:hint="eastAsia" w:ascii="宋体" w:hAnsi="宋体" w:cs="宋体"/>
                <w:sz w:val="24"/>
                <w:szCs w:val="24"/>
              </w:rPr>
              <w:t>提供升级24小时心律失常统计，具有24小时心电综合分析概览（24h ECG综合分析报告），能够提供HR、ST、QT/QTc、心律失常、起搏的统计结果，并能够查看细节。</w:t>
            </w:r>
          </w:p>
          <w:p>
            <w:pPr>
              <w:numPr>
                <w:ilvl w:val="0"/>
                <w:numId w:val="20"/>
              </w:numPr>
              <w:tabs>
                <w:tab w:val="left" w:pos="420"/>
              </w:tabs>
              <w:spacing w:line="360" w:lineRule="auto"/>
              <w:rPr>
                <w:rFonts w:ascii="宋体" w:hAnsi="宋体" w:cs="宋体"/>
                <w:sz w:val="24"/>
                <w:szCs w:val="24"/>
              </w:rPr>
            </w:pPr>
            <w:r>
              <w:rPr>
                <w:rFonts w:hint="eastAsia" w:ascii="宋体" w:hAnsi="宋体" w:cs="宋体"/>
                <w:sz w:val="24"/>
                <w:szCs w:val="24"/>
              </w:rPr>
              <w:t>具有在线帮助功能，能够指导用户掌握如何设置参数。</w:t>
            </w:r>
          </w:p>
          <w:p>
            <w:pPr>
              <w:numPr>
                <w:ilvl w:val="0"/>
                <w:numId w:val="20"/>
              </w:numPr>
              <w:tabs>
                <w:tab w:val="left" w:pos="420"/>
              </w:tabs>
              <w:spacing w:line="360" w:lineRule="auto"/>
              <w:rPr>
                <w:rFonts w:ascii="宋体" w:hAnsi="宋体" w:cs="宋体"/>
                <w:sz w:val="24"/>
                <w:szCs w:val="24"/>
              </w:rPr>
            </w:pPr>
            <w:r>
              <w:rPr>
                <w:rFonts w:hint="eastAsia" w:ascii="宋体" w:hAnsi="宋体" w:cs="宋体"/>
                <w:sz w:val="24"/>
                <w:szCs w:val="24"/>
              </w:rPr>
              <w:t>具有高级参数指导功能，能够指导用户掌握高级参数的使用方法。</w:t>
            </w:r>
          </w:p>
          <w:p>
            <w:pPr>
              <w:numPr>
                <w:ilvl w:val="0"/>
                <w:numId w:val="20"/>
              </w:numPr>
              <w:tabs>
                <w:tab w:val="left" w:pos="420"/>
              </w:tabs>
              <w:spacing w:line="360" w:lineRule="auto"/>
              <w:rPr>
                <w:rFonts w:ascii="宋体" w:hAnsi="宋体" w:cs="宋体"/>
                <w:sz w:val="24"/>
                <w:szCs w:val="24"/>
              </w:rPr>
            </w:pPr>
            <w:r>
              <w:rPr>
                <w:rFonts w:hint="eastAsia" w:ascii="宋体" w:hAnsi="宋体" w:cs="宋体"/>
                <w:sz w:val="24"/>
                <w:szCs w:val="24"/>
              </w:rPr>
              <w:t>工作模式提供：监护模式、待机模式、体外循环模式模式、插管模式，夜间模式、隐私模式、演示模式。</w:t>
            </w:r>
          </w:p>
          <w:p>
            <w:pPr>
              <w:numPr>
                <w:ilvl w:val="0"/>
                <w:numId w:val="20"/>
              </w:numPr>
              <w:tabs>
                <w:tab w:val="left" w:pos="420"/>
              </w:tabs>
              <w:spacing w:line="360" w:lineRule="auto"/>
              <w:rPr>
                <w:rFonts w:ascii="宋体" w:hAnsi="宋体" w:cs="宋体"/>
                <w:sz w:val="24"/>
                <w:szCs w:val="24"/>
              </w:rPr>
            </w:pPr>
            <w:r>
              <w:rPr>
                <w:rFonts w:hint="eastAsia" w:ascii="宋体" w:hAnsi="宋体" w:cs="宋体"/>
                <w:sz w:val="24"/>
                <w:szCs w:val="24"/>
              </w:rPr>
              <w:t>具有专业的血流动力学辅助应用，能够图形化显示监测参数，体现参数之间的关系，提供目标治疗决策建议，提供抬腿试验辅助工具，提供心功能图指示，提供蛛网图参数跟踪。</w:t>
            </w:r>
          </w:p>
          <w:p>
            <w:pPr>
              <w:numPr>
                <w:ilvl w:val="0"/>
                <w:numId w:val="20"/>
              </w:numPr>
              <w:tabs>
                <w:tab w:val="left" w:pos="420"/>
              </w:tabs>
              <w:spacing w:line="360" w:lineRule="auto"/>
              <w:rPr>
                <w:rFonts w:ascii="宋体" w:hAnsi="宋体" w:cs="宋体"/>
                <w:sz w:val="24"/>
                <w:szCs w:val="24"/>
              </w:rPr>
            </w:pPr>
            <w:r>
              <w:rPr>
                <w:rFonts w:hint="eastAsia" w:ascii="宋体" w:hAnsi="宋体" w:cs="宋体"/>
                <w:sz w:val="24"/>
                <w:szCs w:val="24"/>
              </w:rPr>
              <w:t>提供心肌缺血评估工具，可以快速查看ST值的变化</w:t>
            </w:r>
          </w:p>
          <w:p>
            <w:pPr>
              <w:numPr>
                <w:ilvl w:val="0"/>
                <w:numId w:val="20"/>
              </w:numPr>
              <w:tabs>
                <w:tab w:val="left" w:pos="420"/>
              </w:tabs>
              <w:spacing w:line="360" w:lineRule="auto"/>
              <w:rPr>
                <w:rFonts w:ascii="宋体" w:hAnsi="宋体" w:cs="宋体"/>
                <w:sz w:val="24"/>
                <w:szCs w:val="24"/>
              </w:rPr>
            </w:pPr>
            <w:r>
              <w:rPr>
                <w:rFonts w:hint="eastAsia" w:ascii="宋体" w:hAnsi="宋体" w:cs="宋体"/>
                <w:sz w:val="24"/>
                <w:szCs w:val="24"/>
              </w:rPr>
              <w:t>支持升级脓毒症筛查工具，以及满足2012 SSC指南和Sepsis3.0的治疗建议检查清单，并提供治疗建议。</w:t>
            </w:r>
          </w:p>
          <w:p>
            <w:pPr>
              <w:numPr>
                <w:ilvl w:val="0"/>
                <w:numId w:val="20"/>
              </w:numPr>
              <w:tabs>
                <w:tab w:val="left" w:pos="420"/>
              </w:tabs>
              <w:spacing w:line="360" w:lineRule="auto"/>
              <w:rPr>
                <w:rFonts w:ascii="宋体" w:hAnsi="宋体" w:cs="宋体"/>
                <w:sz w:val="24"/>
                <w:szCs w:val="24"/>
              </w:rPr>
            </w:pPr>
            <w:r>
              <w:rPr>
                <w:rFonts w:hint="eastAsia" w:ascii="宋体" w:hAnsi="宋体" w:cs="宋体"/>
                <w:sz w:val="24"/>
                <w:szCs w:val="24"/>
              </w:rPr>
              <w:t>支持升级早期预警评分功能，并提供用户自定义评分协议的能力</w:t>
            </w:r>
          </w:p>
          <w:p>
            <w:pPr>
              <w:numPr>
                <w:ilvl w:val="0"/>
                <w:numId w:val="20"/>
              </w:numPr>
              <w:tabs>
                <w:tab w:val="left" w:pos="420"/>
              </w:tabs>
              <w:spacing w:line="360" w:lineRule="auto"/>
              <w:rPr>
                <w:rFonts w:ascii="宋体" w:hAnsi="宋体" w:cs="宋体"/>
                <w:sz w:val="24"/>
                <w:szCs w:val="24"/>
              </w:rPr>
            </w:pPr>
            <w:r>
              <w:rPr>
                <w:rFonts w:hint="eastAsia" w:ascii="宋体" w:hAnsi="宋体" w:cs="宋体"/>
                <w:sz w:val="24"/>
                <w:szCs w:val="24"/>
              </w:rPr>
              <w:t>具备趋势共存界面、呼吸氧合图界面，大字体显示界面，及标准显示界面等多种显示界面</w:t>
            </w:r>
          </w:p>
          <w:p>
            <w:pPr>
              <w:widowControl/>
              <w:jc w:val="left"/>
              <w:rPr>
                <w:rFonts w:ascii="宋体" w:hAnsi="宋体" w:cs="宋体"/>
                <w:color w:val="FF0000"/>
                <w:kern w:val="0"/>
                <w:sz w:val="24"/>
                <w:szCs w:val="24"/>
              </w:rPr>
            </w:pPr>
          </w:p>
        </w:tc>
        <w:tc>
          <w:tcPr>
            <w:tcW w:w="94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left"/>
              <w:rPr>
                <w:rFonts w:ascii="宋体" w:hAnsi="宋体" w:cs="宋体"/>
                <w:color w:val="FF0000"/>
                <w:kern w:val="0"/>
                <w:sz w:val="24"/>
                <w:szCs w:val="24"/>
              </w:rPr>
            </w:pPr>
            <w:r>
              <w:rPr>
                <w:rFonts w:hint="eastAsia" w:ascii="宋体" w:hAnsi="宋体" w:cs="宋体"/>
                <w:kern w:val="0"/>
                <w:sz w:val="24"/>
                <w:szCs w:val="24"/>
              </w:rPr>
              <w:t>1</w:t>
            </w:r>
          </w:p>
        </w:tc>
        <w:tc>
          <w:tcPr>
            <w:tcW w:w="1843"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right"/>
              <w:rPr>
                <w:rFonts w:ascii="宋体" w:hAnsi="宋体" w:cs="宋体"/>
                <w:color w:val="000000"/>
                <w:kern w:val="0"/>
                <w:sz w:val="24"/>
                <w:szCs w:val="24"/>
              </w:rPr>
            </w:pPr>
            <w:r>
              <w:rPr>
                <w:rFonts w:ascii="宋体" w:hAnsi="宋体"/>
                <w:sz w:val="24"/>
                <w:szCs w:val="24"/>
              </w:rPr>
              <w:drawing>
                <wp:inline distT="0" distB="0" distL="114300" distR="114300">
                  <wp:extent cx="924560" cy="617220"/>
                  <wp:effectExtent l="0" t="0" r="8890" b="0"/>
                  <wp:docPr id="6" name="图片 6" descr="N15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15 Front"/>
                          <pic:cNvPicPr>
                            <a:picLocks noChangeAspect="1"/>
                          </pic:cNvPicPr>
                        </pic:nvPicPr>
                        <pic:blipFill>
                          <a:blip r:embed="rId8"/>
                          <a:stretch>
                            <a:fillRect/>
                          </a:stretch>
                        </pic:blipFill>
                        <pic:spPr>
                          <a:xfrm>
                            <a:off x="0" y="0"/>
                            <a:ext cx="930207" cy="620796"/>
                          </a:xfrm>
                          <a:prstGeom prst="rect">
                            <a:avLst/>
                          </a:prstGeom>
                        </pic:spPr>
                      </pic:pic>
                    </a:graphicData>
                  </a:graphic>
                </wp:inline>
              </w:drawing>
            </w:r>
          </w:p>
        </w:tc>
        <w:tc>
          <w:tcPr>
            <w:tcW w:w="636"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tcPr>
          <w:p>
            <w:pPr>
              <w:widowControl/>
              <w:jc w:val="left"/>
              <w:rPr>
                <w:rFonts w:ascii="宋体" w:hAnsi="宋体" w:cs="宋体"/>
                <w:color w:val="000000"/>
                <w:kern w:val="0"/>
                <w:sz w:val="24"/>
                <w:szCs w:val="24"/>
              </w:rPr>
            </w:pPr>
          </w:p>
        </w:tc>
      </w:tr>
    </w:tbl>
    <w:p>
      <w:pPr>
        <w:rPr>
          <w:b/>
          <w:color w:val="FF0000"/>
        </w:rPr>
      </w:pPr>
    </w:p>
    <w:p>
      <w:pPr>
        <w:rPr>
          <w:rFonts w:hint="eastAsia" w:ascii="宋体" w:hAnsi="宋体"/>
          <w:b/>
          <w:szCs w:val="24"/>
        </w:rPr>
      </w:pPr>
      <w:r>
        <w:rPr>
          <w:rFonts w:hint="eastAsia"/>
          <w:color w:val="FF0000"/>
        </w:rPr>
        <w:t>备注：</w:t>
      </w:r>
      <w:r>
        <w:rPr>
          <w:lang w:val="zh-CN"/>
        </w:rPr>
        <w:t xml:space="preserve"> </w:t>
      </w:r>
      <w:r>
        <w:rPr>
          <w:rFonts w:ascii="宋体" w:hAnsi="宋体"/>
          <w:b/>
          <w:szCs w:val="24"/>
        </w:rPr>
        <w:t>1</w:t>
      </w:r>
      <w:r>
        <w:rPr>
          <w:rFonts w:hint="eastAsia" w:ascii="宋体" w:hAnsi="宋体"/>
          <w:b/>
          <w:szCs w:val="24"/>
        </w:rPr>
        <w:t>.项目技术要求和有关说明里的品牌、规格型号只是参考,投标供应商在投标时所投的品牌、规格型号、技术参数不低于项目技术要求和有关说明里的技术参数，如低于项目技术要求和有关说明里的技术参数作废标处理。</w:t>
      </w:r>
    </w:p>
    <w:p>
      <w:pPr>
        <w:rPr>
          <w:rFonts w:hint="default" w:ascii="宋体" w:hAnsi="宋体" w:eastAsia="宋体"/>
          <w:b/>
          <w:color w:val="FF0000"/>
          <w:szCs w:val="24"/>
          <w:lang w:val="en-US" w:eastAsia="zh-CN"/>
        </w:rPr>
      </w:pPr>
      <w:r>
        <w:rPr>
          <w:rFonts w:hint="eastAsia" w:ascii="宋体" w:hAnsi="宋体"/>
          <w:b/>
          <w:szCs w:val="24"/>
          <w:lang w:val="en-US" w:eastAsia="zh-CN"/>
        </w:rPr>
        <w:t xml:space="preserve">    </w:t>
      </w:r>
      <w:r>
        <w:rPr>
          <w:rFonts w:hint="eastAsia" w:ascii="宋体" w:hAnsi="宋体"/>
          <w:b/>
          <w:color w:val="FF0000"/>
          <w:szCs w:val="24"/>
          <w:lang w:val="en-US" w:eastAsia="zh-CN"/>
        </w:rPr>
        <w:t xml:space="preserve">   2.所投所有设备完整台套必须保证9月24日有现货到校验收。</w:t>
      </w:r>
    </w:p>
    <w:p>
      <w:pPr>
        <w:rPr>
          <w:color w:val="FF0000"/>
          <w:lang w:val="zh-CN"/>
        </w:rPr>
      </w:pPr>
    </w:p>
    <w:p>
      <w:pPr>
        <w:rPr>
          <w:color w:val="FF0000"/>
        </w:rPr>
      </w:pPr>
    </w:p>
    <w:p>
      <w:pPr>
        <w:rPr>
          <w:lang w:val="zh-CN"/>
        </w:rPr>
      </w:pPr>
    </w:p>
    <w:p>
      <w:pPr>
        <w:rPr>
          <w:lang w:val="zh-CN"/>
        </w:rPr>
      </w:pPr>
    </w:p>
    <w:p>
      <w:pPr>
        <w:pStyle w:val="2"/>
        <w:jc w:val="center"/>
      </w:pPr>
      <w:r>
        <w:rPr>
          <w:rFonts w:hint="eastAsia"/>
        </w:rPr>
        <w:t>第四章 合同条款</w:t>
      </w:r>
    </w:p>
    <w:p>
      <w:pPr>
        <w:ind w:firstLine="480" w:firstLineChars="200"/>
        <w:rPr>
          <w:sz w:val="24"/>
          <w:szCs w:val="24"/>
        </w:rPr>
      </w:pPr>
      <w:r>
        <w:rPr>
          <w:rFonts w:hint="eastAsia"/>
          <w:sz w:val="24"/>
          <w:szCs w:val="24"/>
        </w:rPr>
        <w:t>项目编号：</w:t>
      </w:r>
      <w:r>
        <w:rPr>
          <w:sz w:val="24"/>
          <w:szCs w:val="24"/>
        </w:rPr>
        <w:t xml:space="preserve"> </w:t>
      </w:r>
    </w:p>
    <w:p>
      <w:pPr>
        <w:ind w:firstLine="480" w:firstLineChars="200"/>
        <w:rPr>
          <w:sz w:val="24"/>
          <w:szCs w:val="24"/>
        </w:rPr>
      </w:pPr>
      <w:r>
        <w:rPr>
          <w:rFonts w:hint="eastAsia"/>
          <w:sz w:val="24"/>
          <w:szCs w:val="24"/>
        </w:rPr>
        <w:t xml:space="preserve">项目名称： </w:t>
      </w:r>
    </w:p>
    <w:p>
      <w:pPr>
        <w:ind w:firstLine="480" w:firstLineChars="200"/>
        <w:rPr>
          <w:sz w:val="24"/>
          <w:szCs w:val="24"/>
        </w:rPr>
      </w:pPr>
      <w:r>
        <w:rPr>
          <w:rFonts w:hint="eastAsia"/>
          <w:sz w:val="24"/>
          <w:szCs w:val="24"/>
        </w:rPr>
        <w:t xml:space="preserve">采购人：（以下简称甲方） </w:t>
      </w:r>
      <w:r>
        <w:rPr>
          <w:sz w:val="24"/>
          <w:szCs w:val="24"/>
        </w:rPr>
        <w:t xml:space="preserve">       </w:t>
      </w:r>
      <w:r>
        <w:rPr>
          <w:rFonts w:hint="eastAsia"/>
          <w:sz w:val="24"/>
          <w:szCs w:val="24"/>
        </w:rPr>
        <w:t xml:space="preserve"> 供应商：（以下简称乙方）</w:t>
      </w:r>
    </w:p>
    <w:p>
      <w:pPr>
        <w:ind w:firstLine="480" w:firstLineChars="200"/>
        <w:rPr>
          <w:sz w:val="24"/>
          <w:szCs w:val="24"/>
        </w:rPr>
      </w:pPr>
      <w:r>
        <w:rPr>
          <w:rFonts w:hint="eastAsia"/>
          <w:sz w:val="24"/>
          <w:szCs w:val="24"/>
        </w:rPr>
        <w:t xml:space="preserve">住所地： </w:t>
      </w:r>
      <w:r>
        <w:rPr>
          <w:sz w:val="24"/>
          <w:szCs w:val="24"/>
        </w:rPr>
        <w:t xml:space="preserve">                       </w:t>
      </w:r>
      <w:r>
        <w:rPr>
          <w:rFonts w:hint="eastAsia"/>
          <w:sz w:val="24"/>
          <w:szCs w:val="24"/>
        </w:rPr>
        <w:t>住所地：</w:t>
      </w:r>
    </w:p>
    <w:p>
      <w:pPr>
        <w:ind w:firstLine="480" w:firstLineChars="200"/>
        <w:rPr>
          <w:sz w:val="24"/>
          <w:szCs w:val="24"/>
        </w:rPr>
      </w:pPr>
      <w:r>
        <w:rPr>
          <w:rFonts w:hint="eastAsia"/>
          <w:sz w:val="24"/>
          <w:szCs w:val="24"/>
        </w:rPr>
        <w:t>根据《中华人民共和国政府采购法》、《中华人民共和国合同法》等法律法规的规定，甲乙双方按照采购结果签订本合同。</w:t>
      </w:r>
    </w:p>
    <w:p>
      <w:pPr>
        <w:ind w:firstLine="482" w:firstLineChars="200"/>
        <w:rPr>
          <w:sz w:val="24"/>
          <w:szCs w:val="24"/>
        </w:rPr>
      </w:pPr>
      <w:r>
        <w:rPr>
          <w:rFonts w:hint="eastAsia"/>
          <w:b/>
          <w:sz w:val="24"/>
          <w:szCs w:val="24"/>
        </w:rPr>
        <w:t>第一条 合同标的</w:t>
      </w:r>
      <w:r>
        <w:rPr>
          <w:rFonts w:hint="eastAsia"/>
          <w:sz w:val="24"/>
          <w:szCs w:val="24"/>
        </w:rPr>
        <w:t xml:space="preserve"> </w:t>
      </w:r>
    </w:p>
    <w:p>
      <w:pPr>
        <w:ind w:firstLine="480" w:firstLineChars="200"/>
        <w:rPr>
          <w:sz w:val="24"/>
          <w:szCs w:val="24"/>
        </w:rPr>
      </w:pPr>
      <w:r>
        <w:rPr>
          <w:rFonts w:hint="eastAsia"/>
          <w:sz w:val="24"/>
          <w:szCs w:val="24"/>
        </w:rPr>
        <w:t>乙方根据甲方需求提供下列货物：</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993"/>
        <w:gridCol w:w="1134"/>
        <w:gridCol w:w="1275"/>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rPr>
                <w:sz w:val="24"/>
                <w:szCs w:val="24"/>
              </w:rPr>
            </w:pPr>
            <w:r>
              <w:rPr>
                <w:rFonts w:hint="eastAsia"/>
                <w:sz w:val="24"/>
                <w:szCs w:val="24"/>
              </w:rPr>
              <w:t>序号</w:t>
            </w:r>
          </w:p>
        </w:tc>
        <w:tc>
          <w:tcPr>
            <w:tcW w:w="992" w:type="dxa"/>
            <w:shd w:val="clear" w:color="auto" w:fill="auto"/>
          </w:tcPr>
          <w:p>
            <w:pPr>
              <w:rPr>
                <w:sz w:val="24"/>
                <w:szCs w:val="24"/>
              </w:rPr>
            </w:pPr>
            <w:r>
              <w:rPr>
                <w:rFonts w:hint="eastAsia"/>
                <w:sz w:val="24"/>
                <w:szCs w:val="24"/>
              </w:rPr>
              <w:t>名称</w:t>
            </w:r>
          </w:p>
        </w:tc>
        <w:tc>
          <w:tcPr>
            <w:tcW w:w="993" w:type="dxa"/>
            <w:shd w:val="clear" w:color="auto" w:fill="auto"/>
          </w:tcPr>
          <w:p>
            <w:pPr>
              <w:rPr>
                <w:sz w:val="24"/>
                <w:szCs w:val="24"/>
              </w:rPr>
            </w:pPr>
            <w:r>
              <w:rPr>
                <w:rFonts w:hint="eastAsia"/>
                <w:sz w:val="24"/>
                <w:szCs w:val="24"/>
              </w:rPr>
              <w:t>数量</w:t>
            </w:r>
          </w:p>
        </w:tc>
        <w:tc>
          <w:tcPr>
            <w:tcW w:w="1134" w:type="dxa"/>
            <w:shd w:val="clear" w:color="auto" w:fill="auto"/>
          </w:tcPr>
          <w:p>
            <w:pPr>
              <w:rPr>
                <w:sz w:val="24"/>
                <w:szCs w:val="24"/>
              </w:rPr>
            </w:pPr>
            <w:r>
              <w:rPr>
                <w:rFonts w:hint="eastAsia"/>
                <w:sz w:val="24"/>
                <w:szCs w:val="24"/>
              </w:rPr>
              <w:t>单位</w:t>
            </w:r>
          </w:p>
        </w:tc>
        <w:tc>
          <w:tcPr>
            <w:tcW w:w="1275" w:type="dxa"/>
            <w:shd w:val="clear" w:color="auto" w:fill="auto"/>
          </w:tcPr>
          <w:p>
            <w:pPr>
              <w:rPr>
                <w:sz w:val="24"/>
                <w:szCs w:val="24"/>
              </w:rPr>
            </w:pPr>
            <w:r>
              <w:rPr>
                <w:rFonts w:hint="eastAsia"/>
                <w:sz w:val="24"/>
                <w:szCs w:val="24"/>
              </w:rPr>
              <w:t>产品标识</w:t>
            </w:r>
          </w:p>
        </w:tc>
        <w:tc>
          <w:tcPr>
            <w:tcW w:w="1843" w:type="dxa"/>
            <w:shd w:val="clear" w:color="auto" w:fill="auto"/>
          </w:tcPr>
          <w:p>
            <w:pPr>
              <w:rPr>
                <w:sz w:val="24"/>
                <w:szCs w:val="24"/>
              </w:rPr>
            </w:pPr>
            <w:r>
              <w:rPr>
                <w:rFonts w:hint="eastAsia"/>
                <w:sz w:val="24"/>
                <w:szCs w:val="24"/>
              </w:rPr>
              <w:t>是否接受进口</w:t>
            </w:r>
          </w:p>
        </w:tc>
        <w:tc>
          <w:tcPr>
            <w:tcW w:w="1843" w:type="dxa"/>
          </w:tcPr>
          <w:p>
            <w:pPr>
              <w:rPr>
                <w:sz w:val="24"/>
                <w:szCs w:val="24"/>
              </w:rPr>
            </w:pPr>
            <w:r>
              <w:rPr>
                <w:rFonts w:hint="eastAsia"/>
                <w:sz w:val="24"/>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rPr>
                <w:sz w:val="24"/>
                <w:szCs w:val="24"/>
              </w:rPr>
            </w:pPr>
          </w:p>
        </w:tc>
        <w:tc>
          <w:tcPr>
            <w:tcW w:w="992" w:type="dxa"/>
            <w:shd w:val="clear" w:color="auto" w:fill="auto"/>
          </w:tcPr>
          <w:p>
            <w:pPr>
              <w:rPr>
                <w:sz w:val="24"/>
                <w:szCs w:val="24"/>
              </w:rPr>
            </w:pPr>
          </w:p>
        </w:tc>
        <w:tc>
          <w:tcPr>
            <w:tcW w:w="993" w:type="dxa"/>
            <w:shd w:val="clear" w:color="auto" w:fill="auto"/>
          </w:tcPr>
          <w:p>
            <w:pPr>
              <w:rPr>
                <w:sz w:val="24"/>
                <w:szCs w:val="24"/>
              </w:rPr>
            </w:pPr>
          </w:p>
        </w:tc>
        <w:tc>
          <w:tcPr>
            <w:tcW w:w="1134" w:type="dxa"/>
            <w:shd w:val="clear" w:color="auto" w:fill="auto"/>
          </w:tcPr>
          <w:p>
            <w:pPr>
              <w:rPr>
                <w:sz w:val="24"/>
                <w:szCs w:val="24"/>
              </w:rPr>
            </w:pPr>
          </w:p>
        </w:tc>
        <w:tc>
          <w:tcPr>
            <w:tcW w:w="1275" w:type="dxa"/>
            <w:shd w:val="clear" w:color="auto" w:fill="auto"/>
          </w:tcPr>
          <w:p>
            <w:pPr>
              <w:rPr>
                <w:sz w:val="24"/>
                <w:szCs w:val="24"/>
              </w:rPr>
            </w:pPr>
          </w:p>
        </w:tc>
        <w:tc>
          <w:tcPr>
            <w:tcW w:w="1843" w:type="dxa"/>
            <w:shd w:val="clear" w:color="auto" w:fill="auto"/>
          </w:tcPr>
          <w:p>
            <w:pPr>
              <w:rPr>
                <w:sz w:val="24"/>
                <w:szCs w:val="24"/>
              </w:rPr>
            </w:pPr>
          </w:p>
        </w:tc>
        <w:tc>
          <w:tcPr>
            <w:tcW w:w="1843"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rPr>
                <w:sz w:val="24"/>
                <w:szCs w:val="24"/>
              </w:rPr>
            </w:pPr>
          </w:p>
        </w:tc>
        <w:tc>
          <w:tcPr>
            <w:tcW w:w="992" w:type="dxa"/>
            <w:shd w:val="clear" w:color="auto" w:fill="auto"/>
          </w:tcPr>
          <w:p>
            <w:pPr>
              <w:rPr>
                <w:sz w:val="24"/>
                <w:szCs w:val="24"/>
              </w:rPr>
            </w:pPr>
          </w:p>
        </w:tc>
        <w:tc>
          <w:tcPr>
            <w:tcW w:w="993" w:type="dxa"/>
            <w:shd w:val="clear" w:color="auto" w:fill="auto"/>
          </w:tcPr>
          <w:p>
            <w:pPr>
              <w:rPr>
                <w:sz w:val="24"/>
                <w:szCs w:val="24"/>
              </w:rPr>
            </w:pPr>
          </w:p>
        </w:tc>
        <w:tc>
          <w:tcPr>
            <w:tcW w:w="1134" w:type="dxa"/>
            <w:shd w:val="clear" w:color="auto" w:fill="auto"/>
          </w:tcPr>
          <w:p>
            <w:pPr>
              <w:rPr>
                <w:sz w:val="24"/>
                <w:szCs w:val="24"/>
              </w:rPr>
            </w:pPr>
          </w:p>
        </w:tc>
        <w:tc>
          <w:tcPr>
            <w:tcW w:w="1275" w:type="dxa"/>
            <w:shd w:val="clear" w:color="auto" w:fill="auto"/>
          </w:tcPr>
          <w:p>
            <w:pPr>
              <w:rPr>
                <w:sz w:val="24"/>
                <w:szCs w:val="24"/>
              </w:rPr>
            </w:pPr>
          </w:p>
        </w:tc>
        <w:tc>
          <w:tcPr>
            <w:tcW w:w="1843" w:type="dxa"/>
            <w:shd w:val="clear" w:color="auto" w:fill="auto"/>
          </w:tcPr>
          <w:p>
            <w:pPr>
              <w:rPr>
                <w:sz w:val="24"/>
                <w:szCs w:val="24"/>
              </w:rPr>
            </w:pPr>
          </w:p>
        </w:tc>
        <w:tc>
          <w:tcPr>
            <w:tcW w:w="1843"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rPr>
                <w:sz w:val="24"/>
                <w:szCs w:val="24"/>
              </w:rPr>
            </w:pPr>
          </w:p>
        </w:tc>
        <w:tc>
          <w:tcPr>
            <w:tcW w:w="992" w:type="dxa"/>
            <w:shd w:val="clear" w:color="auto" w:fill="auto"/>
          </w:tcPr>
          <w:p>
            <w:pPr>
              <w:rPr>
                <w:sz w:val="24"/>
                <w:szCs w:val="24"/>
              </w:rPr>
            </w:pPr>
          </w:p>
        </w:tc>
        <w:tc>
          <w:tcPr>
            <w:tcW w:w="993" w:type="dxa"/>
            <w:shd w:val="clear" w:color="auto" w:fill="auto"/>
          </w:tcPr>
          <w:p>
            <w:pPr>
              <w:rPr>
                <w:sz w:val="24"/>
                <w:szCs w:val="24"/>
              </w:rPr>
            </w:pPr>
          </w:p>
        </w:tc>
        <w:tc>
          <w:tcPr>
            <w:tcW w:w="1134" w:type="dxa"/>
            <w:shd w:val="clear" w:color="auto" w:fill="auto"/>
          </w:tcPr>
          <w:p>
            <w:pPr>
              <w:rPr>
                <w:sz w:val="24"/>
                <w:szCs w:val="24"/>
              </w:rPr>
            </w:pPr>
          </w:p>
        </w:tc>
        <w:tc>
          <w:tcPr>
            <w:tcW w:w="1275" w:type="dxa"/>
            <w:shd w:val="clear" w:color="auto" w:fill="auto"/>
          </w:tcPr>
          <w:p>
            <w:pPr>
              <w:rPr>
                <w:sz w:val="24"/>
                <w:szCs w:val="24"/>
              </w:rPr>
            </w:pPr>
          </w:p>
        </w:tc>
        <w:tc>
          <w:tcPr>
            <w:tcW w:w="1843" w:type="dxa"/>
            <w:shd w:val="clear" w:color="auto" w:fill="auto"/>
          </w:tcPr>
          <w:p>
            <w:pPr>
              <w:rPr>
                <w:sz w:val="24"/>
                <w:szCs w:val="24"/>
              </w:rPr>
            </w:pPr>
          </w:p>
        </w:tc>
        <w:tc>
          <w:tcPr>
            <w:tcW w:w="1843" w:type="dxa"/>
          </w:tcPr>
          <w:p>
            <w:pPr>
              <w:rPr>
                <w:sz w:val="24"/>
                <w:szCs w:val="24"/>
              </w:rPr>
            </w:pPr>
          </w:p>
        </w:tc>
      </w:tr>
    </w:tbl>
    <w:p>
      <w:pPr>
        <w:ind w:firstLine="482" w:firstLineChars="200"/>
        <w:rPr>
          <w:b/>
          <w:sz w:val="24"/>
          <w:szCs w:val="24"/>
        </w:rPr>
      </w:pPr>
      <w:r>
        <w:rPr>
          <w:rFonts w:hint="eastAsia"/>
          <w:b/>
          <w:sz w:val="24"/>
          <w:szCs w:val="24"/>
        </w:rPr>
        <w:t xml:space="preserve">第二条 合同总价款 </w:t>
      </w:r>
    </w:p>
    <w:p>
      <w:pPr>
        <w:ind w:firstLine="480" w:firstLineChars="200"/>
        <w:rPr>
          <w:sz w:val="24"/>
          <w:szCs w:val="24"/>
        </w:rPr>
      </w:pPr>
      <w:r>
        <w:rPr>
          <w:rFonts w:hint="eastAsia"/>
          <w:sz w:val="24"/>
          <w:szCs w:val="24"/>
        </w:rPr>
        <w:t>本合同项下货物总价款为 （大写）人民币，分项价款在“投标报价表”中有明确规定。   </w:t>
      </w:r>
    </w:p>
    <w:p>
      <w:pPr>
        <w:ind w:firstLine="480" w:firstLineChars="200"/>
        <w:rPr>
          <w:sz w:val="24"/>
          <w:szCs w:val="24"/>
        </w:rPr>
      </w:pPr>
      <w:r>
        <w:rPr>
          <w:rFonts w:hint="eastAsia"/>
          <w:sz w:val="24"/>
          <w:szCs w:val="24"/>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ind w:firstLine="480" w:firstLineChars="200"/>
        <w:rPr>
          <w:sz w:val="24"/>
          <w:szCs w:val="24"/>
        </w:rPr>
      </w:pPr>
      <w:r>
        <w:rPr>
          <w:rFonts w:hint="eastAsia"/>
          <w:sz w:val="24"/>
          <w:szCs w:val="24"/>
        </w:rPr>
        <w:t>本合同总价款还包含乙方应当提供的伴随服务/售后服务费用。</w:t>
      </w:r>
    </w:p>
    <w:p>
      <w:pPr>
        <w:ind w:firstLine="480" w:firstLineChars="200"/>
        <w:rPr>
          <w:sz w:val="24"/>
          <w:szCs w:val="24"/>
        </w:rPr>
      </w:pPr>
      <w:r>
        <w:rPr>
          <w:rFonts w:hint="eastAsia"/>
          <w:sz w:val="24"/>
          <w:szCs w:val="24"/>
        </w:rPr>
        <w:t>本合同执行期间合同总价款不变。</w:t>
      </w:r>
    </w:p>
    <w:p>
      <w:pPr>
        <w:ind w:firstLine="482" w:firstLineChars="200"/>
        <w:rPr>
          <w:sz w:val="24"/>
          <w:szCs w:val="24"/>
        </w:rPr>
      </w:pPr>
      <w:r>
        <w:rPr>
          <w:rFonts w:hint="eastAsia"/>
          <w:b/>
          <w:sz w:val="24"/>
          <w:szCs w:val="24"/>
        </w:rPr>
        <w:t>第三条 组成本合同的有关文件</w:t>
      </w:r>
      <w:r>
        <w:rPr>
          <w:rFonts w:hint="eastAsia"/>
          <w:sz w:val="24"/>
          <w:szCs w:val="24"/>
        </w:rPr>
        <w:t xml:space="preserve"> </w:t>
      </w:r>
    </w:p>
    <w:p>
      <w:pPr>
        <w:ind w:firstLine="480" w:firstLineChars="200"/>
        <w:rPr>
          <w:sz w:val="24"/>
          <w:szCs w:val="24"/>
        </w:rPr>
      </w:pPr>
      <w:r>
        <w:rPr>
          <w:rFonts w:hint="eastAsia"/>
          <w:sz w:val="24"/>
          <w:szCs w:val="24"/>
        </w:rPr>
        <w:t>下列关于泰州职业技术学院医学技术学院护理实训中心急救仪器设备采购文件或与本次采购活动相适应的文件及有关附件是本合同不可分割的组成部分，与本合同具有同等法律效力，这些文件包括但不限于：</w:t>
      </w:r>
    </w:p>
    <w:p>
      <w:pPr>
        <w:ind w:firstLine="480" w:firstLineChars="200"/>
        <w:rPr>
          <w:sz w:val="24"/>
          <w:szCs w:val="24"/>
        </w:rPr>
      </w:pPr>
      <w:r>
        <w:rPr>
          <w:rFonts w:hint="eastAsia"/>
          <w:sz w:val="24"/>
          <w:szCs w:val="24"/>
        </w:rPr>
        <w:t>（1）乙方提供的响应文件和报价表；</w:t>
      </w:r>
    </w:p>
    <w:p>
      <w:pPr>
        <w:ind w:firstLine="480" w:firstLineChars="200"/>
        <w:rPr>
          <w:sz w:val="24"/>
          <w:szCs w:val="24"/>
        </w:rPr>
      </w:pPr>
      <w:r>
        <w:rPr>
          <w:rFonts w:hint="eastAsia"/>
          <w:sz w:val="24"/>
          <w:szCs w:val="24"/>
        </w:rPr>
        <w:t>（2）供货一览表；</w:t>
      </w:r>
    </w:p>
    <w:p>
      <w:pPr>
        <w:ind w:firstLine="480" w:firstLineChars="200"/>
        <w:rPr>
          <w:sz w:val="24"/>
          <w:szCs w:val="24"/>
        </w:rPr>
      </w:pPr>
      <w:r>
        <w:rPr>
          <w:rFonts w:hint="eastAsia"/>
          <w:sz w:val="24"/>
          <w:szCs w:val="24"/>
        </w:rPr>
        <w:t>（3）交货一览表；</w:t>
      </w:r>
    </w:p>
    <w:p>
      <w:pPr>
        <w:ind w:firstLine="480" w:firstLineChars="200"/>
        <w:rPr>
          <w:sz w:val="24"/>
          <w:szCs w:val="24"/>
        </w:rPr>
      </w:pPr>
      <w:r>
        <w:rPr>
          <w:rFonts w:hint="eastAsia"/>
          <w:sz w:val="24"/>
          <w:szCs w:val="24"/>
        </w:rPr>
        <w:t>（4）采购需求响应表；</w:t>
      </w:r>
    </w:p>
    <w:p>
      <w:pPr>
        <w:ind w:firstLine="480" w:firstLineChars="200"/>
        <w:rPr>
          <w:sz w:val="24"/>
          <w:szCs w:val="24"/>
        </w:rPr>
      </w:pPr>
      <w:r>
        <w:rPr>
          <w:rFonts w:hint="eastAsia"/>
          <w:sz w:val="24"/>
          <w:szCs w:val="24"/>
        </w:rPr>
        <w:t>（5）乙方承诺；</w:t>
      </w:r>
    </w:p>
    <w:p>
      <w:pPr>
        <w:ind w:firstLine="480" w:firstLineChars="200"/>
        <w:rPr>
          <w:sz w:val="24"/>
          <w:szCs w:val="24"/>
        </w:rPr>
      </w:pPr>
      <w:r>
        <w:rPr>
          <w:rFonts w:hint="eastAsia"/>
          <w:sz w:val="24"/>
          <w:szCs w:val="24"/>
        </w:rPr>
        <w:t>（6）服务承诺；</w:t>
      </w:r>
    </w:p>
    <w:p>
      <w:pPr>
        <w:ind w:firstLine="480" w:firstLineChars="200"/>
        <w:rPr>
          <w:sz w:val="24"/>
          <w:szCs w:val="24"/>
        </w:rPr>
      </w:pPr>
      <w:r>
        <w:rPr>
          <w:rFonts w:hint="eastAsia"/>
          <w:sz w:val="24"/>
          <w:szCs w:val="24"/>
        </w:rPr>
        <w:t>（7）成交通知书；</w:t>
      </w:r>
    </w:p>
    <w:p>
      <w:pPr>
        <w:ind w:firstLine="480" w:firstLineChars="200"/>
        <w:rPr>
          <w:sz w:val="24"/>
          <w:szCs w:val="24"/>
        </w:rPr>
      </w:pPr>
      <w:r>
        <w:rPr>
          <w:rFonts w:hint="eastAsia"/>
          <w:sz w:val="24"/>
          <w:szCs w:val="24"/>
        </w:rPr>
        <w:t>（8）甲乙双方商定的其他文件等。</w:t>
      </w:r>
    </w:p>
    <w:p>
      <w:pPr>
        <w:ind w:firstLine="482" w:firstLineChars="200"/>
        <w:rPr>
          <w:b/>
          <w:sz w:val="24"/>
          <w:szCs w:val="24"/>
        </w:rPr>
      </w:pPr>
      <w:r>
        <w:rPr>
          <w:rFonts w:hint="eastAsia"/>
          <w:b/>
          <w:sz w:val="24"/>
          <w:szCs w:val="24"/>
        </w:rPr>
        <w:t>第四条 权利保证</w:t>
      </w:r>
    </w:p>
    <w:p>
      <w:pPr>
        <w:ind w:firstLine="480" w:firstLineChars="200"/>
        <w:rPr>
          <w:sz w:val="24"/>
          <w:szCs w:val="24"/>
        </w:rPr>
      </w:pPr>
      <w:r>
        <w:rPr>
          <w:rFonts w:hint="eastAsia"/>
          <w:sz w:val="24"/>
          <w:szCs w:val="24"/>
        </w:rPr>
        <w:t>乙方应保证甲方在使用该货物或其任何一部分时不受第三方提出侵犯其专利权、版权、商标权或其他权利的起诉。一旦出现侵权，乙方应承担全部责任。</w:t>
      </w:r>
    </w:p>
    <w:p>
      <w:pPr>
        <w:ind w:firstLine="482" w:firstLineChars="200"/>
        <w:rPr>
          <w:b/>
          <w:sz w:val="24"/>
          <w:szCs w:val="24"/>
        </w:rPr>
      </w:pPr>
      <w:r>
        <w:rPr>
          <w:rFonts w:hint="eastAsia"/>
          <w:b/>
          <w:sz w:val="24"/>
          <w:szCs w:val="24"/>
        </w:rPr>
        <w:t>第五条 质量保证</w:t>
      </w:r>
    </w:p>
    <w:p>
      <w:pPr>
        <w:ind w:firstLine="480" w:firstLineChars="200"/>
        <w:rPr>
          <w:sz w:val="24"/>
          <w:szCs w:val="24"/>
        </w:rPr>
      </w:pPr>
      <w:r>
        <w:rPr>
          <w:rFonts w:hint="eastAsia"/>
          <w:sz w:val="24"/>
          <w:szCs w:val="24"/>
        </w:rPr>
        <w:t>1、乙方所提供的货物的技术规格应与采购文件规定的技术规格及所附的“技术规格响应表”相一致；若技术性能无特殊说明，则按国家有关部门最新颁布的标准及规范为准。</w:t>
      </w:r>
    </w:p>
    <w:p>
      <w:pPr>
        <w:ind w:firstLine="480" w:firstLineChars="200"/>
        <w:rPr>
          <w:sz w:val="24"/>
          <w:szCs w:val="24"/>
        </w:rPr>
      </w:pPr>
      <w:r>
        <w:rPr>
          <w:rFonts w:hint="eastAsia"/>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firstLine="480" w:firstLineChars="200"/>
        <w:rPr>
          <w:sz w:val="24"/>
          <w:szCs w:val="24"/>
        </w:rPr>
      </w:pPr>
      <w:r>
        <w:rPr>
          <w:rFonts w:hint="eastAsia"/>
          <w:sz w:val="24"/>
          <w:szCs w:val="24"/>
        </w:rPr>
        <w:t>3. 质量保证期为自验收合格后。</w:t>
      </w:r>
    </w:p>
    <w:p>
      <w:pPr>
        <w:ind w:firstLine="482" w:firstLineChars="200"/>
        <w:rPr>
          <w:b/>
          <w:sz w:val="24"/>
          <w:szCs w:val="24"/>
        </w:rPr>
      </w:pPr>
      <w:r>
        <w:rPr>
          <w:rFonts w:hint="eastAsia"/>
          <w:b/>
          <w:sz w:val="24"/>
          <w:szCs w:val="24"/>
        </w:rPr>
        <w:t>第六条 包装要求</w:t>
      </w:r>
    </w:p>
    <w:p>
      <w:pPr>
        <w:ind w:firstLine="480" w:firstLineChars="200"/>
        <w:rPr>
          <w:sz w:val="24"/>
          <w:szCs w:val="24"/>
        </w:rPr>
      </w:pPr>
      <w:r>
        <w:rPr>
          <w:rFonts w:hint="eastAsia"/>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firstLine="480" w:firstLineChars="200"/>
        <w:rPr>
          <w:sz w:val="24"/>
          <w:szCs w:val="24"/>
        </w:rPr>
      </w:pPr>
      <w:r>
        <w:rPr>
          <w:rFonts w:hint="eastAsia"/>
          <w:sz w:val="24"/>
          <w:szCs w:val="24"/>
        </w:rPr>
        <w:t>2、每一包装单元内应附详细的装箱单和质量合格凭证。</w:t>
      </w:r>
    </w:p>
    <w:p>
      <w:pPr>
        <w:ind w:firstLine="482" w:firstLineChars="200"/>
        <w:rPr>
          <w:b/>
          <w:sz w:val="24"/>
          <w:szCs w:val="24"/>
        </w:rPr>
      </w:pPr>
      <w:r>
        <w:rPr>
          <w:rFonts w:hint="eastAsia"/>
          <w:b/>
          <w:sz w:val="24"/>
          <w:szCs w:val="24"/>
        </w:rPr>
        <w:t>第七条 交货和验收</w:t>
      </w:r>
    </w:p>
    <w:p>
      <w:pPr>
        <w:ind w:firstLine="480" w:firstLineChars="200"/>
        <w:rPr>
          <w:color w:val="FF0000"/>
          <w:sz w:val="24"/>
          <w:szCs w:val="24"/>
        </w:rPr>
      </w:pPr>
      <w:r>
        <w:rPr>
          <w:rFonts w:hint="eastAsia"/>
          <w:color w:val="FF0000"/>
          <w:sz w:val="24"/>
          <w:szCs w:val="24"/>
        </w:rPr>
        <w:t>1、乙方应当在接到送货通知后</w:t>
      </w:r>
      <w:r>
        <w:rPr>
          <w:rFonts w:hint="eastAsia"/>
          <w:color w:val="FF0000"/>
          <w:sz w:val="24"/>
          <w:szCs w:val="24"/>
          <w:lang w:eastAsia="zh-CN"/>
        </w:rPr>
        <w:t>三天</w:t>
      </w:r>
      <w:r>
        <w:rPr>
          <w:rFonts w:hint="eastAsia"/>
          <w:color w:val="FF0000"/>
          <w:sz w:val="24"/>
          <w:szCs w:val="24"/>
        </w:rPr>
        <w:t>内送货到指定实验室。交货地点为</w:t>
      </w:r>
      <w:r>
        <w:rPr>
          <w:rFonts w:hint="eastAsia"/>
          <w:color w:val="FF0000"/>
          <w:sz w:val="24"/>
          <w:szCs w:val="24"/>
          <w:u w:val="single"/>
        </w:rPr>
        <w:t>泰州职业技术学院</w:t>
      </w:r>
      <w:r>
        <w:rPr>
          <w:color w:val="FF0000"/>
          <w:sz w:val="24"/>
          <w:szCs w:val="24"/>
          <w:u w:val="single"/>
        </w:rPr>
        <w:t>。</w:t>
      </w:r>
    </w:p>
    <w:p>
      <w:pPr>
        <w:ind w:firstLine="480" w:firstLineChars="200"/>
        <w:rPr>
          <w:sz w:val="24"/>
          <w:szCs w:val="24"/>
        </w:rPr>
      </w:pPr>
      <w:r>
        <w:rPr>
          <w:rFonts w:hint="eastAsia"/>
          <w:sz w:val="24"/>
          <w:szCs w:val="24"/>
        </w:rPr>
        <w:t>2、乙方交付的货物应当完全符合本合同或者招投标文件所规定的货物和规格要求。乙方提供的货物不符合采购文件和合同规定的，甲方有权拒收货物，由此引起的风险，由乙方承担。</w:t>
      </w:r>
    </w:p>
    <w:p>
      <w:pPr>
        <w:ind w:firstLine="480" w:firstLineChars="200"/>
        <w:rPr>
          <w:sz w:val="24"/>
          <w:szCs w:val="24"/>
        </w:rPr>
      </w:pPr>
      <w:r>
        <w:rPr>
          <w:rFonts w:hint="eastAsia"/>
          <w:sz w:val="24"/>
          <w:szCs w:val="24"/>
        </w:rPr>
        <w:t>3、货物的到货验收包括：型号、规格、数量、外观质量、及货物包装是否完好。</w:t>
      </w:r>
    </w:p>
    <w:p>
      <w:pPr>
        <w:ind w:firstLine="480" w:firstLineChars="200"/>
        <w:rPr>
          <w:sz w:val="24"/>
          <w:szCs w:val="24"/>
        </w:rPr>
      </w:pPr>
      <w:r>
        <w:rPr>
          <w:rFonts w:hint="eastAsia"/>
          <w:sz w:val="24"/>
          <w:szCs w:val="24"/>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firstLine="482" w:firstLineChars="200"/>
        <w:rPr>
          <w:b/>
          <w:sz w:val="24"/>
          <w:szCs w:val="24"/>
        </w:rPr>
      </w:pPr>
      <w:r>
        <w:rPr>
          <w:rFonts w:hint="eastAsia"/>
          <w:b/>
          <w:sz w:val="24"/>
          <w:szCs w:val="24"/>
        </w:rPr>
        <w:t>第八条 伴随服务／售后服务</w:t>
      </w:r>
    </w:p>
    <w:p>
      <w:pPr>
        <w:ind w:firstLine="480" w:firstLineChars="200"/>
        <w:rPr>
          <w:sz w:val="24"/>
          <w:szCs w:val="24"/>
        </w:rPr>
      </w:pPr>
      <w:r>
        <w:rPr>
          <w:rFonts w:hint="eastAsia"/>
          <w:sz w:val="24"/>
          <w:szCs w:val="24"/>
        </w:rPr>
        <w:t>1、乙方应按照国家有关法律法规规章和“三包”规定以及合同所附的“服务承诺”提供服务。</w:t>
      </w:r>
    </w:p>
    <w:p>
      <w:pPr>
        <w:ind w:firstLine="480" w:firstLineChars="200"/>
        <w:rPr>
          <w:sz w:val="24"/>
          <w:szCs w:val="24"/>
        </w:rPr>
      </w:pPr>
      <w:r>
        <w:rPr>
          <w:rFonts w:hint="eastAsia"/>
          <w:sz w:val="24"/>
          <w:szCs w:val="24"/>
        </w:rPr>
        <w:t>2、除前款规定外，乙方还应提供下列服务：</w:t>
      </w:r>
    </w:p>
    <w:p>
      <w:pPr>
        <w:ind w:firstLine="480" w:firstLineChars="200"/>
        <w:rPr>
          <w:sz w:val="24"/>
          <w:szCs w:val="24"/>
        </w:rPr>
      </w:pPr>
      <w:r>
        <w:rPr>
          <w:rFonts w:hint="eastAsia"/>
          <w:sz w:val="24"/>
          <w:szCs w:val="24"/>
        </w:rPr>
        <w:t>（1）货物的现场安装、调试和/或启动监督；</w:t>
      </w:r>
    </w:p>
    <w:p>
      <w:pPr>
        <w:ind w:firstLine="480" w:firstLineChars="200"/>
        <w:rPr>
          <w:sz w:val="24"/>
          <w:szCs w:val="24"/>
        </w:rPr>
      </w:pPr>
      <w:r>
        <w:rPr>
          <w:rFonts w:hint="eastAsia"/>
          <w:sz w:val="24"/>
          <w:szCs w:val="24"/>
        </w:rPr>
        <w:t>（2）就货物的安装、启动、运行及维护等对甲方人员进行免费培训。</w:t>
      </w:r>
    </w:p>
    <w:p>
      <w:pPr>
        <w:ind w:firstLine="480" w:firstLineChars="200"/>
        <w:rPr>
          <w:sz w:val="24"/>
          <w:szCs w:val="24"/>
        </w:rPr>
      </w:pPr>
      <w:r>
        <w:rPr>
          <w:rFonts w:hint="eastAsia"/>
          <w:sz w:val="24"/>
          <w:szCs w:val="24"/>
        </w:rPr>
        <w:t>3、若招标文件中不包含有关伴随服务或售后服务的承诺，双方作如下约定：</w:t>
      </w:r>
    </w:p>
    <w:p>
      <w:pPr>
        <w:ind w:firstLine="480" w:firstLineChars="200"/>
        <w:rPr>
          <w:sz w:val="24"/>
          <w:szCs w:val="24"/>
        </w:rPr>
      </w:pPr>
      <w:r>
        <w:rPr>
          <w:rFonts w:hint="eastAsia"/>
          <w:sz w:val="24"/>
          <w:szCs w:val="24"/>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firstLine="480" w:firstLineChars="200"/>
        <w:rPr>
          <w:sz w:val="24"/>
          <w:szCs w:val="24"/>
        </w:rPr>
      </w:pPr>
      <w:r>
        <w:rPr>
          <w:rFonts w:hint="eastAsia"/>
          <w:sz w:val="24"/>
          <w:szCs w:val="24"/>
        </w:rPr>
        <w:t>3.2 所购货物按乙方投标承诺提供免费维护和质量保证，保修费用计入总价。</w:t>
      </w:r>
    </w:p>
    <w:p>
      <w:pPr>
        <w:ind w:firstLine="480" w:firstLineChars="200"/>
        <w:rPr>
          <w:sz w:val="24"/>
          <w:szCs w:val="24"/>
        </w:rPr>
      </w:pPr>
      <w:r>
        <w:rPr>
          <w:rFonts w:hint="eastAsia"/>
          <w:sz w:val="24"/>
          <w:szCs w:val="24"/>
        </w:rPr>
        <w:t>3.3 保修期内，乙方负责对其提供的货物整机进行维修和系统维护，不再收取任何费用，但不可抗力（如火灾、雷击等）造成的故障除外。</w:t>
      </w:r>
    </w:p>
    <w:p>
      <w:pPr>
        <w:ind w:firstLine="480" w:firstLineChars="200"/>
        <w:rPr>
          <w:sz w:val="24"/>
          <w:szCs w:val="24"/>
        </w:rPr>
      </w:pPr>
      <w:r>
        <w:rPr>
          <w:rFonts w:hint="eastAsia"/>
          <w:sz w:val="24"/>
          <w:szCs w:val="24"/>
        </w:rPr>
        <w:t>3.4 货物故障报修的响应时间按乙方承诺执行。</w:t>
      </w:r>
    </w:p>
    <w:p>
      <w:pPr>
        <w:ind w:firstLine="480" w:firstLineChars="200"/>
        <w:rPr>
          <w:sz w:val="24"/>
          <w:szCs w:val="24"/>
        </w:rPr>
      </w:pPr>
      <w:r>
        <w:rPr>
          <w:rFonts w:hint="eastAsia"/>
          <w:sz w:val="24"/>
          <w:szCs w:val="24"/>
        </w:rPr>
        <w:t>3.5 若货物故障在检修8工作小时后仍无法排除，乙方应在48小时内免费提供不低于故障货物规格型号档次的备用货物供甲方使用，直至故障货物修复。</w:t>
      </w:r>
    </w:p>
    <w:p>
      <w:pPr>
        <w:ind w:firstLine="480" w:firstLineChars="200"/>
        <w:rPr>
          <w:sz w:val="24"/>
          <w:szCs w:val="24"/>
        </w:rPr>
      </w:pPr>
      <w:r>
        <w:rPr>
          <w:rFonts w:hint="eastAsia"/>
          <w:sz w:val="24"/>
          <w:szCs w:val="24"/>
        </w:rPr>
        <w:t>3.6 所有货物保修服务方式均为乙方上门保修，即由乙方派员到货物使用现场维修，由此产生的一切费用均由乙方承担。</w:t>
      </w:r>
    </w:p>
    <w:p>
      <w:pPr>
        <w:ind w:firstLine="480" w:firstLineChars="200"/>
        <w:rPr>
          <w:sz w:val="24"/>
          <w:szCs w:val="24"/>
        </w:rPr>
      </w:pPr>
      <w:r>
        <w:rPr>
          <w:rFonts w:hint="eastAsia"/>
          <w:sz w:val="24"/>
          <w:szCs w:val="24"/>
        </w:rPr>
        <w:t>3.7 保修期后的货物维护由双方协商再定。</w:t>
      </w:r>
    </w:p>
    <w:p>
      <w:pPr>
        <w:ind w:firstLine="482" w:firstLineChars="200"/>
        <w:rPr>
          <w:b/>
          <w:sz w:val="24"/>
          <w:szCs w:val="24"/>
        </w:rPr>
      </w:pPr>
      <w:r>
        <w:rPr>
          <w:rFonts w:hint="eastAsia"/>
          <w:b/>
          <w:sz w:val="24"/>
          <w:szCs w:val="24"/>
        </w:rPr>
        <w:t>第九条 履约保证金</w:t>
      </w:r>
    </w:p>
    <w:p>
      <w:pPr>
        <w:ind w:firstLine="480" w:firstLineChars="200"/>
        <w:rPr>
          <w:sz w:val="24"/>
          <w:szCs w:val="24"/>
        </w:rPr>
      </w:pPr>
      <w:r>
        <w:rPr>
          <w:rFonts w:hint="eastAsia"/>
          <w:sz w:val="24"/>
          <w:szCs w:val="24"/>
        </w:rPr>
        <w:t>1、乙方在签订本合同时交纳履约保证金壹</w:t>
      </w:r>
      <w:r>
        <w:rPr>
          <w:sz w:val="24"/>
          <w:szCs w:val="24"/>
        </w:rPr>
        <w:t>万元</w:t>
      </w:r>
      <w:r>
        <w:rPr>
          <w:rFonts w:hint="eastAsia"/>
          <w:sz w:val="24"/>
          <w:szCs w:val="24"/>
        </w:rPr>
        <w:t>。</w:t>
      </w:r>
    </w:p>
    <w:p>
      <w:pPr>
        <w:ind w:firstLine="480" w:firstLineChars="200"/>
        <w:rPr>
          <w:sz w:val="24"/>
          <w:szCs w:val="24"/>
        </w:rPr>
      </w:pPr>
      <w:r>
        <w:rPr>
          <w:rFonts w:hint="eastAsia"/>
          <w:sz w:val="24"/>
          <w:szCs w:val="24"/>
        </w:rPr>
        <w:t>2、履约保证金的有效期为该项目截止时。</w:t>
      </w:r>
    </w:p>
    <w:p>
      <w:pPr>
        <w:ind w:firstLine="480" w:firstLineChars="200"/>
        <w:rPr>
          <w:sz w:val="24"/>
          <w:szCs w:val="24"/>
        </w:rPr>
      </w:pPr>
      <w:r>
        <w:rPr>
          <w:rFonts w:hint="eastAsia"/>
          <w:sz w:val="24"/>
          <w:szCs w:val="24"/>
        </w:rPr>
        <w:t>3、如乙方未能履行合同规定的义务，甲方有权从履约保证金中取得补偿。</w:t>
      </w:r>
    </w:p>
    <w:p>
      <w:pPr>
        <w:ind w:firstLine="480" w:firstLineChars="200"/>
        <w:rPr>
          <w:sz w:val="24"/>
          <w:szCs w:val="24"/>
        </w:rPr>
      </w:pPr>
      <w:r>
        <w:rPr>
          <w:rFonts w:hint="eastAsia"/>
          <w:sz w:val="24"/>
          <w:szCs w:val="24"/>
        </w:rPr>
        <w:t>4、履约保证金扣除甲方应得的补偿后的余额在有效期满后七工作日内无息退还给乙方。</w:t>
      </w:r>
    </w:p>
    <w:p>
      <w:pPr>
        <w:ind w:firstLine="482" w:firstLineChars="200"/>
        <w:rPr>
          <w:b/>
          <w:sz w:val="24"/>
          <w:szCs w:val="24"/>
        </w:rPr>
      </w:pPr>
      <w:r>
        <w:rPr>
          <w:rFonts w:hint="eastAsia"/>
          <w:b/>
          <w:sz w:val="24"/>
          <w:szCs w:val="24"/>
        </w:rPr>
        <w:t>第十条 合同款支付</w:t>
      </w:r>
    </w:p>
    <w:p>
      <w:pPr>
        <w:ind w:firstLine="480" w:firstLineChars="200"/>
        <w:rPr>
          <w:sz w:val="24"/>
          <w:szCs w:val="24"/>
        </w:rPr>
      </w:pPr>
      <w:r>
        <w:rPr>
          <w:rFonts w:hint="eastAsia"/>
          <w:sz w:val="24"/>
          <w:szCs w:val="24"/>
        </w:rPr>
        <w:t>1、本合同项下所有款项均以人民币支付。</w:t>
      </w:r>
    </w:p>
    <w:p>
      <w:pPr>
        <w:ind w:firstLine="480" w:firstLineChars="200"/>
        <w:rPr>
          <w:sz w:val="24"/>
          <w:szCs w:val="24"/>
        </w:rPr>
      </w:pPr>
      <w:r>
        <w:rPr>
          <w:rFonts w:hint="eastAsia"/>
          <w:sz w:val="24"/>
          <w:szCs w:val="24"/>
        </w:rPr>
        <w:t>2、本合同项下的采购资金由甲方自行支付，乙方向甲方开具增值税</w:t>
      </w:r>
      <w:r>
        <w:rPr>
          <w:rFonts w:hint="eastAsia"/>
          <w:sz w:val="24"/>
          <w:szCs w:val="24"/>
          <w:lang w:eastAsia="zh-CN"/>
        </w:rPr>
        <w:t>专用</w:t>
      </w:r>
      <w:bookmarkStart w:id="0" w:name="_GoBack"/>
      <w:bookmarkEnd w:id="0"/>
      <w:r>
        <w:rPr>
          <w:rFonts w:hint="eastAsia"/>
          <w:sz w:val="24"/>
          <w:szCs w:val="24"/>
        </w:rPr>
        <w:t>发票。</w:t>
      </w:r>
    </w:p>
    <w:p>
      <w:pPr>
        <w:ind w:firstLine="480" w:firstLineChars="200"/>
        <w:rPr>
          <w:sz w:val="24"/>
          <w:szCs w:val="24"/>
        </w:rPr>
      </w:pPr>
      <w:r>
        <w:rPr>
          <w:rFonts w:hint="eastAsia"/>
          <w:sz w:val="24"/>
          <w:szCs w:val="24"/>
        </w:rPr>
        <w:t>3、付款方式：</w:t>
      </w:r>
    </w:p>
    <w:p>
      <w:pPr>
        <w:widowControl/>
        <w:adjustRightInd w:val="0"/>
        <w:snapToGrid w:val="0"/>
        <w:spacing w:line="460" w:lineRule="exact"/>
        <w:ind w:firstLine="480" w:firstLineChars="200"/>
        <w:rPr>
          <w:sz w:val="24"/>
          <w:szCs w:val="24"/>
          <w:u w:val="single"/>
        </w:rPr>
      </w:pPr>
      <w:r>
        <w:rPr>
          <w:rFonts w:hint="eastAsia"/>
          <w:sz w:val="24"/>
          <w:szCs w:val="24"/>
          <w:u w:val="single"/>
        </w:rPr>
        <w:t>先到货后付款，在仪器设备入库及验收无误后，付</w:t>
      </w:r>
      <w:r>
        <w:rPr>
          <w:sz w:val="24"/>
          <w:szCs w:val="24"/>
          <w:u w:val="single"/>
        </w:rPr>
        <w:t>合同价的</w:t>
      </w:r>
      <w:r>
        <w:rPr>
          <w:rFonts w:hint="eastAsia"/>
          <w:sz w:val="24"/>
          <w:szCs w:val="24"/>
          <w:u w:val="single"/>
        </w:rPr>
        <w:t>50%；</w:t>
      </w:r>
      <w:r>
        <w:rPr>
          <w:sz w:val="24"/>
          <w:szCs w:val="24"/>
          <w:u w:val="single"/>
        </w:rPr>
        <w:t>三</w:t>
      </w:r>
      <w:r>
        <w:rPr>
          <w:rFonts w:hint="eastAsia"/>
          <w:sz w:val="24"/>
          <w:szCs w:val="24"/>
          <w:u w:val="single"/>
        </w:rPr>
        <w:t>个月</w:t>
      </w:r>
      <w:r>
        <w:rPr>
          <w:sz w:val="24"/>
          <w:szCs w:val="24"/>
          <w:u w:val="single"/>
        </w:rPr>
        <w:t>后付到合同价的</w:t>
      </w:r>
      <w:r>
        <w:rPr>
          <w:rFonts w:hint="eastAsia"/>
          <w:sz w:val="24"/>
          <w:szCs w:val="24"/>
          <w:u w:val="single"/>
        </w:rPr>
        <w:t>90%；</w:t>
      </w:r>
      <w:r>
        <w:rPr>
          <w:sz w:val="24"/>
          <w:szCs w:val="24"/>
          <w:u w:val="single"/>
        </w:rPr>
        <w:t>余款在质保期满后付清。</w:t>
      </w:r>
      <w:r>
        <w:rPr>
          <w:rFonts w:hint="eastAsia"/>
          <w:sz w:val="24"/>
          <w:szCs w:val="24"/>
          <w:u w:val="single"/>
        </w:rPr>
        <w:t>需开具增值税专用发票，结算货款。</w:t>
      </w:r>
    </w:p>
    <w:p>
      <w:pPr>
        <w:ind w:firstLine="482" w:firstLineChars="200"/>
        <w:rPr>
          <w:b/>
          <w:sz w:val="24"/>
          <w:szCs w:val="24"/>
        </w:rPr>
      </w:pPr>
      <w:r>
        <w:rPr>
          <w:rFonts w:hint="eastAsia"/>
          <w:b/>
          <w:sz w:val="24"/>
          <w:szCs w:val="24"/>
        </w:rPr>
        <w:t>第十一条 违约责任</w:t>
      </w:r>
    </w:p>
    <w:p>
      <w:pPr>
        <w:ind w:firstLine="480" w:firstLineChars="200"/>
        <w:rPr>
          <w:sz w:val="24"/>
          <w:szCs w:val="24"/>
        </w:rPr>
      </w:pPr>
      <w:r>
        <w:rPr>
          <w:rFonts w:hint="eastAsia"/>
          <w:sz w:val="24"/>
          <w:szCs w:val="24"/>
        </w:rPr>
        <w:t>1、甲方无正当理由拒收货物、拒付货物款的，由甲方向乙方偿付合同总价的5%违约金。</w:t>
      </w:r>
    </w:p>
    <w:p>
      <w:pPr>
        <w:ind w:firstLine="480" w:firstLineChars="200"/>
        <w:rPr>
          <w:sz w:val="24"/>
          <w:szCs w:val="24"/>
        </w:rPr>
      </w:pPr>
      <w:r>
        <w:rPr>
          <w:rFonts w:hint="eastAsia"/>
          <w:sz w:val="24"/>
          <w:szCs w:val="24"/>
        </w:rPr>
        <w:t>2、甲方未按合同规定的期限向乙方支付货款的，每逾期1天甲方向乙方偿付欠款总额的5‰滞纳金，但累计滞纳金总额不超过欠款总额的5% 。</w:t>
      </w:r>
    </w:p>
    <w:p>
      <w:pPr>
        <w:ind w:firstLine="480" w:firstLineChars="200"/>
        <w:rPr>
          <w:sz w:val="24"/>
          <w:szCs w:val="24"/>
        </w:rPr>
      </w:pPr>
      <w:r>
        <w:rPr>
          <w:rFonts w:hint="eastAsia"/>
          <w:sz w:val="24"/>
          <w:szCs w:val="24"/>
        </w:rPr>
        <w:t>3、如乙方不能交付货物、完成安装调试的，甲方有权扣留全部履约保证金；同时乙方应向甲方支付合同总价5%的违约金。</w:t>
      </w:r>
    </w:p>
    <w:p>
      <w:pPr>
        <w:ind w:firstLine="480" w:firstLineChars="200"/>
        <w:rPr>
          <w:sz w:val="24"/>
          <w:szCs w:val="24"/>
        </w:rPr>
      </w:pPr>
      <w:r>
        <w:rPr>
          <w:rFonts w:hint="eastAsia"/>
          <w:sz w:val="24"/>
          <w:szCs w:val="24"/>
        </w:rPr>
        <w:t>4、乙方逾期交付的，每逾期1天，乙方向甲方偿付合同总额的5‰的滞纳金。如乙方逾期交付达10天，甲方有权解除合同，解除合同的通知自到达乙方时生效。</w:t>
      </w:r>
    </w:p>
    <w:p>
      <w:pPr>
        <w:ind w:firstLine="480" w:firstLineChars="200"/>
        <w:rPr>
          <w:sz w:val="24"/>
          <w:szCs w:val="24"/>
        </w:rPr>
      </w:pPr>
      <w:r>
        <w:rPr>
          <w:rFonts w:hint="eastAsia"/>
          <w:sz w:val="24"/>
          <w:szCs w:val="24"/>
        </w:rPr>
        <w:t>5、乙方所交付的货物品种、型号、规格不符合合同规定的，甲方有权拒收。甲方拒收的，乙方应向甲方支付货款总额5%的违约金。甲方未拒收的，发现后将向有关部门反映，并责成乙方按照采购结果和服务，同时视情给予不退还部分或全部履约保证金、暂停一至三年参加泰州职业技术学院组织的政府采购活动的处理。</w:t>
      </w:r>
    </w:p>
    <w:p>
      <w:pPr>
        <w:ind w:firstLine="480" w:firstLineChars="200"/>
        <w:rPr>
          <w:sz w:val="24"/>
          <w:szCs w:val="24"/>
        </w:rPr>
      </w:pPr>
      <w:r>
        <w:rPr>
          <w:rFonts w:hint="eastAsia"/>
          <w:sz w:val="24"/>
          <w:szCs w:val="24"/>
        </w:rPr>
        <w:t>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firstLine="480" w:firstLineChars="200"/>
        <w:rPr>
          <w:sz w:val="24"/>
          <w:szCs w:val="24"/>
        </w:rPr>
      </w:pPr>
      <w:r>
        <w:rPr>
          <w:rFonts w:hint="eastAsia"/>
          <w:sz w:val="24"/>
          <w:szCs w:val="24"/>
        </w:rPr>
        <w:t>7、乙方未按本合同第九条的规定向甲方交付履约保证金的，应按应交付履约保证金的100%向甲方支付违约金，该违约金的支付不影响乙方应承担的其他违约责任。</w:t>
      </w:r>
    </w:p>
    <w:p>
      <w:pPr>
        <w:ind w:firstLine="480" w:firstLineChars="200"/>
        <w:rPr>
          <w:sz w:val="24"/>
          <w:szCs w:val="24"/>
        </w:rPr>
      </w:pPr>
      <w:r>
        <w:rPr>
          <w:rFonts w:hint="eastAsia"/>
          <w:sz w:val="24"/>
          <w:szCs w:val="24"/>
        </w:rPr>
        <w:t>8、乙方未按本合同的规定和“服务承诺”提供伴随服务/售后服务的，应按合同总价款的5 %向甲方承担违约责任。</w:t>
      </w:r>
    </w:p>
    <w:p>
      <w:pPr>
        <w:ind w:firstLine="480" w:firstLineChars="200"/>
        <w:rPr>
          <w:sz w:val="24"/>
          <w:szCs w:val="24"/>
        </w:rPr>
      </w:pPr>
      <w:r>
        <w:rPr>
          <w:rFonts w:hint="eastAsia"/>
          <w:sz w:val="24"/>
          <w:szCs w:val="24"/>
        </w:rPr>
        <w:t>9、乙方在承担上述4-7款一项或多项违约责任后，仍应继续履行合同规定的义务（甲方解除合同的除外）。甲方未能及时追究乙方的任何一项违约责任并不表明甲方放弃追究乙方该项或其他违约责任。</w:t>
      </w:r>
    </w:p>
    <w:p>
      <w:pPr>
        <w:ind w:firstLine="480" w:firstLineChars="200"/>
        <w:rPr>
          <w:sz w:val="24"/>
          <w:szCs w:val="24"/>
        </w:rPr>
      </w:pPr>
      <w:r>
        <w:rPr>
          <w:rFonts w:hint="eastAsia"/>
          <w:sz w:val="24"/>
          <w:szCs w:val="24"/>
        </w:rPr>
        <w:t>10、乙方投标属虚假承诺，或经权威部门监测提供的货物不能满足招标文件要求，或是由于乙方的过错造成合同无法继续履行的，乙方履约保证金不予退还外，还应向甲方支付不少于合同总价30%赔偿金。</w:t>
      </w:r>
    </w:p>
    <w:p>
      <w:pPr>
        <w:ind w:firstLine="480" w:firstLineChars="200"/>
        <w:rPr>
          <w:sz w:val="24"/>
          <w:szCs w:val="24"/>
        </w:rPr>
      </w:pPr>
      <w:r>
        <w:rPr>
          <w:rFonts w:hint="eastAsia"/>
          <w:sz w:val="24"/>
          <w:szCs w:val="24"/>
        </w:rPr>
        <w:t>11、其他违约责任约定: ------------------------------。</w:t>
      </w:r>
    </w:p>
    <w:p>
      <w:pPr>
        <w:ind w:firstLine="482" w:firstLineChars="200"/>
        <w:rPr>
          <w:b/>
          <w:sz w:val="24"/>
          <w:szCs w:val="24"/>
        </w:rPr>
      </w:pPr>
      <w:r>
        <w:rPr>
          <w:rFonts w:hint="eastAsia"/>
          <w:b/>
          <w:sz w:val="24"/>
          <w:szCs w:val="24"/>
        </w:rPr>
        <w:t>第十二条 合同的变更和终止</w:t>
      </w:r>
    </w:p>
    <w:p>
      <w:pPr>
        <w:ind w:firstLine="480" w:firstLineChars="200"/>
        <w:rPr>
          <w:sz w:val="24"/>
          <w:szCs w:val="24"/>
        </w:rPr>
      </w:pPr>
      <w:r>
        <w:rPr>
          <w:rFonts w:hint="eastAsia"/>
          <w:sz w:val="24"/>
          <w:szCs w:val="24"/>
        </w:rPr>
        <w:t>1、除《政府采购法》第50条第二款规定的情形外，本合同一经签订，甲乙双方不得擅自变更、中止或终止合同。</w:t>
      </w:r>
    </w:p>
    <w:p>
      <w:pPr>
        <w:ind w:firstLine="480" w:firstLineChars="200"/>
        <w:rPr>
          <w:sz w:val="24"/>
          <w:szCs w:val="24"/>
        </w:rPr>
      </w:pPr>
      <w:r>
        <w:rPr>
          <w:rFonts w:hint="eastAsia"/>
          <w:sz w:val="24"/>
          <w:szCs w:val="24"/>
        </w:rPr>
        <w:t>2、除发生法律规定的不能预见、不能避免并不能克服的客观情况外，甲乙双方不得放弃或拒绝履行合同。乙方放弃或拒绝履行合同，保证金不予退还，在三年内不得参加甲方组织的政府采购活动。</w:t>
      </w:r>
    </w:p>
    <w:p>
      <w:pPr>
        <w:ind w:firstLine="482" w:firstLineChars="200"/>
        <w:rPr>
          <w:b/>
          <w:sz w:val="24"/>
          <w:szCs w:val="24"/>
        </w:rPr>
      </w:pPr>
      <w:r>
        <w:rPr>
          <w:rFonts w:hint="eastAsia"/>
          <w:b/>
          <w:sz w:val="24"/>
          <w:szCs w:val="24"/>
        </w:rPr>
        <w:t>第十三条 合同的转让</w:t>
      </w:r>
    </w:p>
    <w:p>
      <w:pPr>
        <w:ind w:firstLine="480" w:firstLineChars="200"/>
        <w:rPr>
          <w:sz w:val="24"/>
          <w:szCs w:val="24"/>
        </w:rPr>
      </w:pPr>
      <w:r>
        <w:rPr>
          <w:rFonts w:hint="eastAsia"/>
          <w:sz w:val="24"/>
          <w:szCs w:val="24"/>
        </w:rPr>
        <w:t>乙方不得擅自部分或全部转让其应履行的合同义务。</w:t>
      </w:r>
    </w:p>
    <w:p>
      <w:pPr>
        <w:ind w:firstLine="482" w:firstLineChars="200"/>
        <w:rPr>
          <w:b/>
          <w:sz w:val="24"/>
          <w:szCs w:val="24"/>
        </w:rPr>
      </w:pPr>
      <w:r>
        <w:rPr>
          <w:rFonts w:hint="eastAsia"/>
          <w:b/>
          <w:sz w:val="24"/>
          <w:szCs w:val="24"/>
        </w:rPr>
        <w:t>第十四条 争议的解决</w:t>
      </w:r>
    </w:p>
    <w:p>
      <w:pPr>
        <w:ind w:firstLine="480" w:firstLineChars="200"/>
        <w:rPr>
          <w:sz w:val="24"/>
          <w:szCs w:val="24"/>
        </w:rPr>
      </w:pPr>
      <w:r>
        <w:rPr>
          <w:rFonts w:hint="eastAsia"/>
          <w:sz w:val="24"/>
          <w:szCs w:val="24"/>
        </w:rPr>
        <w:t>1、因货物的质量问题发生争议的，应当邀请国家认可的质量检测机构对货物质量进行鉴定。货物符合标准的，鉴定费由甲方承担；货物不符合质量标准的，鉴定费由乙方承担。</w:t>
      </w:r>
    </w:p>
    <w:p>
      <w:pPr>
        <w:ind w:firstLine="480" w:firstLineChars="200"/>
        <w:rPr>
          <w:sz w:val="24"/>
          <w:szCs w:val="24"/>
        </w:rPr>
      </w:pPr>
      <w:r>
        <w:rPr>
          <w:rFonts w:hint="eastAsia"/>
          <w:sz w:val="24"/>
          <w:szCs w:val="24"/>
        </w:rPr>
        <w:t>2、因履行本合同引起的或与本合同有关的争议，甲、乙双方应首先通过友好协商解决，如果协商不能解决争议，则采取以下第（_</w:t>
      </w:r>
      <w:r>
        <w:rPr>
          <w:sz w:val="24"/>
          <w:szCs w:val="24"/>
        </w:rPr>
        <w:t>_</w:t>
      </w:r>
      <w:r>
        <w:rPr>
          <w:rFonts w:hint="eastAsia"/>
          <w:sz w:val="24"/>
          <w:szCs w:val="24"/>
        </w:rPr>
        <w:t>）种方式解决争议：</w:t>
      </w:r>
    </w:p>
    <w:p>
      <w:pPr>
        <w:ind w:firstLine="480" w:firstLineChars="200"/>
        <w:rPr>
          <w:sz w:val="24"/>
          <w:szCs w:val="24"/>
        </w:rPr>
      </w:pPr>
      <w:r>
        <w:rPr>
          <w:rFonts w:hint="eastAsia"/>
          <w:sz w:val="24"/>
          <w:szCs w:val="24"/>
        </w:rPr>
        <w:t>（1）向甲方所在地有管辖权的人民法院提起诉讼；</w:t>
      </w:r>
    </w:p>
    <w:p>
      <w:pPr>
        <w:ind w:firstLine="480" w:firstLineChars="200"/>
        <w:rPr>
          <w:sz w:val="24"/>
          <w:szCs w:val="24"/>
        </w:rPr>
      </w:pPr>
      <w:r>
        <w:rPr>
          <w:rFonts w:hint="eastAsia"/>
          <w:sz w:val="24"/>
          <w:szCs w:val="24"/>
        </w:rPr>
        <w:t>（2）向泰州仲裁委员会按其仲裁规则申请仲裁。</w:t>
      </w:r>
    </w:p>
    <w:p>
      <w:pPr>
        <w:ind w:firstLine="480" w:firstLineChars="200"/>
        <w:rPr>
          <w:sz w:val="24"/>
          <w:szCs w:val="24"/>
        </w:rPr>
      </w:pPr>
      <w:r>
        <w:rPr>
          <w:rFonts w:hint="eastAsia"/>
          <w:sz w:val="24"/>
          <w:szCs w:val="24"/>
        </w:rPr>
        <w:t>如没有约定，默认采取第2种方式解决争议。</w:t>
      </w:r>
    </w:p>
    <w:p>
      <w:pPr>
        <w:ind w:firstLine="480" w:firstLineChars="200"/>
        <w:rPr>
          <w:sz w:val="24"/>
          <w:szCs w:val="24"/>
        </w:rPr>
      </w:pPr>
      <w:r>
        <w:rPr>
          <w:rFonts w:hint="eastAsia"/>
          <w:sz w:val="24"/>
          <w:szCs w:val="24"/>
        </w:rPr>
        <w:t>3、在仲裁期间，本合同应继续履行。</w:t>
      </w:r>
    </w:p>
    <w:p>
      <w:pPr>
        <w:ind w:firstLine="482" w:firstLineChars="200"/>
        <w:rPr>
          <w:b/>
          <w:sz w:val="24"/>
          <w:szCs w:val="24"/>
        </w:rPr>
      </w:pPr>
      <w:r>
        <w:rPr>
          <w:rFonts w:hint="eastAsia"/>
          <w:b/>
          <w:sz w:val="24"/>
          <w:szCs w:val="24"/>
        </w:rPr>
        <w:t>第十五条 诚实信用</w:t>
      </w:r>
    </w:p>
    <w:p>
      <w:pPr>
        <w:ind w:firstLine="480" w:firstLineChars="200"/>
        <w:rPr>
          <w:sz w:val="24"/>
          <w:szCs w:val="24"/>
        </w:rPr>
      </w:pPr>
      <w:r>
        <w:rPr>
          <w:rFonts w:hint="eastAsia"/>
          <w:sz w:val="24"/>
          <w:szCs w:val="24"/>
        </w:rPr>
        <w:t>乙方应诚实信用，严格按照采购文件要求和响应承诺履行合同，不向甲方进行商业贿赂或者提供不正当利益。</w:t>
      </w:r>
    </w:p>
    <w:p>
      <w:pPr>
        <w:ind w:firstLine="482" w:firstLineChars="200"/>
        <w:rPr>
          <w:b/>
          <w:sz w:val="24"/>
          <w:szCs w:val="24"/>
        </w:rPr>
      </w:pPr>
      <w:r>
        <w:rPr>
          <w:rFonts w:hint="eastAsia"/>
          <w:b/>
          <w:sz w:val="24"/>
          <w:szCs w:val="24"/>
        </w:rPr>
        <w:t>第十六条 合同生效及其他</w:t>
      </w:r>
    </w:p>
    <w:p>
      <w:pPr>
        <w:ind w:firstLine="480" w:firstLineChars="200"/>
        <w:rPr>
          <w:sz w:val="24"/>
          <w:szCs w:val="24"/>
        </w:rPr>
      </w:pPr>
      <w:r>
        <w:rPr>
          <w:rFonts w:hint="eastAsia"/>
          <w:sz w:val="24"/>
          <w:szCs w:val="24"/>
        </w:rPr>
        <w:t>1、本合同自签订之日起生效。</w:t>
      </w:r>
    </w:p>
    <w:p>
      <w:pPr>
        <w:ind w:firstLine="480" w:firstLineChars="200"/>
        <w:rPr>
          <w:sz w:val="24"/>
          <w:szCs w:val="24"/>
        </w:rPr>
      </w:pPr>
      <w:r>
        <w:rPr>
          <w:rFonts w:hint="eastAsia"/>
          <w:sz w:val="24"/>
          <w:szCs w:val="24"/>
        </w:rPr>
        <w:t>2、本合同一式四份，甲乙双方各执二份。</w:t>
      </w:r>
    </w:p>
    <w:p>
      <w:pPr>
        <w:ind w:firstLine="480" w:firstLineChars="200"/>
        <w:rPr>
          <w:sz w:val="24"/>
          <w:szCs w:val="24"/>
        </w:rPr>
      </w:pPr>
      <w:r>
        <w:rPr>
          <w:rFonts w:hint="eastAsia"/>
          <w:sz w:val="24"/>
          <w:szCs w:val="24"/>
        </w:rPr>
        <w:t>3、本合同应按照中华人民共和国的现行法律进行解释。</w:t>
      </w:r>
    </w:p>
    <w:p>
      <w:pPr>
        <w:ind w:firstLine="480" w:firstLineChars="200"/>
        <w:rPr>
          <w:sz w:val="24"/>
          <w:szCs w:val="24"/>
        </w:rPr>
      </w:pPr>
    </w:p>
    <w:p>
      <w:pPr>
        <w:ind w:firstLine="480" w:firstLineChars="200"/>
        <w:rPr>
          <w:sz w:val="24"/>
          <w:szCs w:val="24"/>
        </w:rPr>
      </w:pPr>
      <w:r>
        <w:rPr>
          <w:rFonts w:hint="eastAsia"/>
          <w:sz w:val="24"/>
          <w:szCs w:val="24"/>
        </w:rPr>
        <w:t xml:space="preserve">甲方（采购人）：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乙方（供应商）： </w:t>
      </w:r>
      <w:r>
        <w:rPr>
          <w:sz w:val="24"/>
          <w:szCs w:val="24"/>
        </w:rPr>
        <w:t xml:space="preserve">      </w:t>
      </w:r>
    </w:p>
    <w:p>
      <w:pPr>
        <w:ind w:firstLine="480" w:firstLineChars="200"/>
        <w:rPr>
          <w:sz w:val="24"/>
          <w:szCs w:val="24"/>
        </w:rPr>
      </w:pPr>
      <w:r>
        <w:rPr>
          <w:rFonts w:hint="eastAsia"/>
          <w:sz w:val="24"/>
          <w:szCs w:val="24"/>
        </w:rPr>
        <w:t xml:space="preserve">（盖章）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（盖章） </w:t>
      </w:r>
      <w:r>
        <w:rPr>
          <w:sz w:val="24"/>
          <w:szCs w:val="24"/>
        </w:rPr>
        <w:t xml:space="preserve">                  </w:t>
      </w:r>
    </w:p>
    <w:p>
      <w:pPr>
        <w:ind w:firstLine="480" w:firstLineChars="200"/>
        <w:rPr>
          <w:sz w:val="24"/>
          <w:szCs w:val="24"/>
        </w:rPr>
      </w:pPr>
      <w:r>
        <w:rPr>
          <w:rFonts w:hint="eastAsia"/>
          <w:sz w:val="24"/>
          <w:szCs w:val="24"/>
        </w:rPr>
        <w:t xml:space="preserve">代表人：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代表人： </w:t>
      </w:r>
      <w:r>
        <w:rPr>
          <w:sz w:val="24"/>
          <w:szCs w:val="24"/>
        </w:rPr>
        <w:t xml:space="preserve">                         </w:t>
      </w:r>
    </w:p>
    <w:p>
      <w:pPr>
        <w:rPr>
          <w:sz w:val="24"/>
          <w:szCs w:val="24"/>
        </w:rPr>
      </w:pPr>
    </w:p>
    <w:p>
      <w:pPr>
        <w:rPr>
          <w:sz w:val="24"/>
          <w:szCs w:val="24"/>
        </w:rPr>
      </w:pPr>
    </w:p>
    <w:p>
      <w:pPr>
        <w:rPr>
          <w:sz w:val="24"/>
          <w:szCs w:val="24"/>
        </w:rPr>
      </w:pPr>
    </w:p>
    <w:p>
      <w:pPr>
        <w:rPr>
          <w:sz w:val="24"/>
          <w:szCs w:val="24"/>
        </w:rPr>
      </w:pPr>
    </w:p>
    <w:p/>
    <w:p/>
    <w:p/>
    <w:p>
      <w:pPr>
        <w:widowControl/>
        <w:jc w:val="left"/>
      </w:pPr>
    </w:p>
    <w:p>
      <w:pPr>
        <w:pStyle w:val="2"/>
        <w:jc w:val="center"/>
      </w:pPr>
      <w:r>
        <w:rPr>
          <w:rFonts w:hint="eastAsia"/>
        </w:rPr>
        <w:t>第五章 附件</w:t>
      </w:r>
    </w:p>
    <w:p>
      <w:pPr>
        <w:rPr>
          <w:rFonts w:ascii="黑体" w:eastAsia="黑体"/>
          <w:bCs/>
          <w:sz w:val="28"/>
          <w:szCs w:val="28"/>
        </w:rPr>
      </w:pPr>
      <w:r>
        <w:rPr>
          <w:rFonts w:hint="eastAsia" w:ascii="黑体" w:eastAsia="黑体"/>
          <w:bCs/>
          <w:sz w:val="24"/>
          <w:szCs w:val="24"/>
        </w:rPr>
        <w:t>附件一：响应文件格式</w:t>
      </w:r>
    </w:p>
    <w:p>
      <w:pP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响</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应</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ind w:firstLine="2700" w:firstLineChars="900"/>
        <w:rPr>
          <w:rFonts w:ascii="黑体" w:eastAsia="黑体"/>
          <w:bCs/>
          <w:sz w:val="28"/>
          <w:szCs w:val="28"/>
        </w:rPr>
      </w:pPr>
      <w:r>
        <w:rPr>
          <w:rFonts w:hint="eastAsia" w:ascii="黑体" w:hAnsi="华文中宋" w:eastAsia="黑体"/>
          <w:bCs/>
          <w:sz w:val="30"/>
          <w:szCs w:val="30"/>
        </w:rPr>
        <w:t>采购项目</w:t>
      </w:r>
      <w:r>
        <w:rPr>
          <w:rFonts w:hint="eastAsia" w:ascii="黑体" w:eastAsia="黑体"/>
          <w:bCs/>
          <w:sz w:val="28"/>
          <w:szCs w:val="28"/>
        </w:rPr>
        <w:t>编号：</w:t>
      </w:r>
    </w:p>
    <w:p>
      <w:pPr>
        <w:ind w:firstLine="1120" w:firstLineChars="400"/>
        <w:rPr>
          <w:rFonts w:ascii="黑体" w:eastAsia="黑体"/>
          <w:bCs/>
          <w:sz w:val="28"/>
          <w:szCs w:val="28"/>
        </w:rPr>
      </w:pPr>
      <w:r>
        <w:rPr>
          <w:rFonts w:hint="eastAsia" w:ascii="黑体" w:eastAsia="黑体"/>
          <w:bCs/>
          <w:sz w:val="28"/>
          <w:szCs w:val="28"/>
        </w:rPr>
        <w:t>采购项目名称：医学技术学院护理实训中心急救仪器设备</w:t>
      </w:r>
    </w:p>
    <w:p>
      <w:pPr>
        <w:ind w:firstLine="2703"/>
        <w:rPr>
          <w:rFonts w:ascii="黑体" w:eastAsia="黑体"/>
          <w:bCs/>
          <w:sz w:val="28"/>
          <w:szCs w:val="28"/>
        </w:rPr>
      </w:pPr>
      <w:r>
        <w:rPr>
          <w:rFonts w:hint="eastAsia" w:ascii="黑体" w:eastAsia="黑体"/>
          <w:bCs/>
          <w:sz w:val="28"/>
          <w:szCs w:val="28"/>
        </w:rPr>
        <w:t>报价人：</w:t>
      </w:r>
    </w:p>
    <w:p>
      <w:pPr>
        <w:rPr>
          <w:rFonts w:ascii="黑体" w:eastAsia="黑体"/>
          <w:bCs/>
          <w:sz w:val="36"/>
          <w:szCs w:val="36"/>
        </w:rPr>
      </w:pPr>
    </w:p>
    <w:p>
      <w:pPr>
        <w:jc w:val="center"/>
        <w:rPr>
          <w:rFonts w:ascii="黑体" w:eastAsia="黑体"/>
          <w:bCs/>
          <w:sz w:val="36"/>
          <w:szCs w:val="36"/>
        </w:rPr>
      </w:pPr>
      <w:r>
        <w:rPr>
          <w:rFonts w:hint="eastAsia" w:ascii="黑体" w:eastAsia="黑体"/>
          <w:bCs/>
          <w:sz w:val="36"/>
          <w:szCs w:val="36"/>
        </w:rPr>
        <w:t>二○   年  月  日</w:t>
      </w:r>
    </w:p>
    <w:p>
      <w:pPr>
        <w:jc w:val="center"/>
        <w:rPr>
          <w:rFonts w:ascii="黑体" w:eastAsia="黑体"/>
          <w:bCs/>
          <w:sz w:val="36"/>
          <w:szCs w:val="36"/>
        </w:rPr>
      </w:pPr>
    </w:p>
    <w:p>
      <w:pPr>
        <w:ind w:firstLine="420" w:firstLineChars="175"/>
        <w:outlineLvl w:val="0"/>
        <w:rPr>
          <w:rFonts w:ascii="黑体" w:hAnsi="宋体" w:eastAsia="黑体"/>
          <w:bCs/>
          <w:sz w:val="24"/>
          <w:szCs w:val="24"/>
        </w:rPr>
      </w:pPr>
      <w:r>
        <w:rPr>
          <w:rFonts w:hint="eastAsia" w:ascii="黑体" w:hAnsi="宋体" w:eastAsia="黑体"/>
          <w:bCs/>
          <w:sz w:val="24"/>
          <w:szCs w:val="24"/>
        </w:rPr>
        <w:t>（一）响应函（格式）：</w:t>
      </w:r>
    </w:p>
    <w:p>
      <w:pPr>
        <w:outlineLvl w:val="0"/>
        <w:rPr>
          <w:rFonts w:ascii="宋体" w:hAnsi="宋体"/>
          <w:b/>
          <w:bCs/>
          <w:sz w:val="24"/>
          <w:szCs w:val="24"/>
        </w:rPr>
      </w:pPr>
    </w:p>
    <w:p>
      <w:pPr>
        <w:spacing w:line="360" w:lineRule="auto"/>
        <w:jc w:val="center"/>
        <w:rPr>
          <w:rFonts w:ascii="宋体" w:hAnsi="宋体"/>
          <w:bCs/>
          <w:sz w:val="24"/>
          <w:szCs w:val="24"/>
        </w:rPr>
      </w:pPr>
      <w:r>
        <w:rPr>
          <w:rFonts w:hint="eastAsia" w:ascii="黑体" w:eastAsia="黑体"/>
          <w:bCs/>
          <w:sz w:val="28"/>
          <w:szCs w:val="28"/>
        </w:rPr>
        <w:t>响应函</w:t>
      </w:r>
    </w:p>
    <w:p>
      <w:pPr>
        <w:spacing w:line="360" w:lineRule="auto"/>
        <w:rPr>
          <w:rFonts w:ascii="宋体" w:hAnsi="宋体"/>
          <w:bCs/>
          <w:sz w:val="24"/>
          <w:szCs w:val="24"/>
        </w:rPr>
      </w:pPr>
      <w:r>
        <w:rPr>
          <w:rFonts w:hint="eastAsia" w:ascii="宋体" w:hAnsi="宋体"/>
          <w:bCs/>
          <w:sz w:val="24"/>
          <w:szCs w:val="24"/>
        </w:rPr>
        <w:t>致泰州职业技术学院：</w:t>
      </w: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r>
        <w:rPr>
          <w:rFonts w:hint="eastAsia" w:ascii="宋体" w:hAnsi="宋体"/>
          <w:bCs/>
          <w:sz w:val="24"/>
          <w:szCs w:val="24"/>
        </w:rPr>
        <w:t>我方收到贵方编号</w:t>
      </w:r>
      <w:r>
        <w:rPr>
          <w:rFonts w:ascii="宋体" w:hAnsi="宋体"/>
          <w:bCs/>
          <w:color w:val="FF0000"/>
          <w:sz w:val="24"/>
          <w:szCs w:val="24"/>
        </w:rPr>
        <w:t xml:space="preserve">      </w:t>
      </w:r>
      <w:r>
        <w:rPr>
          <w:rFonts w:hint="eastAsia" w:ascii="宋体" w:hAnsi="宋体"/>
          <w:bCs/>
          <w:sz w:val="24"/>
          <w:szCs w:val="24"/>
        </w:rPr>
        <w:t>采购文件，经仔细阅读和研究，我方决定参加此项目的报价。</w:t>
      </w:r>
    </w:p>
    <w:p>
      <w:pPr>
        <w:numPr>
          <w:ilvl w:val="0"/>
          <w:numId w:val="21"/>
        </w:numPr>
        <w:tabs>
          <w:tab w:val="left" w:pos="315"/>
          <w:tab w:val="left" w:pos="735"/>
          <w:tab w:val="left" w:pos="840"/>
          <w:tab w:val="left" w:pos="945"/>
          <w:tab w:val="left" w:pos="1050"/>
          <w:tab w:val="clear" w:pos="552"/>
        </w:tabs>
        <w:spacing w:line="360" w:lineRule="auto"/>
        <w:ind w:left="0" w:firstLine="525"/>
        <w:rPr>
          <w:rFonts w:ascii="宋体" w:hAnsi="宋体"/>
          <w:bCs/>
          <w:sz w:val="24"/>
          <w:szCs w:val="24"/>
        </w:rPr>
      </w:pPr>
      <w:r>
        <w:rPr>
          <w:rFonts w:hint="eastAsia" w:ascii="宋体" w:hAnsi="宋体"/>
          <w:bCs/>
          <w:sz w:val="24"/>
          <w:szCs w:val="24"/>
        </w:rPr>
        <w:t>我方愿意按照采购文件的一切要求，提供本项目的报价，总报价见《报价一览表》。</w:t>
      </w:r>
    </w:p>
    <w:p>
      <w:pPr>
        <w:numPr>
          <w:ilvl w:val="0"/>
          <w:numId w:val="21"/>
        </w:numPr>
        <w:tabs>
          <w:tab w:val="left" w:pos="0"/>
          <w:tab w:val="left" w:pos="315"/>
          <w:tab w:val="left" w:pos="525"/>
          <w:tab w:val="left" w:pos="840"/>
          <w:tab w:val="left" w:pos="945"/>
          <w:tab w:val="left" w:pos="1050"/>
          <w:tab w:val="clear" w:pos="552"/>
        </w:tabs>
        <w:spacing w:line="360" w:lineRule="auto"/>
        <w:ind w:left="0" w:firstLine="523" w:firstLineChars="218"/>
        <w:rPr>
          <w:rStyle w:val="10"/>
          <w:bCs/>
        </w:rPr>
      </w:pPr>
      <w:r>
        <w:rPr>
          <w:rFonts w:hint="eastAsia" w:ascii="宋体" w:hAnsi="宋体"/>
          <w:bCs/>
          <w:sz w:val="24"/>
          <w:szCs w:val="24"/>
        </w:rPr>
        <w:t>我方愿意提供贵方在采购文件中要求的文件、资料</w:t>
      </w:r>
      <w:r>
        <w:rPr>
          <w:rFonts w:hint="eastAsia" w:ascii="宋体"/>
          <w:bCs/>
        </w:rPr>
        <w:t>。</w:t>
      </w:r>
    </w:p>
    <w:p>
      <w:pPr>
        <w:numPr>
          <w:ilvl w:val="0"/>
          <w:numId w:val="21"/>
        </w:numPr>
        <w:tabs>
          <w:tab w:val="left" w:pos="0"/>
          <w:tab w:val="left" w:pos="315"/>
          <w:tab w:val="left" w:pos="525"/>
          <w:tab w:val="left" w:pos="630"/>
          <w:tab w:val="left" w:pos="945"/>
          <w:tab w:val="left" w:pos="1050"/>
          <w:tab w:val="clear" w:pos="552"/>
        </w:tabs>
        <w:spacing w:line="360" w:lineRule="auto"/>
        <w:ind w:left="0" w:firstLine="523" w:firstLineChars="218"/>
        <w:rPr>
          <w:rFonts w:ascii="宋体" w:hAnsi="宋体"/>
          <w:bCs/>
          <w:sz w:val="24"/>
          <w:szCs w:val="24"/>
        </w:rPr>
      </w:pPr>
      <w:r>
        <w:rPr>
          <w:rFonts w:hint="eastAsia" w:ascii="宋体" w:hAnsi="宋体"/>
          <w:bCs/>
          <w:sz w:val="24"/>
          <w:szCs w:val="24"/>
        </w:rPr>
        <w:t>我方同意按采购文件中的规定，本响应文件报价的有效期限为报价截止之日起90天。</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hAnsi="宋体"/>
          <w:bCs/>
          <w:sz w:val="24"/>
          <w:szCs w:val="24"/>
        </w:rPr>
      </w:pPr>
      <w:r>
        <w:rPr>
          <w:rFonts w:hint="eastAsia" w:ascii="宋体" w:hAnsi="宋体"/>
          <w:bCs/>
          <w:sz w:val="24"/>
          <w:szCs w:val="24"/>
        </w:rPr>
        <w:t>如果我方的响应文件被接受，我方将履行采购文件中规定的每一项要求，按期、按质、按量，完成交货任务。</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hAnsi="宋体"/>
          <w:bCs/>
          <w:sz w:val="24"/>
          <w:szCs w:val="24"/>
        </w:rPr>
      </w:pPr>
      <w:r>
        <w:rPr>
          <w:rFonts w:hint="eastAsia" w:ascii="宋体" w:hAnsi="宋体"/>
          <w:bCs/>
          <w:sz w:val="24"/>
          <w:szCs w:val="24"/>
        </w:rPr>
        <w:t>我方认为贵中心有权决定成交者。</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hAnsi="宋体"/>
          <w:bCs/>
          <w:sz w:val="24"/>
          <w:szCs w:val="24"/>
        </w:rPr>
      </w:pPr>
      <w:r>
        <w:rPr>
          <w:rFonts w:hint="eastAsia" w:ascii="宋体" w:hAnsi="宋体"/>
          <w:bCs/>
          <w:sz w:val="24"/>
          <w:szCs w:val="24"/>
        </w:rPr>
        <w:t>我方愿意遵守《中华人民共和国政府采购法》，并按《中华人民共和国合同法》和合同条款履行自己的全部责任。</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hAnsi="宋体"/>
          <w:bCs/>
          <w:sz w:val="24"/>
          <w:szCs w:val="24"/>
        </w:rPr>
      </w:pPr>
      <w:r>
        <w:rPr>
          <w:rFonts w:hint="eastAsia" w:ascii="宋体" w:hAnsi="宋体"/>
          <w:bCs/>
          <w:sz w:val="24"/>
          <w:szCs w:val="24"/>
        </w:rPr>
        <w:t>我方认可并保证遵守采购文件的所有规定，放弃对采购文件提出质疑的权利。</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hAnsi="宋体"/>
          <w:bCs/>
          <w:sz w:val="24"/>
          <w:szCs w:val="24"/>
        </w:rPr>
      </w:pPr>
      <w:r>
        <w:rPr>
          <w:rFonts w:hint="eastAsia" w:ascii="宋体" w:hAnsi="宋体"/>
          <w:bCs/>
          <w:sz w:val="24"/>
          <w:szCs w:val="24"/>
        </w:rPr>
        <w:t>我方愿意按采购文件的规定交纳报价保证金。如我方在报价截止期后撤回报价及成交后拒绝遵守报价承诺或拒绝在规定的时间内与采购人签订合同，则报价保证金将被没收。</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hAnsi="宋体"/>
          <w:bCs/>
          <w:sz w:val="24"/>
          <w:szCs w:val="24"/>
        </w:rPr>
      </w:pPr>
      <w:r>
        <w:rPr>
          <w:rFonts w:hint="eastAsia" w:ascii="宋体" w:hAnsi="宋体"/>
          <w:bCs/>
          <w:sz w:val="24"/>
          <w:szCs w:val="24"/>
        </w:rPr>
        <w:t>如果我方被确定为成交供应商，我方愿意在签订合同时按采购文件的规定交纳履约保证金。且我方如无不可抗力，又未履行采购文件、响应文件和合同条款的，一经查实，我方愿意赔偿由此而造成的一切损失，并同意接受按采购文件的相关要求对我方进行的处理。</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hAnsi="宋体"/>
          <w:bCs/>
          <w:sz w:val="24"/>
          <w:szCs w:val="24"/>
        </w:rPr>
      </w:pPr>
      <w:r>
        <w:rPr>
          <w:rFonts w:hint="eastAsia" w:ascii="宋体" w:hAnsi="宋体"/>
          <w:bCs/>
          <w:sz w:val="24"/>
          <w:szCs w:val="24"/>
        </w:rPr>
        <w:t>我方决不提供虚假材料谋取成交、决不采取不正当手段诋毁、排挤其他供应商、决不与采购人或其它供应商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hAnsi="宋体"/>
          <w:bCs/>
          <w:sz w:val="24"/>
          <w:szCs w:val="24"/>
        </w:rPr>
      </w:pPr>
    </w:p>
    <w:p>
      <w:pPr>
        <w:spacing w:line="360" w:lineRule="auto"/>
        <w:ind w:firstLine="720" w:firstLineChars="300"/>
        <w:rPr>
          <w:rFonts w:ascii="宋体" w:hAnsi="宋体"/>
          <w:bCs/>
          <w:sz w:val="24"/>
          <w:szCs w:val="24"/>
        </w:rPr>
      </w:pPr>
    </w:p>
    <w:p>
      <w:pPr>
        <w:spacing w:line="400" w:lineRule="exact"/>
        <w:ind w:firstLine="480" w:firstLineChars="200"/>
        <w:rPr>
          <w:rFonts w:ascii="宋体" w:hAnsi="宋体"/>
          <w:bCs/>
          <w:sz w:val="24"/>
          <w:szCs w:val="24"/>
        </w:rPr>
      </w:pPr>
      <w:r>
        <w:rPr>
          <w:rFonts w:hint="eastAsia" w:ascii="宋体" w:hAnsi="宋体"/>
          <w:bCs/>
          <w:sz w:val="24"/>
          <w:szCs w:val="24"/>
        </w:rPr>
        <w:t xml:space="preserve">报价人（盖章）：     </w:t>
      </w:r>
    </w:p>
    <w:p>
      <w:pPr>
        <w:spacing w:line="400" w:lineRule="exact"/>
        <w:ind w:firstLine="480" w:firstLineChars="200"/>
        <w:rPr>
          <w:rFonts w:ascii="宋体" w:hAnsi="宋体"/>
          <w:bCs/>
          <w:sz w:val="24"/>
          <w:szCs w:val="24"/>
        </w:rPr>
      </w:pPr>
      <w:r>
        <w:rPr>
          <w:rFonts w:hint="eastAsia" w:ascii="宋体" w:hAnsi="宋体"/>
          <w:bCs/>
          <w:sz w:val="24"/>
          <w:szCs w:val="24"/>
        </w:rPr>
        <w:t>法定代表人或法定代表人授权代表签字或盖章：</w:t>
      </w:r>
    </w:p>
    <w:p>
      <w:pPr>
        <w:spacing w:line="400" w:lineRule="exact"/>
        <w:ind w:firstLine="480" w:firstLineChars="200"/>
        <w:rPr>
          <w:rFonts w:ascii="宋体" w:hAnsi="宋体"/>
          <w:bCs/>
          <w:sz w:val="24"/>
          <w:szCs w:val="24"/>
        </w:rPr>
      </w:pPr>
      <w:r>
        <w:rPr>
          <w:rFonts w:hint="eastAsia" w:ascii="宋体" w:hAnsi="宋体"/>
          <w:bCs/>
          <w:sz w:val="24"/>
          <w:szCs w:val="24"/>
        </w:rPr>
        <w:t>电话：                              传真：</w:t>
      </w:r>
    </w:p>
    <w:p>
      <w:pPr>
        <w:ind w:firstLine="480" w:firstLineChars="200"/>
      </w:pPr>
      <w:r>
        <w:rPr>
          <w:rFonts w:hint="eastAsia" w:ascii="宋体" w:hAnsi="宋体"/>
          <w:bCs/>
          <w:sz w:val="24"/>
          <w:szCs w:val="24"/>
        </w:rPr>
        <w:t xml:space="preserve">通讯地址：                          邮编：      </w:t>
      </w:r>
    </w:p>
    <w:p>
      <w:pPr>
        <w:outlineLvl w:val="0"/>
        <w:rPr>
          <w:rFonts w:ascii="黑体" w:eastAsia="黑体"/>
          <w:bCs/>
          <w:sz w:val="28"/>
          <w:szCs w:val="28"/>
        </w:rPr>
      </w:pPr>
      <w:r>
        <w:br w:type="page"/>
      </w:r>
      <w:r>
        <w:rPr>
          <w:rFonts w:hint="eastAsia" w:ascii="黑体" w:hAnsi="宋体" w:eastAsia="黑体"/>
          <w:bCs/>
          <w:sz w:val="24"/>
          <w:szCs w:val="24"/>
        </w:rPr>
        <w:t>（二）（报价人）关于无重大违法记录的书面声明（格式）：</w:t>
      </w:r>
    </w:p>
    <w:p>
      <w:pPr>
        <w:spacing w:line="360" w:lineRule="auto"/>
        <w:rPr>
          <w:rFonts w:ascii="黑体" w:eastAsia="黑体"/>
          <w:bCs/>
          <w:sz w:val="36"/>
        </w:rPr>
      </w:pPr>
    </w:p>
    <w:p>
      <w:pPr>
        <w:jc w:val="center"/>
        <w:outlineLvl w:val="0"/>
        <w:rPr>
          <w:rFonts w:ascii="黑体" w:eastAsia="黑体"/>
          <w:bCs/>
          <w:sz w:val="28"/>
          <w:szCs w:val="28"/>
        </w:rPr>
      </w:pPr>
      <w:r>
        <w:rPr>
          <w:rFonts w:hint="eastAsia" w:ascii="黑体" w:eastAsia="黑体"/>
          <w:bCs/>
          <w:sz w:val="28"/>
          <w:szCs w:val="28"/>
        </w:rPr>
        <w:t>关于无重大违法记录的书面声明</w:t>
      </w:r>
    </w:p>
    <w:p>
      <w:pPr>
        <w:tabs>
          <w:tab w:val="left" w:pos="6300"/>
        </w:tabs>
        <w:spacing w:line="480" w:lineRule="auto"/>
        <w:jc w:val="center"/>
        <w:rPr>
          <w:rFonts w:ascii="宋体" w:hAnsi="宋体"/>
          <w:bCs/>
          <w:sz w:val="24"/>
          <w:szCs w:val="24"/>
        </w:rPr>
      </w:pPr>
      <w:r>
        <w:rPr>
          <w:rFonts w:hint="eastAsia" w:ascii="宋体" w:hAnsi="宋体"/>
          <w:bCs/>
          <w:sz w:val="24"/>
          <w:szCs w:val="24"/>
        </w:rPr>
        <w:t xml:space="preserve">         </w:t>
      </w:r>
    </w:p>
    <w:p>
      <w:pPr>
        <w:spacing w:line="480" w:lineRule="auto"/>
        <w:jc w:val="center"/>
        <w:rPr>
          <w:rFonts w:ascii="宋体" w:hAnsi="宋体"/>
          <w:bCs/>
          <w:sz w:val="24"/>
          <w:szCs w:val="24"/>
        </w:rPr>
      </w:pPr>
    </w:p>
    <w:p>
      <w:pPr>
        <w:spacing w:line="480" w:lineRule="auto"/>
        <w:rPr>
          <w:rFonts w:ascii="宋体" w:hAnsi="宋体"/>
          <w:bCs/>
          <w:sz w:val="24"/>
          <w:szCs w:val="24"/>
        </w:rPr>
      </w:pPr>
      <w:r>
        <w:rPr>
          <w:rFonts w:hint="eastAsia" w:ascii="宋体" w:hAnsi="宋体"/>
          <w:bCs/>
          <w:sz w:val="24"/>
          <w:szCs w:val="24"/>
        </w:rPr>
        <w:t>泰州职业技术学院：</w:t>
      </w:r>
    </w:p>
    <w:p>
      <w:pPr>
        <w:spacing w:line="480" w:lineRule="auto"/>
        <w:rPr>
          <w:rFonts w:ascii="宋体" w:hAnsi="宋体"/>
          <w:bCs/>
          <w:sz w:val="24"/>
          <w:szCs w:val="24"/>
        </w:rPr>
      </w:pPr>
      <w:r>
        <w:rPr>
          <w:rFonts w:hint="eastAsia" w:ascii="宋体" w:hAnsi="宋体"/>
          <w:bCs/>
          <w:sz w:val="24"/>
          <w:szCs w:val="24"/>
        </w:rPr>
        <w:t xml:space="preserve">   </w:t>
      </w:r>
    </w:p>
    <w:p>
      <w:pPr>
        <w:spacing w:line="480" w:lineRule="auto"/>
        <w:rPr>
          <w:rFonts w:ascii="宋体" w:hAnsi="宋体"/>
          <w:bCs/>
          <w:sz w:val="24"/>
          <w:szCs w:val="24"/>
        </w:rPr>
      </w:pPr>
      <w:r>
        <w:rPr>
          <w:rFonts w:hint="eastAsia" w:ascii="宋体" w:hAnsi="宋体"/>
          <w:bCs/>
          <w:sz w:val="24"/>
          <w:szCs w:val="24"/>
        </w:rPr>
        <w:t xml:space="preserve">     我公司（单位）参加本次项目（</w:t>
      </w:r>
      <w:r>
        <w:rPr>
          <w:rFonts w:hint="eastAsia" w:ascii="黑体" w:eastAsia="黑体"/>
          <w:bCs/>
          <w:sz w:val="24"/>
          <w:szCs w:val="24"/>
        </w:rPr>
        <w:t xml:space="preserve">      ）</w:t>
      </w:r>
      <w:r>
        <w:rPr>
          <w:rFonts w:hint="eastAsia" w:ascii="宋体" w:hAnsi="宋体"/>
          <w:bCs/>
          <w:sz w:val="24"/>
          <w:szCs w:val="24"/>
        </w:rPr>
        <w:t>政府采购活动前三年内，在经营活动中没有重大违法记录，我公司（单位）愿针对本次项目（</w:t>
      </w:r>
      <w:r>
        <w:rPr>
          <w:rFonts w:hint="eastAsia" w:ascii="黑体" w:eastAsia="黑体"/>
          <w:bCs/>
          <w:sz w:val="24"/>
          <w:szCs w:val="24"/>
        </w:rPr>
        <w:t xml:space="preserve">     ）</w:t>
      </w:r>
      <w:r>
        <w:rPr>
          <w:rFonts w:hint="eastAsia" w:ascii="宋体" w:hAnsi="宋体"/>
          <w:bCs/>
          <w:sz w:val="24"/>
          <w:szCs w:val="24"/>
        </w:rPr>
        <w:t>进行报价，响应文件中所有关于报价资格的文件、证明、陈述均是真实的、准确的。若有违背，我公司（单位）           愿意承担由此而产生的一切后果。</w:t>
      </w:r>
    </w:p>
    <w:p>
      <w:pPr>
        <w:spacing w:line="480" w:lineRule="auto"/>
        <w:rPr>
          <w:rFonts w:ascii="宋体" w:hAnsi="宋体"/>
          <w:bCs/>
          <w:sz w:val="24"/>
          <w:szCs w:val="24"/>
        </w:rPr>
      </w:pPr>
    </w:p>
    <w:p>
      <w:pPr>
        <w:spacing w:line="480" w:lineRule="auto"/>
        <w:rPr>
          <w:rFonts w:ascii="宋体" w:hAnsi="宋体"/>
          <w:bCs/>
          <w:sz w:val="24"/>
          <w:szCs w:val="24"/>
        </w:rPr>
      </w:pPr>
      <w:r>
        <w:rPr>
          <w:rFonts w:hint="eastAsia" w:ascii="宋体" w:hAnsi="宋体"/>
          <w:bCs/>
          <w:sz w:val="24"/>
          <w:szCs w:val="24"/>
        </w:rPr>
        <w:t xml:space="preserve">                                     报价人（盖章）：</w:t>
      </w:r>
    </w:p>
    <w:p>
      <w:pPr>
        <w:spacing w:line="480" w:lineRule="auto"/>
        <w:rPr>
          <w:rFonts w:ascii="宋体" w:hAnsi="宋体"/>
          <w:bCs/>
          <w:sz w:val="24"/>
          <w:szCs w:val="24"/>
        </w:rPr>
      </w:pPr>
      <w:r>
        <w:rPr>
          <w:rFonts w:hint="eastAsia" w:ascii="宋体" w:hAnsi="宋体"/>
          <w:bCs/>
          <w:sz w:val="24"/>
          <w:szCs w:val="24"/>
        </w:rPr>
        <w:t xml:space="preserve">       法定代表人或法定代表人授权代表（签字或盖章）：</w:t>
      </w:r>
    </w:p>
    <w:p>
      <w:pPr>
        <w:jc w:val="center"/>
      </w:pPr>
      <w:r>
        <w:rPr>
          <w:rFonts w:hint="eastAsia" w:ascii="宋体" w:hAnsi="宋体"/>
          <w:bCs/>
          <w:sz w:val="24"/>
          <w:szCs w:val="24"/>
        </w:rPr>
        <w:t xml:space="preserve">    日期：</w:t>
      </w:r>
    </w:p>
    <w:p/>
    <w:p/>
    <w:p/>
    <w:p>
      <w:pPr>
        <w:outlineLvl w:val="0"/>
      </w:pPr>
      <w:r>
        <w:br w:type="page"/>
      </w:r>
    </w:p>
    <w:p>
      <w:pPr>
        <w:outlineLvl w:val="0"/>
        <w:rPr>
          <w:rFonts w:ascii="黑体" w:hAnsi="宋体" w:eastAsia="黑体"/>
          <w:bCs/>
          <w:sz w:val="24"/>
          <w:szCs w:val="24"/>
        </w:rPr>
      </w:pPr>
      <w:r>
        <w:rPr>
          <w:rFonts w:hint="eastAsia" w:ascii="黑体" w:hAnsi="宋体" w:eastAsia="黑体"/>
          <w:bCs/>
          <w:sz w:val="24"/>
          <w:szCs w:val="24"/>
        </w:rPr>
        <w:t>（三）（报价人）中小企业声明函（格式）：</w:t>
      </w:r>
    </w:p>
    <w:p>
      <w:pPr>
        <w:outlineLvl w:val="0"/>
        <w:rPr>
          <w:rFonts w:ascii="黑体" w:hAnsi="宋体" w:eastAsia="黑体"/>
          <w:bCs/>
          <w:sz w:val="24"/>
          <w:szCs w:val="24"/>
        </w:rPr>
      </w:pPr>
    </w:p>
    <w:p>
      <w:pPr>
        <w:outlineLvl w:val="0"/>
        <w:rPr>
          <w:rFonts w:ascii="黑体" w:hAnsi="宋体" w:eastAsia="黑体"/>
          <w:bCs/>
          <w:sz w:val="24"/>
          <w:szCs w:val="24"/>
        </w:rPr>
      </w:pPr>
    </w:p>
    <w:p>
      <w:pPr>
        <w:jc w:val="center"/>
        <w:rPr>
          <w:rFonts w:ascii="黑体" w:eastAsia="黑体"/>
          <w:bCs/>
          <w:sz w:val="28"/>
          <w:szCs w:val="28"/>
        </w:rPr>
      </w:pPr>
      <w:r>
        <w:rPr>
          <w:rFonts w:hint="eastAsia" w:ascii="黑体" w:eastAsia="黑体"/>
          <w:bCs/>
          <w:sz w:val="28"/>
          <w:szCs w:val="28"/>
        </w:rPr>
        <w:t>中小企业声明函</w:t>
      </w:r>
    </w:p>
    <w:p/>
    <w:p/>
    <w:p>
      <w:pPr>
        <w:spacing w:line="580" w:lineRule="exact"/>
        <w:ind w:firstLine="480" w:firstLineChars="200"/>
        <w:rPr>
          <w:rFonts w:ascii="宋体" w:hAnsi="宋体"/>
          <w:bCs/>
          <w:sz w:val="24"/>
          <w:szCs w:val="24"/>
        </w:rPr>
      </w:pPr>
      <w:r>
        <w:rPr>
          <w:rFonts w:hint="eastAsia" w:ascii="宋体" w:hAnsi="宋体"/>
          <w:bCs/>
          <w:sz w:val="24"/>
          <w:szCs w:val="24"/>
        </w:rPr>
        <w:t>本公司郑重声明，根据《政府采购促进中小企业发展暂行办法》（财库[2011]181号）的规定，本公司为______（请填写：中型、小型、微型）企业。即，本公司同时满足以下条件：</w:t>
      </w:r>
    </w:p>
    <w:p>
      <w:pPr>
        <w:spacing w:line="580" w:lineRule="exact"/>
        <w:ind w:firstLine="480" w:firstLineChars="200"/>
        <w:rPr>
          <w:rFonts w:ascii="宋体" w:hAnsi="宋体"/>
          <w:bCs/>
          <w:sz w:val="24"/>
          <w:szCs w:val="24"/>
        </w:rPr>
      </w:pPr>
      <w:r>
        <w:rPr>
          <w:rFonts w:hint="eastAsia" w:ascii="宋体" w:hAnsi="宋体"/>
          <w:bCs/>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0" w:lineRule="exact"/>
        <w:ind w:firstLine="480" w:firstLineChars="200"/>
        <w:rPr>
          <w:rFonts w:ascii="宋体" w:hAnsi="宋体"/>
          <w:bCs/>
          <w:sz w:val="24"/>
          <w:szCs w:val="24"/>
        </w:rPr>
      </w:pPr>
      <w:r>
        <w:rPr>
          <w:rFonts w:hint="eastAsia" w:ascii="宋体" w:hAnsi="宋体"/>
          <w:bCs/>
          <w:sz w:val="24"/>
          <w:szCs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本公司对上述声明的真实性负责。如有虚假，将依法承担相应责任。</w:t>
      </w:r>
    </w:p>
    <w:p>
      <w:pPr>
        <w:spacing w:line="580" w:lineRule="exact"/>
        <w:rPr>
          <w:rFonts w:ascii="宋体" w:hAnsi="宋体"/>
          <w:bCs/>
          <w:sz w:val="24"/>
          <w:szCs w:val="24"/>
        </w:rPr>
      </w:pPr>
    </w:p>
    <w:p>
      <w:pPr>
        <w:spacing w:line="360" w:lineRule="auto"/>
        <w:rPr>
          <w:rFonts w:ascii="宋体" w:hAnsi="宋体"/>
          <w:bCs/>
          <w:sz w:val="24"/>
          <w:szCs w:val="24"/>
        </w:rPr>
      </w:pPr>
    </w:p>
    <w:p>
      <w:pPr>
        <w:spacing w:line="360" w:lineRule="auto"/>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r>
        <w:rPr>
          <w:rFonts w:hint="eastAsia" w:ascii="宋体" w:hAnsi="宋体"/>
          <w:bCs/>
          <w:sz w:val="24"/>
          <w:szCs w:val="24"/>
        </w:rPr>
        <w:t xml:space="preserve"> </w:t>
      </w: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rPr>
          <w:sz w:val="24"/>
          <w:szCs w:val="24"/>
        </w:rPr>
      </w:pPr>
      <w:r>
        <w:rPr>
          <w:rFonts w:hint="eastAsia"/>
          <w:sz w:val="24"/>
          <w:szCs w:val="24"/>
        </w:rPr>
        <w:t>注：供应商如不提供此声明函，价格将不做相应扣除。</w:t>
      </w:r>
    </w:p>
    <w:p/>
    <w:p/>
    <w:p/>
    <w:p/>
    <w:p/>
    <w:p/>
    <w:p/>
    <w:p>
      <w:pPr>
        <w:ind w:firstLine="420" w:firstLineChars="175"/>
        <w:outlineLvl w:val="0"/>
        <w:rPr>
          <w:rFonts w:ascii="黑体" w:hAnsi="宋体" w:eastAsia="黑体"/>
          <w:bCs/>
          <w:sz w:val="24"/>
          <w:szCs w:val="24"/>
        </w:rPr>
      </w:pPr>
      <w:r>
        <w:rPr>
          <w:rFonts w:hint="eastAsia" w:ascii="黑体" w:hAnsi="宋体" w:eastAsia="黑体"/>
          <w:bCs/>
          <w:sz w:val="24"/>
          <w:szCs w:val="24"/>
        </w:rPr>
        <w:t>（四）承诺书（格式）：</w:t>
      </w:r>
    </w:p>
    <w:p>
      <w:pPr>
        <w:outlineLvl w:val="0"/>
        <w:rPr>
          <w:rFonts w:ascii="黑体" w:eastAsia="黑体"/>
          <w:bCs/>
          <w:sz w:val="28"/>
          <w:szCs w:val="28"/>
        </w:rPr>
      </w:pPr>
    </w:p>
    <w:p>
      <w:pPr>
        <w:jc w:val="center"/>
        <w:rPr>
          <w:rFonts w:ascii="黑体" w:eastAsia="黑体"/>
          <w:bCs/>
          <w:sz w:val="28"/>
          <w:szCs w:val="28"/>
        </w:rPr>
      </w:pPr>
      <w:r>
        <w:rPr>
          <w:rFonts w:hint="eastAsia" w:ascii="黑体" w:eastAsia="黑体"/>
          <w:bCs/>
          <w:sz w:val="28"/>
          <w:szCs w:val="28"/>
        </w:rPr>
        <w:t>承诺书</w:t>
      </w:r>
    </w:p>
    <w:p>
      <w:pPr>
        <w:jc w:val="center"/>
        <w:rPr>
          <w:rFonts w:ascii="黑体" w:eastAsia="黑体"/>
          <w:bCs/>
          <w:sz w:val="28"/>
          <w:szCs w:val="28"/>
        </w:rPr>
      </w:pPr>
    </w:p>
    <w:p>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rPr>
        <w:t>报价人</w:t>
      </w:r>
      <w:r>
        <w:rPr>
          <w:rFonts w:hint="eastAsia" w:ascii="宋体" w:hAnsi="宋体"/>
          <w:sz w:val="24"/>
          <w:szCs w:val="24"/>
        </w:rPr>
        <w:t>名称）在此承诺：</w:t>
      </w:r>
    </w:p>
    <w:p>
      <w:pPr>
        <w:spacing w:line="480" w:lineRule="auto"/>
        <w:ind w:firstLine="480" w:firstLineChars="200"/>
        <w:rPr>
          <w:rFonts w:ascii="宋体" w:hAnsi="宋体"/>
          <w:sz w:val="24"/>
          <w:szCs w:val="24"/>
        </w:rPr>
      </w:pPr>
    </w:p>
    <w:p>
      <w:pPr>
        <w:spacing w:line="480" w:lineRule="auto"/>
        <w:ind w:firstLine="480" w:firstLineChars="200"/>
        <w:rPr>
          <w:rFonts w:ascii="宋体" w:hAnsi="宋体"/>
          <w:bCs/>
          <w:sz w:val="24"/>
          <w:szCs w:val="24"/>
        </w:rPr>
      </w:pPr>
      <w:r>
        <w:rPr>
          <w:rFonts w:hint="eastAsia" w:ascii="宋体" w:hAnsi="宋体"/>
          <w:sz w:val="24"/>
          <w:szCs w:val="24"/>
        </w:rPr>
        <w:t>1.本公司（单位）</w:t>
      </w:r>
      <w:r>
        <w:rPr>
          <w:rFonts w:hint="eastAsia" w:ascii="宋体" w:hAnsi="宋体"/>
          <w:bCs/>
          <w:sz w:val="24"/>
          <w:szCs w:val="24"/>
        </w:rPr>
        <w:t>对本项目（     ）所提供的货物均为原厂全新合格品；</w:t>
      </w:r>
    </w:p>
    <w:p>
      <w:pPr>
        <w:spacing w:line="480" w:lineRule="auto"/>
        <w:ind w:firstLine="480" w:firstLineChars="200"/>
        <w:rPr>
          <w:rFonts w:ascii="宋体" w:hAnsi="宋体"/>
          <w:bCs/>
          <w:sz w:val="24"/>
          <w:szCs w:val="24"/>
        </w:rPr>
      </w:pPr>
      <w:r>
        <w:rPr>
          <w:rFonts w:hint="eastAsia" w:ascii="宋体" w:hAnsi="宋体"/>
          <w:bCs/>
          <w:sz w:val="24"/>
          <w:szCs w:val="24"/>
        </w:rPr>
        <w:t>2.</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hint="eastAsia" w:ascii="宋体" w:hAnsi="宋体"/>
          <w:bCs/>
          <w:sz w:val="24"/>
          <w:szCs w:val="24"/>
        </w:rPr>
        <w:t>3.</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 HYPERLINK "http://www.creditchina.gov.cn" </w:instrText>
      </w:r>
      <w: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列入失信执行人、重大税收违法案件当事人名单、政府采购严重违法失信行为记录名单。</w:t>
      </w:r>
    </w:p>
    <w:p>
      <w:pPr>
        <w:spacing w:line="480" w:lineRule="auto"/>
        <w:ind w:firstLine="480" w:firstLineChars="200"/>
        <w:rPr>
          <w:rFonts w:ascii="宋体" w:hAns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hAnsi="宋体"/>
          <w:sz w:val="24"/>
        </w:rPr>
      </w:pPr>
    </w:p>
    <w:p>
      <w:pPr>
        <w:spacing w:line="480" w:lineRule="auto"/>
        <w:ind w:firstLine="5400" w:firstLineChars="2250"/>
        <w:rPr>
          <w:rFonts w:ascii="宋体" w:hAnsi="宋体"/>
          <w:bCs/>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报价人（盖章）：</w:t>
      </w:r>
    </w:p>
    <w:p>
      <w:pPr>
        <w:spacing w:line="480" w:lineRule="auto"/>
        <w:ind w:firstLine="480" w:firstLineChars="200"/>
        <w:rPr>
          <w:rFonts w:ascii="宋体" w:hAnsi="宋体"/>
          <w:bCs/>
          <w:sz w:val="24"/>
          <w:szCs w:val="24"/>
        </w:rPr>
      </w:pPr>
      <w:r>
        <w:rPr>
          <w:rFonts w:hint="eastAsia" w:ascii="宋体" w:hAnsi="宋体"/>
          <w:bCs/>
          <w:sz w:val="24"/>
          <w:szCs w:val="24"/>
        </w:rPr>
        <w:t>法定代表人或法定代表人授权代表签字或盖章：</w:t>
      </w:r>
    </w:p>
    <w:p/>
    <w:p/>
    <w:p/>
    <w:p/>
    <w:p/>
    <w:p/>
    <w:p/>
    <w:p/>
    <w:p/>
    <w:p/>
    <w:p/>
    <w:p>
      <w:pPr>
        <w:ind w:firstLine="367" w:firstLineChars="175"/>
        <w:outlineLvl w:val="0"/>
        <w:rPr>
          <w:rFonts w:ascii="黑体" w:eastAsia="黑体"/>
          <w:bCs/>
          <w:sz w:val="28"/>
          <w:szCs w:val="28"/>
        </w:rPr>
      </w:pPr>
      <w:r>
        <w:br w:type="page"/>
      </w:r>
      <w:r>
        <w:rPr>
          <w:rFonts w:hint="eastAsia" w:ascii="黑体" w:hAnsi="宋体" w:eastAsia="黑体"/>
          <w:bCs/>
          <w:sz w:val="24"/>
          <w:szCs w:val="24"/>
        </w:rPr>
        <w:t>（五）报价一览表（格式）：</w:t>
      </w: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jc w:val="center"/>
        <w:outlineLvl w:val="0"/>
        <w:rPr>
          <w:rFonts w:ascii="黑体" w:eastAsia="黑体"/>
          <w:bCs/>
          <w:sz w:val="28"/>
          <w:szCs w:val="28"/>
        </w:rPr>
      </w:pPr>
      <w:r>
        <w:rPr>
          <w:rFonts w:hint="eastAsia" w:ascii="黑体" w:eastAsia="黑体"/>
          <w:bCs/>
          <w:sz w:val="28"/>
          <w:szCs w:val="28"/>
        </w:rPr>
        <w:t xml:space="preserve">报价一览表 </w:t>
      </w:r>
    </w:p>
    <w:p>
      <w:pPr>
        <w:jc w:val="center"/>
        <w:outlineLvl w:val="0"/>
        <w:rPr>
          <w:rFonts w:ascii="黑体" w:eastAsia="黑体"/>
          <w:bCs/>
          <w:sz w:val="28"/>
          <w:szCs w:val="28"/>
        </w:rPr>
      </w:pPr>
    </w:p>
    <w:p>
      <w:pPr>
        <w:spacing w:line="360" w:lineRule="auto"/>
        <w:rPr>
          <w:rFonts w:ascii="黑体" w:eastAsia="黑体"/>
          <w:bCs/>
          <w:sz w:val="24"/>
          <w:szCs w:val="24"/>
        </w:rPr>
      </w:pPr>
      <w:r>
        <w:rPr>
          <w:rFonts w:hint="eastAsia" w:ascii="黑体" w:eastAsia="黑体"/>
          <w:bCs/>
          <w:sz w:val="24"/>
          <w:szCs w:val="24"/>
        </w:rPr>
        <w:t>报价人名称（盖章）                        采购项目编号：</w:t>
      </w:r>
    </w:p>
    <w:tbl>
      <w:tblPr>
        <w:tblStyle w:val="7"/>
        <w:tblW w:w="7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2525"/>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40" w:type="dxa"/>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项目名称</w:t>
            </w:r>
          </w:p>
        </w:tc>
        <w:tc>
          <w:tcPr>
            <w:tcW w:w="2525" w:type="dxa"/>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总报价  (大写)</w:t>
            </w:r>
          </w:p>
        </w:tc>
        <w:tc>
          <w:tcPr>
            <w:tcW w:w="1388" w:type="dxa"/>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3140" w:type="dxa"/>
            <w:vAlign w:val="center"/>
          </w:tcPr>
          <w:p>
            <w:pPr>
              <w:pStyle w:val="14"/>
              <w:spacing w:line="400" w:lineRule="exact"/>
              <w:jc w:val="center"/>
              <w:rPr>
                <w:rFonts w:hAnsi="宋体"/>
                <w:bCs/>
                <w:szCs w:val="24"/>
              </w:rPr>
            </w:pPr>
            <w:r>
              <w:rPr>
                <w:rFonts w:hint="eastAsia" w:hAnsi="宋体"/>
                <w:bCs/>
                <w:szCs w:val="24"/>
              </w:rPr>
              <w:t>2020秋学</w:t>
            </w:r>
            <w:r>
              <w:rPr>
                <w:rFonts w:hAnsi="宋体"/>
                <w:bCs/>
                <w:szCs w:val="24"/>
              </w:rPr>
              <w:t>期急救仪器设备</w:t>
            </w:r>
          </w:p>
        </w:tc>
        <w:tc>
          <w:tcPr>
            <w:tcW w:w="2525" w:type="dxa"/>
            <w:vAlign w:val="center"/>
          </w:tcPr>
          <w:p>
            <w:pPr>
              <w:pStyle w:val="14"/>
              <w:rPr>
                <w:rFonts w:hAnsi="宋体"/>
                <w:b/>
                <w:szCs w:val="24"/>
              </w:rPr>
            </w:pPr>
          </w:p>
        </w:tc>
        <w:tc>
          <w:tcPr>
            <w:tcW w:w="1388" w:type="dxa"/>
            <w:vAlign w:val="center"/>
          </w:tcPr>
          <w:p>
            <w:pPr>
              <w:pStyle w:val="14"/>
              <w:rPr>
                <w:rFonts w:hAnsi="宋体"/>
                <w:b/>
                <w:szCs w:val="24"/>
              </w:rPr>
            </w:pPr>
          </w:p>
        </w:tc>
      </w:tr>
    </w:tbl>
    <w:p>
      <w:pPr>
        <w:spacing w:before="5"/>
        <w:rPr>
          <w:b/>
          <w:bCs/>
          <w:sz w:val="24"/>
          <w:szCs w:val="24"/>
        </w:rPr>
      </w:pPr>
      <w:r>
        <w:rPr>
          <w:rFonts w:hint="eastAsia"/>
          <w:b/>
          <w:bCs/>
          <w:sz w:val="24"/>
          <w:szCs w:val="24"/>
        </w:rPr>
        <w:t>法定代表人或法定代表人授权代表签字或盖章：</w:t>
      </w:r>
    </w:p>
    <w:p>
      <w:pPr>
        <w:ind w:firstLine="367" w:firstLineChars="175"/>
        <w:outlineLvl w:val="0"/>
        <w:rPr>
          <w:rFonts w:ascii="黑体" w:eastAsia="黑体"/>
          <w:bCs/>
          <w:sz w:val="28"/>
          <w:szCs w:val="28"/>
        </w:rPr>
      </w:pPr>
      <w:r>
        <w:br w:type="page"/>
      </w:r>
      <w:r>
        <w:rPr>
          <w:rFonts w:hint="eastAsia" w:ascii="黑体" w:hAnsi="宋体" w:eastAsia="黑体"/>
          <w:bCs/>
          <w:sz w:val="24"/>
          <w:szCs w:val="24"/>
        </w:rPr>
        <w:t>（六）明细报价及采购需求响应表（格式）：</w:t>
      </w:r>
    </w:p>
    <w:p>
      <w:pPr>
        <w:spacing w:line="400" w:lineRule="exact"/>
        <w:jc w:val="center"/>
        <w:rPr>
          <w:rFonts w:ascii="黑体" w:eastAsia="黑体"/>
          <w:bCs/>
          <w:sz w:val="32"/>
        </w:rPr>
      </w:pPr>
    </w:p>
    <w:p>
      <w:pPr>
        <w:spacing w:line="400" w:lineRule="exact"/>
        <w:jc w:val="center"/>
        <w:outlineLvl w:val="0"/>
        <w:rPr>
          <w:rFonts w:ascii="黑体" w:eastAsia="黑体"/>
          <w:bCs/>
          <w:sz w:val="28"/>
          <w:szCs w:val="28"/>
        </w:rPr>
      </w:pPr>
      <w:r>
        <w:rPr>
          <w:rFonts w:hint="eastAsia" w:ascii="黑体" w:eastAsia="黑体"/>
          <w:bCs/>
          <w:sz w:val="28"/>
          <w:szCs w:val="28"/>
        </w:rPr>
        <w:t>明细报价表</w:t>
      </w:r>
    </w:p>
    <w:p>
      <w:pPr>
        <w:spacing w:line="400" w:lineRule="exact"/>
        <w:rPr>
          <w:rFonts w:ascii="黑体" w:eastAsia="黑体"/>
          <w:bCs/>
          <w:sz w:val="24"/>
          <w:szCs w:val="24"/>
        </w:rPr>
      </w:pPr>
      <w:r>
        <w:rPr>
          <w:rFonts w:hint="eastAsia" w:ascii="黑体" w:eastAsia="黑体"/>
          <w:bCs/>
          <w:sz w:val="24"/>
          <w:szCs w:val="24"/>
        </w:rPr>
        <w:t>报价人名称（盖章）                       采购项目编号：</w:t>
      </w:r>
    </w:p>
    <w:tbl>
      <w:tblPr>
        <w:tblStyle w:val="7"/>
        <w:tblW w:w="9465" w:type="dxa"/>
        <w:tblInd w:w="15" w:type="dxa"/>
        <w:tblLayout w:type="fixed"/>
        <w:tblCellMar>
          <w:top w:w="0" w:type="dxa"/>
          <w:left w:w="0" w:type="dxa"/>
          <w:bottom w:w="0" w:type="dxa"/>
          <w:right w:w="0" w:type="dxa"/>
        </w:tblCellMar>
      </w:tblPr>
      <w:tblGrid>
        <w:gridCol w:w="525"/>
        <w:gridCol w:w="1361"/>
        <w:gridCol w:w="1658"/>
        <w:gridCol w:w="851"/>
        <w:gridCol w:w="337"/>
        <w:gridCol w:w="513"/>
        <w:gridCol w:w="851"/>
        <w:gridCol w:w="567"/>
        <w:gridCol w:w="1701"/>
        <w:gridCol w:w="1101"/>
      </w:tblGrid>
      <w:tr>
        <w:tblPrEx>
          <w:tblCellMar>
            <w:top w:w="0" w:type="dxa"/>
            <w:left w:w="0" w:type="dxa"/>
            <w:bottom w:w="0" w:type="dxa"/>
            <w:right w:w="0" w:type="dxa"/>
          </w:tblCellMar>
        </w:tblPrEx>
        <w:trPr>
          <w:cantSplit/>
          <w:trHeight w:val="49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before="5"/>
              <w:jc w:val="center"/>
              <w:rPr>
                <w:sz w:val="18"/>
              </w:rPr>
            </w:pPr>
            <w:r>
              <w:rPr>
                <w:rFonts w:hint="eastAsia"/>
                <w:sz w:val="18"/>
              </w:rPr>
              <w:t>序号</w:t>
            </w:r>
          </w:p>
        </w:tc>
        <w:tc>
          <w:tcPr>
            <w:tcW w:w="13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before="5"/>
              <w:jc w:val="center"/>
              <w:rPr>
                <w:sz w:val="18"/>
                <w:u w:color="FF0000"/>
              </w:rPr>
            </w:pPr>
            <w:r>
              <w:rPr>
                <w:rFonts w:hint="eastAsia"/>
                <w:sz w:val="18"/>
              </w:rPr>
              <w:t>名称</w:t>
            </w:r>
          </w:p>
        </w:tc>
        <w:tc>
          <w:tcPr>
            <w:tcW w:w="16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before="5"/>
              <w:jc w:val="center"/>
              <w:rPr>
                <w:sz w:val="18"/>
              </w:rPr>
            </w:pPr>
            <w:r>
              <w:rPr>
                <w:rFonts w:hint="eastAsia"/>
                <w:sz w:val="18"/>
                <w:u w:color="FF0000"/>
              </w:rPr>
              <w:t>品牌及规格型号</w:t>
            </w:r>
          </w:p>
        </w:tc>
        <w:tc>
          <w:tcPr>
            <w:tcW w:w="8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5"/>
              <w:jc w:val="center"/>
              <w:rPr>
                <w:sz w:val="18"/>
              </w:rPr>
            </w:pPr>
            <w:r>
              <w:rPr>
                <w:rFonts w:hint="eastAsia"/>
                <w:sz w:val="18"/>
              </w:rPr>
              <w:t>数量</w:t>
            </w:r>
          </w:p>
        </w:tc>
        <w:tc>
          <w:tcPr>
            <w:tcW w:w="850" w:type="dxa"/>
            <w:gridSpan w:val="2"/>
            <w:tcBorders>
              <w:top w:val="single" w:color="auto" w:sz="4" w:space="0"/>
              <w:left w:val="nil"/>
              <w:bottom w:val="single" w:color="auto" w:sz="4" w:space="0"/>
              <w:right w:val="single" w:color="auto" w:sz="4" w:space="0"/>
            </w:tcBorders>
            <w:vAlign w:val="center"/>
          </w:tcPr>
          <w:p>
            <w:pPr>
              <w:spacing w:before="5"/>
              <w:jc w:val="center"/>
              <w:rPr>
                <w:sz w:val="18"/>
              </w:rPr>
            </w:pPr>
            <w:r>
              <w:rPr>
                <w:rFonts w:hint="eastAsia"/>
                <w:sz w:val="18"/>
              </w:rPr>
              <w:t>产地</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before="5"/>
              <w:jc w:val="center"/>
              <w:rPr>
                <w:sz w:val="18"/>
              </w:rPr>
            </w:pPr>
            <w:r>
              <w:rPr>
                <w:rFonts w:hint="eastAsia"/>
                <w:sz w:val="18"/>
              </w:rPr>
              <w:t>质保期</w:t>
            </w:r>
          </w:p>
        </w:tc>
        <w:tc>
          <w:tcPr>
            <w:tcW w:w="567" w:type="dxa"/>
            <w:tcBorders>
              <w:top w:val="single" w:color="auto" w:sz="4" w:space="0"/>
              <w:left w:val="nil"/>
              <w:bottom w:val="single" w:color="auto" w:sz="4" w:space="0"/>
              <w:right w:val="single" w:color="auto" w:sz="4" w:space="0"/>
            </w:tcBorders>
            <w:vAlign w:val="center"/>
          </w:tcPr>
          <w:p>
            <w:pPr>
              <w:spacing w:before="5"/>
              <w:jc w:val="center"/>
              <w:rPr>
                <w:sz w:val="18"/>
              </w:rPr>
            </w:pPr>
            <w:r>
              <w:rPr>
                <w:rFonts w:hint="eastAsia"/>
                <w:sz w:val="18"/>
              </w:rPr>
              <w:t>单报价</w:t>
            </w:r>
          </w:p>
        </w:tc>
        <w:tc>
          <w:tcPr>
            <w:tcW w:w="1701" w:type="dxa"/>
            <w:tcBorders>
              <w:top w:val="single" w:color="auto" w:sz="4" w:space="0"/>
              <w:left w:val="nil"/>
              <w:bottom w:val="single" w:color="auto" w:sz="4" w:space="0"/>
              <w:right w:val="single" w:color="auto" w:sz="4" w:space="0"/>
            </w:tcBorders>
            <w:vAlign w:val="center"/>
          </w:tcPr>
          <w:p>
            <w:pPr>
              <w:spacing w:before="5"/>
              <w:jc w:val="center"/>
              <w:rPr>
                <w:sz w:val="18"/>
              </w:rPr>
            </w:pPr>
            <w:r>
              <w:rPr>
                <w:rFonts w:hint="eastAsia"/>
                <w:sz w:val="18"/>
              </w:rPr>
              <w:t>分项总报价</w:t>
            </w:r>
          </w:p>
        </w:tc>
        <w:tc>
          <w:tcPr>
            <w:tcW w:w="1101" w:type="dxa"/>
            <w:tcBorders>
              <w:top w:val="single" w:color="auto" w:sz="4" w:space="0"/>
              <w:left w:val="nil"/>
              <w:bottom w:val="single" w:color="auto" w:sz="4" w:space="0"/>
              <w:right w:val="single" w:color="auto" w:sz="4" w:space="0"/>
            </w:tcBorders>
            <w:vAlign w:val="center"/>
          </w:tcPr>
          <w:p>
            <w:pPr>
              <w:spacing w:before="5"/>
              <w:jc w:val="center"/>
              <w:rPr>
                <w:sz w:val="18"/>
              </w:rPr>
            </w:pPr>
          </w:p>
        </w:tc>
      </w:tr>
      <w:tr>
        <w:tblPrEx>
          <w:tblCellMar>
            <w:top w:w="0" w:type="dxa"/>
            <w:left w:w="0" w:type="dxa"/>
            <w:bottom w:w="0" w:type="dxa"/>
            <w:right w:w="0" w:type="dxa"/>
          </w:tblCellMar>
        </w:tblPrEx>
        <w:trPr>
          <w:cantSplit/>
          <w:trHeight w:val="362"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pStyle w:val="5"/>
              <w:pBdr>
                <w:bottom w:val="none" w:color="auto" w:sz="0" w:space="0"/>
              </w:pBdr>
              <w:tabs>
                <w:tab w:val="clear" w:pos="4153"/>
                <w:tab w:val="clear" w:pos="8306"/>
              </w:tabs>
              <w:snapToGrid/>
              <w:spacing w:before="5"/>
              <w:rPr>
                <w:rFonts w:ascii="宋体" w:hAnsi="宋体"/>
              </w:rPr>
            </w:pPr>
            <w:r>
              <w:rPr>
                <w:rFonts w:hint="eastAsia" w:ascii="宋体" w:hAnsi="宋体"/>
              </w:rPr>
              <w:t>1</w:t>
            </w:r>
          </w:p>
        </w:tc>
        <w:tc>
          <w:tcPr>
            <w:tcW w:w="13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5"/>
              <w:pBdr>
                <w:bottom w:val="none" w:color="auto" w:sz="0" w:space="0"/>
              </w:pBdr>
              <w:tabs>
                <w:tab w:val="clear" w:pos="4153"/>
                <w:tab w:val="clear" w:pos="8306"/>
              </w:tabs>
              <w:snapToGrid/>
              <w:rPr>
                <w:rFonts w:ascii="宋体" w:hAnsi="宋体"/>
                <w:bCs/>
              </w:rPr>
            </w:pPr>
          </w:p>
        </w:tc>
        <w:tc>
          <w:tcPr>
            <w:tcW w:w="16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sz w:val="18"/>
              </w:rPr>
            </w:pPr>
            <w:r>
              <w:rPr>
                <w:rFonts w:hint="eastAsia" w:ascii="宋体"/>
                <w:bCs/>
                <w:sz w:val="18"/>
              </w:rPr>
              <w:t>　</w:t>
            </w:r>
          </w:p>
        </w:tc>
        <w:tc>
          <w:tcPr>
            <w:tcW w:w="850" w:type="dxa"/>
            <w:gridSpan w:val="2"/>
            <w:tcBorders>
              <w:top w:val="nil"/>
              <w:left w:val="nil"/>
              <w:bottom w:val="single" w:color="auto" w:sz="4" w:space="0"/>
              <w:right w:val="single" w:color="auto" w:sz="4" w:space="0"/>
            </w:tcBorders>
            <w:vAlign w:val="center"/>
          </w:tcPr>
          <w:p>
            <w:pPr>
              <w:jc w:val="center"/>
              <w:rPr>
                <w:rFonts w:ascii="宋体"/>
                <w:bCs/>
                <w:sz w:val="18"/>
              </w:rP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p>
            <w:pPr>
              <w:jc w:val="center"/>
              <w:rPr>
                <w:rFonts w:ascii="黑体" w:hAnsi="宋体" w:eastAsia="黑体"/>
                <w:b/>
                <w:bCs/>
                <w:sz w:val="24"/>
                <w:szCs w:val="24"/>
              </w:rPr>
            </w:pPr>
            <w:r>
              <w:rPr>
                <w:rFonts w:hint="eastAsia" w:ascii="黑体" w:eastAsia="黑体"/>
                <w:b/>
                <w:bCs/>
              </w:rPr>
              <w:t>　</w:t>
            </w:r>
          </w:p>
        </w:tc>
        <w:tc>
          <w:tcPr>
            <w:tcW w:w="567" w:type="dxa"/>
            <w:tcBorders>
              <w:top w:val="nil"/>
              <w:left w:val="nil"/>
              <w:bottom w:val="single" w:color="auto" w:sz="4" w:space="0"/>
              <w:right w:val="single" w:color="auto" w:sz="4" w:space="0"/>
            </w:tcBorders>
            <w:vAlign w:val="center"/>
          </w:tcPr>
          <w:p>
            <w:pPr>
              <w:jc w:val="center"/>
              <w:rPr>
                <w:rFonts w:ascii="黑体" w:hAnsi="宋体" w:eastAsia="黑体"/>
                <w:b/>
                <w:bCs/>
                <w:sz w:val="24"/>
                <w:szCs w:val="24"/>
              </w:rPr>
            </w:pPr>
          </w:p>
        </w:tc>
        <w:tc>
          <w:tcPr>
            <w:tcW w:w="1701" w:type="dxa"/>
            <w:tcBorders>
              <w:top w:val="nil"/>
              <w:left w:val="nil"/>
              <w:bottom w:val="single" w:color="auto" w:sz="4" w:space="0"/>
              <w:right w:val="single" w:color="auto" w:sz="4" w:space="0"/>
            </w:tcBorders>
            <w:vAlign w:val="center"/>
          </w:tcPr>
          <w:p>
            <w:pPr>
              <w:jc w:val="center"/>
              <w:rPr>
                <w:rFonts w:ascii="黑体" w:hAnsi="宋体" w:eastAsia="黑体"/>
                <w:b/>
                <w:bCs/>
                <w:sz w:val="24"/>
                <w:szCs w:val="24"/>
              </w:rPr>
            </w:pPr>
          </w:p>
        </w:tc>
        <w:tc>
          <w:tcPr>
            <w:tcW w:w="1101" w:type="dxa"/>
            <w:tcBorders>
              <w:top w:val="nil"/>
              <w:left w:val="nil"/>
              <w:bottom w:val="single" w:color="auto" w:sz="4" w:space="0"/>
              <w:right w:val="single" w:color="auto" w:sz="4" w:space="0"/>
            </w:tcBorders>
            <w:vAlign w:val="center"/>
          </w:tcPr>
          <w:p>
            <w:pPr>
              <w:jc w:val="center"/>
              <w:rPr>
                <w:rFonts w:ascii="黑体" w:hAnsi="宋体" w:eastAsia="黑体"/>
                <w:b/>
                <w:bCs/>
                <w:sz w:val="24"/>
                <w:szCs w:val="24"/>
              </w:rPr>
            </w:pPr>
          </w:p>
        </w:tc>
      </w:tr>
      <w:tr>
        <w:tblPrEx>
          <w:tblCellMar>
            <w:top w:w="0" w:type="dxa"/>
            <w:left w:w="0" w:type="dxa"/>
            <w:bottom w:w="0" w:type="dxa"/>
            <w:right w:w="0" w:type="dxa"/>
          </w:tblCellMar>
        </w:tblPrEx>
        <w:trPr>
          <w:cantSplit/>
          <w:trHeight w:val="328"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sz w:val="18"/>
              </w:rPr>
            </w:pPr>
            <w:r>
              <w:rPr>
                <w:rFonts w:hint="eastAsia" w:ascii="宋体" w:hAnsi="宋体"/>
                <w:sz w:val="18"/>
              </w:rPr>
              <w:t>2</w:t>
            </w:r>
          </w:p>
        </w:tc>
        <w:tc>
          <w:tcPr>
            <w:tcW w:w="13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rPr>
            </w:pPr>
          </w:p>
        </w:tc>
        <w:tc>
          <w:tcPr>
            <w:tcW w:w="16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bCs/>
                <w:sz w:val="18"/>
              </w:rPr>
            </w:pP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sz w:val="18"/>
              </w:rPr>
            </w:pPr>
            <w:r>
              <w:rPr>
                <w:rFonts w:hint="eastAsia" w:ascii="宋体"/>
                <w:bCs/>
                <w:sz w:val="18"/>
              </w:rPr>
              <w:t>　</w:t>
            </w:r>
          </w:p>
        </w:tc>
        <w:tc>
          <w:tcPr>
            <w:tcW w:w="850" w:type="dxa"/>
            <w:gridSpan w:val="2"/>
            <w:tcBorders>
              <w:top w:val="single" w:color="auto" w:sz="4" w:space="0"/>
              <w:left w:val="nil"/>
              <w:bottom w:val="single" w:color="auto" w:sz="4" w:space="0"/>
              <w:right w:val="single" w:color="auto" w:sz="4" w:space="0"/>
            </w:tcBorders>
            <w:vAlign w:val="center"/>
          </w:tcPr>
          <w:p>
            <w:pPr>
              <w:jc w:val="center"/>
              <w:rPr>
                <w:rFonts w:ascii="宋体"/>
                <w:bCs/>
                <w:sz w:val="18"/>
              </w:rPr>
            </w:pP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p>
            <w:pPr>
              <w:jc w:val="center"/>
              <w:rPr>
                <w:rFonts w:ascii="黑体" w:hAnsi="宋体" w:eastAsia="黑体"/>
                <w:b/>
                <w:bCs/>
                <w:sz w:val="24"/>
                <w:szCs w:val="24"/>
              </w:rPr>
            </w:pPr>
            <w:r>
              <w:rPr>
                <w:rFonts w:hint="eastAsia" w:ascii="黑体" w:eastAsia="黑体"/>
                <w:b/>
                <w:bCs/>
              </w:rPr>
              <w:t>　</w:t>
            </w:r>
          </w:p>
        </w:tc>
        <w:tc>
          <w:tcPr>
            <w:tcW w:w="567" w:type="dxa"/>
            <w:tcBorders>
              <w:top w:val="single" w:color="auto" w:sz="4" w:space="0"/>
              <w:left w:val="nil"/>
              <w:bottom w:val="single" w:color="auto" w:sz="4" w:space="0"/>
              <w:right w:val="single" w:color="auto" w:sz="4" w:space="0"/>
            </w:tcBorders>
            <w:vAlign w:val="center"/>
          </w:tcPr>
          <w:p>
            <w:pPr>
              <w:jc w:val="center"/>
              <w:rPr>
                <w:rFonts w:ascii="黑体" w:hAnsi="宋体" w:eastAsia="黑体"/>
                <w:b/>
                <w:bCs/>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黑体" w:hAnsi="宋体" w:eastAsia="黑体"/>
                <w:b/>
                <w:bCs/>
                <w:sz w:val="24"/>
                <w:szCs w:val="24"/>
              </w:rPr>
            </w:pPr>
          </w:p>
        </w:tc>
        <w:tc>
          <w:tcPr>
            <w:tcW w:w="1101" w:type="dxa"/>
            <w:tcBorders>
              <w:top w:val="single" w:color="auto" w:sz="4" w:space="0"/>
              <w:left w:val="nil"/>
              <w:bottom w:val="single" w:color="auto" w:sz="4" w:space="0"/>
              <w:right w:val="single" w:color="auto" w:sz="4" w:space="0"/>
            </w:tcBorders>
            <w:vAlign w:val="center"/>
          </w:tcPr>
          <w:p>
            <w:pPr>
              <w:jc w:val="center"/>
              <w:rPr>
                <w:rFonts w:ascii="黑体" w:hAnsi="宋体" w:eastAsia="黑体"/>
                <w:b/>
                <w:bCs/>
                <w:sz w:val="24"/>
                <w:szCs w:val="24"/>
              </w:rPr>
            </w:pPr>
          </w:p>
        </w:tc>
      </w:tr>
      <w:tr>
        <w:tblPrEx>
          <w:tblCellMar>
            <w:top w:w="0" w:type="dxa"/>
            <w:left w:w="0" w:type="dxa"/>
            <w:bottom w:w="0" w:type="dxa"/>
            <w:right w:w="0" w:type="dxa"/>
          </w:tblCellMar>
        </w:tblPrEx>
        <w:trPr>
          <w:cantSplit/>
          <w:trHeight w:val="436" w:hRule="atLeast"/>
        </w:trPr>
        <w:tc>
          <w:tcPr>
            <w:tcW w:w="4732" w:type="dxa"/>
            <w:gridSpan w:val="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sz w:val="24"/>
              </w:rPr>
            </w:pPr>
            <w:r>
              <w:rPr>
                <w:rFonts w:hint="eastAsia" w:ascii="宋体"/>
                <w:b/>
                <w:bCs/>
                <w:sz w:val="24"/>
              </w:rPr>
              <w:t>其中属于小、微型企业产品的价格合计（小写）</w:t>
            </w:r>
          </w:p>
        </w:tc>
        <w:tc>
          <w:tcPr>
            <w:tcW w:w="4733" w:type="dxa"/>
            <w:gridSpan w:val="5"/>
            <w:tcBorders>
              <w:top w:val="single" w:color="auto" w:sz="4" w:space="0"/>
              <w:left w:val="single" w:color="auto" w:sz="4" w:space="0"/>
              <w:bottom w:val="single" w:color="auto" w:sz="4" w:space="0"/>
              <w:right w:val="single" w:color="auto" w:sz="4" w:space="0"/>
            </w:tcBorders>
            <w:vAlign w:val="center"/>
          </w:tcPr>
          <w:p>
            <w:pPr>
              <w:rPr>
                <w:rFonts w:ascii="宋体"/>
                <w:b/>
                <w:bCs/>
                <w:sz w:val="24"/>
              </w:rPr>
            </w:pPr>
          </w:p>
        </w:tc>
      </w:tr>
    </w:tbl>
    <w:p>
      <w:pPr>
        <w:spacing w:before="5" w:line="560" w:lineRule="atLeast"/>
        <w:rPr>
          <w:b/>
          <w:bCs/>
          <w:sz w:val="24"/>
          <w:szCs w:val="24"/>
        </w:rPr>
      </w:pPr>
    </w:p>
    <w:p>
      <w:pPr>
        <w:spacing w:before="5" w:line="560" w:lineRule="atLeast"/>
        <w:rPr>
          <w:b/>
          <w:bCs/>
          <w:sz w:val="24"/>
          <w:szCs w:val="24"/>
        </w:rPr>
      </w:pPr>
      <w:r>
        <w:rPr>
          <w:rFonts w:hint="eastAsia"/>
          <w:b/>
          <w:bCs/>
          <w:sz w:val="24"/>
          <w:szCs w:val="24"/>
        </w:rPr>
        <w:t>法定代表人或法定代表人授权代表签字或盖章：</w:t>
      </w:r>
    </w:p>
    <w:p>
      <w:pPr>
        <w:spacing w:line="400" w:lineRule="exact"/>
        <w:outlineLvl w:val="0"/>
        <w:rPr>
          <w:rFonts w:ascii="宋体" w:hAnsi="宋体"/>
          <w:b/>
          <w:sz w:val="24"/>
          <w:szCs w:val="24"/>
        </w:rPr>
      </w:pPr>
    </w:p>
    <w:p/>
    <w:p/>
    <w:p/>
    <w:p/>
    <w:p/>
    <w:p/>
    <w:p/>
    <w:p/>
    <w:p/>
    <w:p>
      <w:pPr>
        <w:spacing w:line="400" w:lineRule="exact"/>
        <w:jc w:val="center"/>
        <w:outlineLvl w:val="0"/>
        <w:rPr>
          <w:rFonts w:ascii="宋体" w:hAnsi="宋体"/>
          <w:b/>
          <w:sz w:val="24"/>
          <w:szCs w:val="24"/>
        </w:rPr>
      </w:pPr>
      <w:r>
        <w:br w:type="page"/>
      </w:r>
      <w:r>
        <w:rPr>
          <w:rFonts w:hint="eastAsia" w:ascii="黑体" w:eastAsia="黑体"/>
          <w:bCs/>
          <w:sz w:val="28"/>
          <w:szCs w:val="28"/>
        </w:rPr>
        <w:t>采购需求响应表</w:t>
      </w:r>
    </w:p>
    <w:p>
      <w:pPr>
        <w:spacing w:line="400" w:lineRule="exact"/>
        <w:rPr>
          <w:rFonts w:ascii="黑体" w:eastAsia="黑体"/>
          <w:bCs/>
          <w:sz w:val="24"/>
          <w:szCs w:val="24"/>
        </w:rPr>
      </w:pPr>
    </w:p>
    <w:p>
      <w:pPr>
        <w:spacing w:line="400" w:lineRule="exact"/>
        <w:rPr>
          <w:rFonts w:ascii="黑体" w:eastAsia="黑体"/>
          <w:bCs/>
          <w:sz w:val="24"/>
          <w:szCs w:val="24"/>
        </w:rPr>
      </w:pPr>
      <w:r>
        <w:rPr>
          <w:rFonts w:hint="eastAsia" w:ascii="黑体" w:eastAsia="黑体"/>
          <w:bCs/>
          <w:sz w:val="24"/>
          <w:szCs w:val="24"/>
        </w:rPr>
        <w:t>报价人名称（盖章）                              采购项目编号：</w:t>
      </w:r>
    </w:p>
    <w:tbl>
      <w:tblPr>
        <w:tblStyle w:val="7"/>
        <w:tblW w:w="9975" w:type="dxa"/>
        <w:jc w:val="center"/>
        <w:tblLayout w:type="fixed"/>
        <w:tblCellMar>
          <w:top w:w="0" w:type="dxa"/>
          <w:left w:w="0" w:type="dxa"/>
          <w:bottom w:w="0" w:type="dxa"/>
          <w:right w:w="0" w:type="dxa"/>
        </w:tblCellMar>
      </w:tblPr>
      <w:tblGrid>
        <w:gridCol w:w="420"/>
        <w:gridCol w:w="3570"/>
        <w:gridCol w:w="3150"/>
        <w:gridCol w:w="2835"/>
      </w:tblGrid>
      <w:tr>
        <w:tblPrEx>
          <w:tblCellMar>
            <w:top w:w="0" w:type="dxa"/>
            <w:left w:w="0" w:type="dxa"/>
            <w:bottom w:w="0" w:type="dxa"/>
            <w:right w:w="0" w:type="dxa"/>
          </w:tblCellMar>
        </w:tblPrEx>
        <w:trPr>
          <w:cantSplit/>
          <w:trHeight w:val="495" w:hRule="atLeast"/>
          <w:jc w:val="center"/>
        </w:trPr>
        <w:tc>
          <w:tcPr>
            <w:tcW w:w="4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before="5"/>
              <w:jc w:val="center"/>
              <w:rPr>
                <w:sz w:val="18"/>
              </w:rPr>
            </w:pPr>
            <w:r>
              <w:rPr>
                <w:rFonts w:hint="eastAsia"/>
                <w:sz w:val="18"/>
              </w:rPr>
              <w:t>序号</w:t>
            </w:r>
          </w:p>
        </w:tc>
        <w:tc>
          <w:tcPr>
            <w:tcW w:w="357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before="5"/>
              <w:jc w:val="center"/>
              <w:rPr>
                <w:sz w:val="18"/>
                <w:u w:color="FF0000"/>
              </w:rPr>
            </w:pPr>
            <w:r>
              <w:rPr>
                <w:rFonts w:hint="eastAsia"/>
                <w:sz w:val="18"/>
                <w:u w:color="FF0000"/>
              </w:rPr>
              <w:t>采购需求</w:t>
            </w:r>
          </w:p>
        </w:tc>
        <w:tc>
          <w:tcPr>
            <w:tcW w:w="31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before="5"/>
              <w:jc w:val="center"/>
              <w:rPr>
                <w:sz w:val="18"/>
              </w:rPr>
            </w:pPr>
            <w:r>
              <w:rPr>
                <w:rFonts w:hint="eastAsia"/>
                <w:sz w:val="18"/>
                <w:u w:color="FF0000"/>
              </w:rPr>
              <w:t>响应情况</w:t>
            </w:r>
          </w:p>
        </w:tc>
        <w:tc>
          <w:tcPr>
            <w:tcW w:w="28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5"/>
              <w:jc w:val="center"/>
              <w:rPr>
                <w:sz w:val="18"/>
                <w:u w:color="FF0000"/>
              </w:rPr>
            </w:pPr>
            <w:r>
              <w:rPr>
                <w:rFonts w:hint="eastAsia"/>
                <w:sz w:val="18"/>
                <w:u w:color="FF0000"/>
              </w:rPr>
              <w:t>偏离情况</w:t>
            </w:r>
          </w:p>
        </w:tc>
      </w:tr>
      <w:tr>
        <w:tblPrEx>
          <w:tblCellMar>
            <w:top w:w="0" w:type="dxa"/>
            <w:left w:w="0" w:type="dxa"/>
            <w:bottom w:w="0" w:type="dxa"/>
            <w:right w:w="0" w:type="dxa"/>
          </w:tblCellMar>
        </w:tblPrEx>
        <w:trPr>
          <w:cantSplit/>
          <w:trHeight w:val="386" w:hRule="atLeast"/>
          <w:jc w:val="center"/>
        </w:trPr>
        <w:tc>
          <w:tcPr>
            <w:tcW w:w="9975" w:type="dxa"/>
            <w:gridSpan w:val="4"/>
            <w:tcBorders>
              <w:top w:val="nil"/>
              <w:left w:val="single" w:color="auto" w:sz="4" w:space="0"/>
              <w:bottom w:val="single" w:color="auto" w:sz="4" w:space="0"/>
            </w:tcBorders>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性能参数部分</w:t>
            </w:r>
          </w:p>
        </w:tc>
      </w:tr>
      <w:tr>
        <w:tblPrEx>
          <w:tblCellMar>
            <w:top w:w="0" w:type="dxa"/>
            <w:left w:w="0" w:type="dxa"/>
            <w:bottom w:w="0" w:type="dxa"/>
            <w:right w:w="0" w:type="dxa"/>
          </w:tblCellMar>
        </w:tblPrEx>
        <w:trPr>
          <w:cantSplit/>
          <w:trHeight w:val="462" w:hRule="atLeast"/>
          <w:jc w:val="center"/>
        </w:trPr>
        <w:tc>
          <w:tcPr>
            <w:tcW w:w="4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rPr>
            </w:pPr>
            <w:r>
              <w:rPr>
                <w:rFonts w:hint="eastAsia" w:ascii="宋体" w:hAnsi="宋体"/>
                <w:sz w:val="18"/>
              </w:rPr>
              <w:t>1</w:t>
            </w:r>
          </w:p>
        </w:tc>
        <w:tc>
          <w:tcPr>
            <w:tcW w:w="357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5"/>
              <w:pBdr>
                <w:bottom w:val="none" w:color="auto" w:sz="0" w:space="0"/>
              </w:pBdr>
              <w:tabs>
                <w:tab w:val="clear" w:pos="4153"/>
                <w:tab w:val="clear" w:pos="8306"/>
              </w:tabs>
              <w:snapToGrid/>
              <w:rPr>
                <w:rFonts w:ascii="宋体" w:hAns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bCs/>
                <w:sz w:val="18"/>
              </w:rPr>
            </w:pPr>
          </w:p>
        </w:tc>
        <w:tc>
          <w:tcPr>
            <w:tcW w:w="28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p>
            <w:pPr>
              <w:jc w:val="center"/>
              <w:rPr>
                <w:rFonts w:ascii="黑体" w:hAnsi="宋体" w:eastAsia="黑体"/>
                <w:b/>
                <w:bCs/>
                <w:sz w:val="24"/>
                <w:szCs w:val="24"/>
              </w:rPr>
            </w:pPr>
            <w:r>
              <w:rPr>
                <w:rFonts w:hint="eastAsia" w:ascii="黑体" w:eastAsia="黑体"/>
                <w:b/>
                <w:bCs/>
              </w:rPr>
              <w:t>　</w:t>
            </w:r>
          </w:p>
        </w:tc>
      </w:tr>
      <w:tr>
        <w:tblPrEx>
          <w:tblCellMar>
            <w:top w:w="0" w:type="dxa"/>
            <w:left w:w="0" w:type="dxa"/>
            <w:bottom w:w="0" w:type="dxa"/>
            <w:right w:w="0" w:type="dxa"/>
          </w:tblCellMar>
        </w:tblPrEx>
        <w:trPr>
          <w:cantSplit/>
          <w:trHeight w:val="442" w:hRule="atLeast"/>
          <w:jc w:val="center"/>
        </w:trPr>
        <w:tc>
          <w:tcPr>
            <w:tcW w:w="4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rPr>
            </w:pPr>
            <w:r>
              <w:rPr>
                <w:rFonts w:hint="eastAsia" w:ascii="宋体" w:hAnsi="宋体"/>
                <w:sz w:val="18"/>
              </w:rPr>
              <w:t>2</w:t>
            </w:r>
          </w:p>
        </w:tc>
        <w:tc>
          <w:tcPr>
            <w:tcW w:w="357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5"/>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黑体" w:hAnsi="宋体" w:eastAsia="黑体"/>
                <w:b/>
                <w:bCs/>
                <w:sz w:val="24"/>
                <w:szCs w:val="24"/>
              </w:rPr>
            </w:pPr>
          </w:p>
        </w:tc>
      </w:tr>
      <w:tr>
        <w:tblPrEx>
          <w:tblCellMar>
            <w:top w:w="0" w:type="dxa"/>
            <w:left w:w="0" w:type="dxa"/>
            <w:bottom w:w="0" w:type="dxa"/>
            <w:right w:w="0" w:type="dxa"/>
          </w:tblCellMar>
        </w:tblPrEx>
        <w:trPr>
          <w:cantSplit/>
          <w:trHeight w:val="458" w:hRule="atLeast"/>
          <w:jc w:val="center"/>
        </w:trPr>
        <w:tc>
          <w:tcPr>
            <w:tcW w:w="9975" w:type="dxa"/>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服务承诺部分</w:t>
            </w:r>
          </w:p>
        </w:tc>
      </w:tr>
      <w:tr>
        <w:tblPrEx>
          <w:tblCellMar>
            <w:top w:w="0" w:type="dxa"/>
            <w:left w:w="0" w:type="dxa"/>
            <w:bottom w:w="0" w:type="dxa"/>
            <w:right w:w="0" w:type="dxa"/>
          </w:tblCellMar>
        </w:tblPrEx>
        <w:trPr>
          <w:cantSplit/>
          <w:trHeight w:val="458" w:hRule="atLeast"/>
          <w:jc w:val="center"/>
        </w:trPr>
        <w:tc>
          <w:tcPr>
            <w:tcW w:w="4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rPr>
            </w:pPr>
            <w:r>
              <w:rPr>
                <w:rFonts w:hint="eastAsia" w:ascii="宋体" w:hAnsi="宋体"/>
                <w:sz w:val="18"/>
              </w:rPr>
              <w:t>1</w:t>
            </w:r>
          </w:p>
        </w:tc>
        <w:tc>
          <w:tcPr>
            <w:tcW w:w="357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5"/>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黑体" w:hAnsi="宋体" w:eastAsia="黑体"/>
                <w:b/>
                <w:bCs/>
                <w:sz w:val="24"/>
                <w:szCs w:val="24"/>
              </w:rPr>
            </w:pPr>
          </w:p>
        </w:tc>
      </w:tr>
      <w:tr>
        <w:tblPrEx>
          <w:tblCellMar>
            <w:top w:w="0" w:type="dxa"/>
            <w:left w:w="0" w:type="dxa"/>
            <w:bottom w:w="0" w:type="dxa"/>
            <w:right w:w="0" w:type="dxa"/>
          </w:tblCellMar>
        </w:tblPrEx>
        <w:trPr>
          <w:cantSplit/>
          <w:trHeight w:val="458" w:hRule="atLeast"/>
          <w:jc w:val="center"/>
        </w:trPr>
        <w:tc>
          <w:tcPr>
            <w:tcW w:w="4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rPr>
            </w:pPr>
            <w:r>
              <w:rPr>
                <w:rFonts w:hint="eastAsia" w:ascii="宋体" w:hAnsi="宋体"/>
                <w:sz w:val="18"/>
              </w:rPr>
              <w:t>2</w:t>
            </w:r>
          </w:p>
        </w:tc>
        <w:tc>
          <w:tcPr>
            <w:tcW w:w="357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5"/>
              <w:pBdr>
                <w:bottom w:val="none" w:color="auto" w:sz="0" w:space="0"/>
              </w:pBdr>
              <w:tabs>
                <w:tab w:val="clear" w:pos="4153"/>
                <w:tab w:val="clear" w:pos="8306"/>
              </w:tabs>
              <w:snapToGrid/>
              <w:rPr>
                <w:rFonts w:ascii="宋体"/>
                <w:bCs/>
              </w:rPr>
            </w:pPr>
          </w:p>
        </w:tc>
        <w:tc>
          <w:tcPr>
            <w:tcW w:w="3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rPr>
            </w:pPr>
          </w:p>
        </w:tc>
        <w:tc>
          <w:tcPr>
            <w:tcW w:w="28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黑体" w:hAnsi="宋体" w:eastAsia="黑体"/>
                <w:b/>
                <w:bCs/>
                <w:sz w:val="24"/>
                <w:szCs w:val="24"/>
              </w:rPr>
            </w:pPr>
          </w:p>
        </w:tc>
      </w:tr>
    </w:tbl>
    <w:p>
      <w:pPr>
        <w:spacing w:before="5" w:line="560" w:lineRule="atLeast"/>
        <w:rPr>
          <w:b/>
          <w:bCs/>
          <w:sz w:val="24"/>
          <w:szCs w:val="24"/>
        </w:rPr>
      </w:pPr>
      <w:r>
        <w:rPr>
          <w:rFonts w:hint="eastAsia"/>
          <w:b/>
          <w:bCs/>
          <w:sz w:val="24"/>
          <w:szCs w:val="24"/>
        </w:rPr>
        <w:t>法定代表人或法定代表人授权代表签字或盖章：</w:t>
      </w:r>
    </w:p>
    <w:p>
      <w:pPr>
        <w:spacing w:line="400" w:lineRule="exact"/>
        <w:ind w:firstLine="474" w:firstLineChars="225"/>
        <w:outlineLvl w:val="0"/>
        <w:rPr>
          <w:rFonts w:ascii="宋体" w:hAnsi="宋体"/>
          <w:bCs/>
          <w:szCs w:val="21"/>
        </w:rPr>
      </w:pPr>
      <w:r>
        <w:rPr>
          <w:rFonts w:hint="eastAsia" w:ascii="宋体" w:hAnsi="宋体"/>
          <w:b/>
          <w:szCs w:val="21"/>
        </w:rPr>
        <w:t>注：</w:t>
      </w:r>
      <w:r>
        <w:rPr>
          <w:rFonts w:hint="eastAsia" w:ascii="宋体" w:hAnsi="宋体"/>
          <w:bCs/>
          <w:szCs w:val="21"/>
        </w:rPr>
        <w:t>（1）</w:t>
      </w:r>
      <w:r>
        <w:rPr>
          <w:rFonts w:hint="eastAsia" w:ascii="宋体" w:hAnsi="宋体" w:cs="宋体"/>
          <w:kern w:val="0"/>
          <w:szCs w:val="21"/>
          <w:lang w:val="zh-CN"/>
        </w:rPr>
        <w:t>在“</w:t>
      </w:r>
      <w:r>
        <w:rPr>
          <w:rFonts w:hint="eastAsia" w:ascii="宋体" w:hAnsi="宋体"/>
          <w:bCs/>
          <w:szCs w:val="21"/>
        </w:rPr>
        <w:t>是否属于小、微型企业产品</w:t>
      </w:r>
      <w:r>
        <w:rPr>
          <w:rFonts w:hint="eastAsia" w:ascii="宋体" w:hAnsi="宋体" w:cs="宋体"/>
          <w:kern w:val="0"/>
          <w:szCs w:val="21"/>
          <w:lang w:val="zh-CN"/>
        </w:rPr>
        <w:t>”栏内填写“是”或“否”。如填写“是”，必须在“产地“栏内加填</w:t>
      </w:r>
      <w:r>
        <w:rPr>
          <w:rFonts w:hint="eastAsia" w:ascii="宋体" w:hAnsi="宋体"/>
          <w:bCs/>
          <w:szCs w:val="21"/>
        </w:rPr>
        <w:t>小、微型企业的完整名称，以及</w:t>
      </w:r>
      <w:r>
        <w:rPr>
          <w:rFonts w:hint="eastAsia" w:ascii="宋体" w:hAnsi="宋体" w:cs="宋体"/>
          <w:kern w:val="0"/>
          <w:szCs w:val="21"/>
          <w:lang w:val="zh-CN"/>
        </w:rPr>
        <w:t>提供</w:t>
      </w:r>
      <w:r>
        <w:rPr>
          <w:rFonts w:hint="eastAsia" w:ascii="宋体" w:hAnsi="宋体"/>
          <w:bCs/>
          <w:szCs w:val="21"/>
        </w:rPr>
        <w:t>小、微型企业所在地的县级以上中小企业主管部门对该企业为小、微型企业的认定（有效）证明复印件、报价人</w:t>
      </w:r>
      <w:r>
        <w:rPr>
          <w:rFonts w:hint="eastAsia" w:ascii="宋体" w:hAnsi="宋体" w:cs="宋体"/>
          <w:kern w:val="0"/>
          <w:szCs w:val="21"/>
          <w:lang w:val="zh-CN"/>
        </w:rPr>
        <w:t>《中小企业声明函》</w:t>
      </w:r>
      <w:r>
        <w:rPr>
          <w:rFonts w:hint="eastAsia" w:ascii="宋体" w:hAnsi="宋体"/>
          <w:bCs/>
          <w:szCs w:val="21"/>
        </w:rPr>
        <w:t>和报价人所在地的县级以上中小企业主管部门对报价人为中型或小、微型企业的认定（有效）证明复印件；如未按要求填写和提供有效证明或</w:t>
      </w:r>
      <w:r>
        <w:rPr>
          <w:rFonts w:hint="eastAsia" w:ascii="宋体" w:hAnsi="宋体" w:cs="宋体"/>
          <w:kern w:val="0"/>
          <w:szCs w:val="21"/>
          <w:lang w:val="zh-CN"/>
        </w:rPr>
        <w:t>相关内容表述不清的，</w:t>
      </w:r>
      <w:r>
        <w:rPr>
          <w:rFonts w:hint="eastAsia" w:ascii="宋体" w:hAnsi="宋体"/>
          <w:bCs/>
          <w:szCs w:val="21"/>
        </w:rPr>
        <w:t>不得享受价格扣除。</w:t>
      </w:r>
      <w:r>
        <w:rPr>
          <w:rFonts w:hint="eastAsia" w:ascii="宋体" w:hAnsi="宋体" w:cs="宋体"/>
          <w:kern w:val="0"/>
          <w:szCs w:val="21"/>
          <w:lang w:val="zh-CN"/>
        </w:rPr>
        <w:t>报价人对所报相关数据的真实性负责，泰州职业技术学院有权将相关内容进行公示；</w:t>
      </w:r>
    </w:p>
    <w:p>
      <w:pPr>
        <w:spacing w:line="400" w:lineRule="exact"/>
        <w:ind w:firstLine="787" w:firstLineChars="375"/>
        <w:outlineLvl w:val="0"/>
        <w:rPr>
          <w:rFonts w:ascii="宋体" w:hAnsi="宋体"/>
          <w:bCs/>
          <w:szCs w:val="21"/>
        </w:rPr>
      </w:pPr>
      <w:r>
        <w:rPr>
          <w:rFonts w:hint="eastAsia" w:ascii="宋体" w:hAnsi="宋体"/>
          <w:bCs/>
          <w:szCs w:val="21"/>
        </w:rPr>
        <w:t>（2）报价人应当根据“项目技术要求和有关说明”的内容在上表“响应情况”中详细填写，并根据“采购需求”对应填写“偏离情况”；</w:t>
      </w:r>
    </w:p>
    <w:p>
      <w:pPr>
        <w:spacing w:line="400" w:lineRule="exact"/>
        <w:ind w:firstLine="787" w:firstLineChars="375"/>
        <w:outlineLvl w:val="0"/>
        <w:rPr>
          <w:rFonts w:ascii="宋体" w:hAnsi="宋体"/>
          <w:bCs/>
          <w:szCs w:val="21"/>
        </w:rPr>
      </w:pPr>
      <w:r>
        <w:rPr>
          <w:rFonts w:hint="eastAsia" w:ascii="宋体" w:hAnsi="宋体"/>
          <w:bCs/>
          <w:szCs w:val="21"/>
        </w:rPr>
        <w:t>（3）表格不够可自行延长。</w:t>
      </w:r>
    </w:p>
    <w:p/>
    <w:p/>
    <w:p>
      <w:pPr>
        <w:spacing w:line="480" w:lineRule="auto"/>
        <w:rPr>
          <w:rFonts w:ascii="宋体" w:hAnsi="宋体"/>
          <w:bCs/>
          <w:szCs w:val="21"/>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085007CF"/>
    <w:lvl w:ilvl="0" w:tentative="0">
      <w:start w:val="1"/>
      <w:numFmt w:val="decimal"/>
      <w:lvlText w:val="%1."/>
      <w:lvlJc w:val="left"/>
      <w:pPr>
        <w:tabs>
          <w:tab w:val="left" w:pos="630"/>
        </w:tabs>
        <w:ind w:left="630" w:hanging="420"/>
      </w:pPr>
      <w:rPr>
        <w:color w:val="auto"/>
      </w:rPr>
    </w:lvl>
    <w:lvl w:ilvl="1" w:tentative="0">
      <w:start w:val="1"/>
      <w:numFmt w:val="decimalEnclosedCircle"/>
      <w:lvlText w:val="%2"/>
      <w:lvlJc w:val="left"/>
      <w:pPr>
        <w:tabs>
          <w:tab w:val="left" w:pos="1050"/>
        </w:tabs>
        <w:ind w:left="1050" w:hanging="420"/>
      </w:pPr>
      <w:rPr>
        <w:rFonts w:ascii="Times New Roman" w:hAnsi="Times New Roman" w:eastAsia="Times New Roman" w:cs="Times New Roman"/>
        <w:color w:val="auto"/>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18D02AF5"/>
    <w:multiLevelType w:val="singleLevel"/>
    <w:tmpl w:val="18D02AF5"/>
    <w:lvl w:ilvl="0" w:tentative="0">
      <w:start w:val="1"/>
      <w:numFmt w:val="decimal"/>
      <w:lvlText w:val="（%1）"/>
      <w:lvlJc w:val="left"/>
      <w:pPr>
        <w:tabs>
          <w:tab w:val="left" w:pos="852"/>
        </w:tabs>
        <w:ind w:left="852" w:hanging="720"/>
      </w:pPr>
      <w:rPr>
        <w:rFonts w:hint="eastAsia"/>
        <w:color w:val="auto"/>
      </w:rPr>
    </w:lvl>
  </w:abstractNum>
  <w:abstractNum w:abstractNumId="2">
    <w:nsid w:val="1D157606"/>
    <w:multiLevelType w:val="multilevel"/>
    <w:tmpl w:val="1D15760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color w:val="auto"/>
      </w:rPr>
    </w:lvl>
  </w:abstractNum>
  <w:abstractNum w:abstractNumId="4">
    <w:nsid w:val="26D85E2D"/>
    <w:multiLevelType w:val="multilevel"/>
    <w:tmpl w:val="26D85E2D"/>
    <w:lvl w:ilvl="0" w:tentative="0">
      <w:start w:val="1"/>
      <w:numFmt w:val="decimal"/>
      <w:lvlText w:val="%1．"/>
      <w:lvlJc w:val="left"/>
      <w:pPr>
        <w:tabs>
          <w:tab w:val="left" w:pos="898"/>
        </w:tabs>
        <w:ind w:left="898"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F1B6BA0"/>
    <w:multiLevelType w:val="multilevel"/>
    <w:tmpl w:val="2F1B6BA0"/>
    <w:lvl w:ilvl="0" w:tentative="0">
      <w:start w:val="1"/>
      <w:numFmt w:val="decimal"/>
      <w:lvlText w:val="%1."/>
      <w:lvlJc w:val="left"/>
      <w:pPr>
        <w:tabs>
          <w:tab w:val="left" w:pos="778"/>
        </w:tabs>
        <w:ind w:left="778" w:hanging="420"/>
      </w:p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6">
    <w:nsid w:val="30C36D78"/>
    <w:multiLevelType w:val="singleLevel"/>
    <w:tmpl w:val="30C36D78"/>
    <w:lvl w:ilvl="0" w:tentative="0">
      <w:start w:val="1"/>
      <w:numFmt w:val="decimal"/>
      <w:lvlText w:val="%1．"/>
      <w:lvlJc w:val="left"/>
      <w:pPr>
        <w:tabs>
          <w:tab w:val="left" w:pos="552"/>
        </w:tabs>
        <w:ind w:left="552" w:hanging="420"/>
      </w:pPr>
      <w:rPr>
        <w:rFonts w:hint="eastAsia"/>
      </w:rPr>
    </w:lvl>
  </w:abstractNum>
  <w:abstractNum w:abstractNumId="7">
    <w:nsid w:val="30EF6CDD"/>
    <w:multiLevelType w:val="multilevel"/>
    <w:tmpl w:val="30EF6C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8705783"/>
    <w:multiLevelType w:val="singleLevel"/>
    <w:tmpl w:val="38705783"/>
    <w:lvl w:ilvl="0" w:tentative="0">
      <w:start w:val="1"/>
      <w:numFmt w:val="decimal"/>
      <w:lvlText w:val="%1．"/>
      <w:lvlJc w:val="left"/>
      <w:pPr>
        <w:tabs>
          <w:tab w:val="left" w:pos="552"/>
        </w:tabs>
        <w:ind w:left="552" w:hanging="420"/>
      </w:pPr>
      <w:rPr>
        <w:rFonts w:hint="eastAsia"/>
      </w:rPr>
    </w:lvl>
  </w:abstractNum>
  <w:abstractNum w:abstractNumId="9">
    <w:nsid w:val="3C874301"/>
    <w:multiLevelType w:val="multilevel"/>
    <w:tmpl w:val="3C8743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1DC48F5"/>
    <w:multiLevelType w:val="multilevel"/>
    <w:tmpl w:val="41DC48F5"/>
    <w:lvl w:ilvl="0" w:tentative="0">
      <w:start w:val="1"/>
      <w:numFmt w:val="decimal"/>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right"/>
      <w:pPr>
        <w:tabs>
          <w:tab w:val="left" w:pos="1438"/>
        </w:tabs>
        <w:ind w:left="1438" w:hanging="420"/>
      </w:pPr>
      <w:rPr>
        <w:rFonts w:ascii="Times New Roman" w:hAnsi="Times New Roman" w:eastAsia="Times New Roman" w:cs="Times New Roman"/>
        <w:color w:val="auto"/>
      </w:r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11">
    <w:nsid w:val="4A3A5A4B"/>
    <w:multiLevelType w:val="multilevel"/>
    <w:tmpl w:val="4A3A5A4B"/>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B320AA5"/>
    <w:multiLevelType w:val="multilevel"/>
    <w:tmpl w:val="4B320AA5"/>
    <w:lvl w:ilvl="0" w:tentative="0">
      <w:start w:val="1"/>
      <w:numFmt w:val="decimalEnclosedCircle"/>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3">
    <w:nsid w:val="510B6456"/>
    <w:multiLevelType w:val="singleLevel"/>
    <w:tmpl w:val="510B6456"/>
    <w:lvl w:ilvl="0" w:tentative="0">
      <w:start w:val="1"/>
      <w:numFmt w:val="decimal"/>
      <w:lvlText w:val="%1．"/>
      <w:lvlJc w:val="left"/>
      <w:pPr>
        <w:tabs>
          <w:tab w:val="left" w:pos="552"/>
        </w:tabs>
        <w:ind w:left="552" w:hanging="420"/>
      </w:pPr>
      <w:rPr>
        <w:rFonts w:hint="eastAsia"/>
      </w:rPr>
    </w:lvl>
  </w:abstractNum>
  <w:abstractNum w:abstractNumId="14">
    <w:nsid w:val="630C1BC3"/>
    <w:multiLevelType w:val="multilevel"/>
    <w:tmpl w:val="630C1BC3"/>
    <w:lvl w:ilvl="0" w:tentative="0">
      <w:start w:val="1"/>
      <w:numFmt w:val="decimal"/>
      <w:lvlText w:val="%1."/>
      <w:lvlJc w:val="left"/>
      <w:pPr>
        <w:tabs>
          <w:tab w:val="left" w:pos="510"/>
        </w:tabs>
        <w:ind w:left="510"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rPr>
    </w:lvl>
    <w:lvl w:ilvl="5" w:tentative="0">
      <w:start w:val="1"/>
      <w:numFmt w:val="lowerLetter"/>
      <w:lvlText w:val="%6．"/>
      <w:lvlJc w:val="left"/>
      <w:pPr>
        <w:ind w:left="2610" w:hanging="360"/>
      </w:pPr>
      <w:rPr>
        <w:rFonts w:hint="default"/>
        <w:b/>
        <w:color w:val="auto"/>
      </w:rPr>
    </w:lvl>
    <w:lvl w:ilvl="6" w:tentative="0">
      <w:start w:val="1"/>
      <w:numFmt w:val="lowerLetter"/>
      <w:lvlText w:val="%7、"/>
      <w:lvlJc w:val="left"/>
      <w:pPr>
        <w:ind w:left="3030" w:hanging="360"/>
      </w:pPr>
      <w:rPr>
        <w:rFonts w:hint="default"/>
      </w:r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15">
    <w:nsid w:val="64607A38"/>
    <w:multiLevelType w:val="multilevel"/>
    <w:tmpl w:val="64607A38"/>
    <w:lvl w:ilvl="0" w:tentative="0">
      <w:start w:val="1"/>
      <w:numFmt w:val="chineseCountingThousand"/>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C072350"/>
    <w:multiLevelType w:val="multilevel"/>
    <w:tmpl w:val="6C0723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abstractNum w:abstractNumId="18">
    <w:nsid w:val="7A4340BD"/>
    <w:multiLevelType w:val="multilevel"/>
    <w:tmpl w:val="7A4340BD"/>
    <w:lvl w:ilvl="0" w:tentative="0">
      <w:start w:val="1"/>
      <w:numFmt w:val="japaneseCounting"/>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A672089"/>
    <w:multiLevelType w:val="singleLevel"/>
    <w:tmpl w:val="7A672089"/>
    <w:lvl w:ilvl="0" w:tentative="0">
      <w:start w:val="1"/>
      <w:numFmt w:val="decimal"/>
      <w:lvlText w:val="%1."/>
      <w:lvlJc w:val="left"/>
      <w:pPr>
        <w:tabs>
          <w:tab w:val="left" w:pos="762"/>
        </w:tabs>
        <w:ind w:left="762" w:hanging="210"/>
      </w:pPr>
      <w:rPr>
        <w:rFonts w:hint="eastAsia"/>
      </w:rPr>
    </w:lvl>
  </w:abstractNum>
  <w:num w:numId="1">
    <w:abstractNumId w:val="18"/>
  </w:num>
  <w:num w:numId="2">
    <w:abstractNumId w:val="13"/>
  </w:num>
  <w:num w:numId="3">
    <w:abstractNumId w:val="10"/>
  </w:num>
  <w:num w:numId="4">
    <w:abstractNumId w:val="0"/>
  </w:num>
  <w:num w:numId="5">
    <w:abstractNumId w:val="1"/>
  </w:num>
  <w:num w:numId="6">
    <w:abstractNumId w:val="4"/>
  </w:num>
  <w:num w:numId="7">
    <w:abstractNumId w:val="19"/>
  </w:num>
  <w:num w:numId="8">
    <w:abstractNumId w:val="14"/>
  </w:num>
  <w:num w:numId="9">
    <w:abstractNumId w:val="3"/>
  </w:num>
  <w:num w:numId="10">
    <w:abstractNumId w:val="12"/>
  </w:num>
  <w:num w:numId="11">
    <w:abstractNumId w:val="6"/>
  </w:num>
  <w:num w:numId="12">
    <w:abstractNumId w:val="17"/>
  </w:num>
  <w:num w:numId="13">
    <w:abstractNumId w:val="8"/>
  </w:num>
  <w:num w:numId="14">
    <w:abstractNumId w:val="5"/>
  </w:num>
  <w:num w:numId="15">
    <w:abstractNumId w:val="7"/>
  </w:num>
  <w:num w:numId="16">
    <w:abstractNumId w:val="16"/>
  </w:num>
  <w:num w:numId="17">
    <w:abstractNumId w:val="11"/>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2B"/>
    <w:rsid w:val="000122A6"/>
    <w:rsid w:val="00021103"/>
    <w:rsid w:val="0006553E"/>
    <w:rsid w:val="00072A43"/>
    <w:rsid w:val="00077A45"/>
    <w:rsid w:val="00083CD7"/>
    <w:rsid w:val="00093B5A"/>
    <w:rsid w:val="000972F5"/>
    <w:rsid w:val="000C6787"/>
    <w:rsid w:val="00113E4F"/>
    <w:rsid w:val="001A3EFA"/>
    <w:rsid w:val="001D1B00"/>
    <w:rsid w:val="001D626C"/>
    <w:rsid w:val="001E6DBB"/>
    <w:rsid w:val="0023082C"/>
    <w:rsid w:val="00264BF3"/>
    <w:rsid w:val="0026608C"/>
    <w:rsid w:val="002D6C01"/>
    <w:rsid w:val="0032006C"/>
    <w:rsid w:val="00324E24"/>
    <w:rsid w:val="0033503F"/>
    <w:rsid w:val="00351FA7"/>
    <w:rsid w:val="003561D0"/>
    <w:rsid w:val="00371CD2"/>
    <w:rsid w:val="00375477"/>
    <w:rsid w:val="00377E39"/>
    <w:rsid w:val="00397A15"/>
    <w:rsid w:val="003C5218"/>
    <w:rsid w:val="003E08D1"/>
    <w:rsid w:val="003E543A"/>
    <w:rsid w:val="00400104"/>
    <w:rsid w:val="00426B1C"/>
    <w:rsid w:val="00435A31"/>
    <w:rsid w:val="00471762"/>
    <w:rsid w:val="00472DA0"/>
    <w:rsid w:val="00475698"/>
    <w:rsid w:val="00491E7C"/>
    <w:rsid w:val="004C3F6D"/>
    <w:rsid w:val="004C58EF"/>
    <w:rsid w:val="00502356"/>
    <w:rsid w:val="00612480"/>
    <w:rsid w:val="00616355"/>
    <w:rsid w:val="00635D00"/>
    <w:rsid w:val="00676269"/>
    <w:rsid w:val="00697594"/>
    <w:rsid w:val="006B06B0"/>
    <w:rsid w:val="00722D1C"/>
    <w:rsid w:val="00742AE3"/>
    <w:rsid w:val="00744436"/>
    <w:rsid w:val="00771E26"/>
    <w:rsid w:val="00787A11"/>
    <w:rsid w:val="007942EE"/>
    <w:rsid w:val="007C31DE"/>
    <w:rsid w:val="007D7A5C"/>
    <w:rsid w:val="007F4567"/>
    <w:rsid w:val="0080138B"/>
    <w:rsid w:val="00814B1C"/>
    <w:rsid w:val="00820057"/>
    <w:rsid w:val="00826D3A"/>
    <w:rsid w:val="00842BAB"/>
    <w:rsid w:val="00853D40"/>
    <w:rsid w:val="0087012B"/>
    <w:rsid w:val="00916CF4"/>
    <w:rsid w:val="00922003"/>
    <w:rsid w:val="009611CB"/>
    <w:rsid w:val="00974671"/>
    <w:rsid w:val="009B08B1"/>
    <w:rsid w:val="00A137D6"/>
    <w:rsid w:val="00A14C24"/>
    <w:rsid w:val="00A22634"/>
    <w:rsid w:val="00A33539"/>
    <w:rsid w:val="00A50CF9"/>
    <w:rsid w:val="00A74CDB"/>
    <w:rsid w:val="00A7770A"/>
    <w:rsid w:val="00AE5BD8"/>
    <w:rsid w:val="00AF53BD"/>
    <w:rsid w:val="00B015AE"/>
    <w:rsid w:val="00B376B3"/>
    <w:rsid w:val="00B410DC"/>
    <w:rsid w:val="00BA05EC"/>
    <w:rsid w:val="00BB74C0"/>
    <w:rsid w:val="00BC5947"/>
    <w:rsid w:val="00BD112B"/>
    <w:rsid w:val="00BE6324"/>
    <w:rsid w:val="00C021A3"/>
    <w:rsid w:val="00C02F49"/>
    <w:rsid w:val="00C6537C"/>
    <w:rsid w:val="00C66A12"/>
    <w:rsid w:val="00D36635"/>
    <w:rsid w:val="00D36AC5"/>
    <w:rsid w:val="00D87AA5"/>
    <w:rsid w:val="00DE45E1"/>
    <w:rsid w:val="00E159E6"/>
    <w:rsid w:val="00E435EE"/>
    <w:rsid w:val="00E6489C"/>
    <w:rsid w:val="00EC1EDB"/>
    <w:rsid w:val="00EC66F2"/>
    <w:rsid w:val="00ED5FFC"/>
    <w:rsid w:val="00F11379"/>
    <w:rsid w:val="00F23D82"/>
    <w:rsid w:val="00F85CA4"/>
    <w:rsid w:val="00FA64A9"/>
    <w:rsid w:val="00FF58B0"/>
    <w:rsid w:val="11C376EF"/>
    <w:rsid w:val="2EE8743D"/>
    <w:rsid w:val="3B2E1587"/>
    <w:rsid w:val="69F1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b/>
      <w:bCs/>
      <w:kern w:val="44"/>
      <w:sz w:val="44"/>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99"/>
    <w:rPr>
      <w:rFonts w:ascii="华文中宋" w:hAnsi="Times New Roman" w:eastAsia="华文中宋"/>
      <w:bCs/>
      <w:kern w:val="0"/>
      <w:sz w:val="28"/>
      <w:szCs w:val="20"/>
      <w:lang w:val="zh-CN"/>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TML Typewriter"/>
    <w:uiPriority w:val="0"/>
    <w:rPr>
      <w:rFonts w:ascii="宋体" w:hAnsi="宋体" w:eastAsia="宋体" w:cs="宋体"/>
      <w:sz w:val="24"/>
      <w:szCs w:val="24"/>
    </w:rPr>
  </w:style>
  <w:style w:type="character" w:customStyle="1" w:styleId="11">
    <w:name w:val="页眉 字符"/>
    <w:basedOn w:val="9"/>
    <w:link w:val="5"/>
    <w:uiPriority w:val="0"/>
    <w:rPr>
      <w:sz w:val="18"/>
      <w:szCs w:val="18"/>
    </w:rPr>
  </w:style>
  <w:style w:type="character" w:customStyle="1" w:styleId="12">
    <w:name w:val="页脚 字符"/>
    <w:basedOn w:val="9"/>
    <w:link w:val="4"/>
    <w:uiPriority w:val="99"/>
    <w:rPr>
      <w:sz w:val="18"/>
      <w:szCs w:val="18"/>
    </w:rPr>
  </w:style>
  <w:style w:type="character" w:customStyle="1" w:styleId="13">
    <w:name w:val="标题 1 字符"/>
    <w:basedOn w:val="9"/>
    <w:link w:val="2"/>
    <w:uiPriority w:val="9"/>
    <w:rPr>
      <w:rFonts w:ascii="Times New Roman" w:hAnsi="Times New Roman" w:eastAsia="宋体" w:cs="Times New Roman"/>
      <w:b/>
      <w:bCs/>
      <w:kern w:val="44"/>
      <w:sz w:val="44"/>
      <w:szCs w:val="44"/>
      <w:lang w:val="zh-CN" w:eastAsia="zh-CN"/>
    </w:rPr>
  </w:style>
  <w:style w:type="paragraph" w:customStyle="1" w:styleId="14">
    <w:name w:val="普通文字"/>
    <w:basedOn w:val="1"/>
    <w:next w:val="1"/>
    <w:uiPriority w:val="0"/>
    <w:rPr>
      <w:rFonts w:ascii="宋体" w:hAnsi="Times New Roman"/>
      <w:kern w:val="0"/>
      <w:sz w:val="24"/>
      <w:szCs w:val="20"/>
      <w:u w:color="000000"/>
    </w:rPr>
  </w:style>
  <w:style w:type="character" w:customStyle="1" w:styleId="15">
    <w:name w:val="正文文本 字符"/>
    <w:basedOn w:val="9"/>
    <w:link w:val="3"/>
    <w:uiPriority w:val="99"/>
    <w:rPr>
      <w:rFonts w:ascii="华文中宋" w:hAnsi="Times New Roman" w:eastAsia="华文中宋" w:cs="Times New Roman"/>
      <w:bCs/>
      <w:kern w:val="0"/>
      <w:sz w:val="28"/>
      <w:szCs w:val="20"/>
      <w:lang w:val="zh-CN" w:eastAsia="zh-CN"/>
    </w:rPr>
  </w:style>
  <w:style w:type="character" w:customStyle="1" w:styleId="16">
    <w:name w:val="标书正文格式 Char"/>
    <w:link w:val="17"/>
    <w:uiPriority w:val="0"/>
    <w:rPr>
      <w:rFonts w:eastAsia="楷体_GB2312"/>
      <w:sz w:val="24"/>
      <w:szCs w:val="24"/>
    </w:rPr>
  </w:style>
  <w:style w:type="paragraph" w:customStyle="1" w:styleId="17">
    <w:name w:val="标书正文格式"/>
    <w:link w:val="16"/>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paragraph" w:customStyle="1" w:styleId="18">
    <w:name w:val="正文_2"/>
    <w:basedOn w:val="1"/>
    <w:uiPriority w:val="0"/>
    <w:pPr>
      <w:spacing w:beforeLines="50" w:afterLines="50" w:line="360" w:lineRule="auto"/>
      <w:ind w:firstLine="360" w:firstLineChars="150"/>
      <w:jc w:val="left"/>
    </w:pPr>
    <w:rPr>
      <w:rFonts w:ascii="宋体" w:hAnsi="宋体"/>
      <w:sz w:val="24"/>
      <w:szCs w:val="24"/>
    </w:rPr>
  </w:style>
  <w:style w:type="character" w:customStyle="1" w:styleId="19">
    <w:name w:val="列出段落 Char"/>
    <w:link w:val="20"/>
    <w:uiPriority w:val="0"/>
    <w:rPr>
      <w:kern w:val="2"/>
      <w:sz w:val="24"/>
      <w:szCs w:val="21"/>
    </w:rPr>
  </w:style>
  <w:style w:type="paragraph" w:customStyle="1" w:styleId="20">
    <w:name w:val="列出段落2"/>
    <w:basedOn w:val="1"/>
    <w:link w:val="19"/>
    <w:qFormat/>
    <w:uiPriority w:val="0"/>
    <w:pPr>
      <w:spacing w:line="360" w:lineRule="auto"/>
      <w:ind w:firstLine="420" w:firstLineChars="200"/>
    </w:pPr>
    <w:rPr>
      <w:rFonts w:asciiTheme="minorHAnsi" w:hAnsiTheme="minorHAnsi" w:eastAsiaTheme="minorEastAsia" w:cstheme="minorBidi"/>
      <w:sz w:val="24"/>
      <w:szCs w:val="21"/>
    </w:rPr>
  </w:style>
  <w:style w:type="character" w:customStyle="1" w:styleId="21">
    <w:name w:val="font01"/>
    <w:basedOn w:val="9"/>
    <w:uiPriority w:val="0"/>
    <w:rPr>
      <w:rFonts w:hint="eastAsia" w:ascii="宋体" w:hAnsi="宋体" w:eastAsia="宋体" w:cs="宋体"/>
      <w:color w:val="000000"/>
      <w:sz w:val="22"/>
      <w:szCs w:val="22"/>
      <w:u w:val="none"/>
    </w:rPr>
  </w:style>
  <w:style w:type="paragraph" w:styleId="22">
    <w:name w:val="List Paragraph"/>
    <w:basedOn w:val="1"/>
    <w:qFormat/>
    <w:uiPriority w:val="34"/>
    <w:pPr>
      <w:ind w:firstLine="42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2558</Words>
  <Characters>14583</Characters>
  <Lines>121</Lines>
  <Paragraphs>34</Paragraphs>
  <TotalTime>388</TotalTime>
  <ScaleCrop>false</ScaleCrop>
  <LinksUpToDate>false</LinksUpToDate>
  <CharactersWithSpaces>17107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2020-03-26T08:24:00Z</dcterms:created>
  <dc:creator>胡 敏</dc:creator>
  <cp:lastModifiedBy>周涛</cp:lastModifiedBy>
  <dcterms:modified xsi:type="dcterms:W3CDTF">2020-09-14T12:11:46Z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