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p>
    <w:tbl>
      <w:tblPr>
        <w:tblStyle w:val="18"/>
        <w:tblpPr w:leftFromText="180" w:rightFromText="180" w:horzAnchor="margin" w:tblpY="1872"/>
        <w:tblW w:w="9526" w:type="dxa"/>
        <w:tblInd w:w="0" w:type="dxa"/>
        <w:tblLayout w:type="fixed"/>
        <w:tblCellMar>
          <w:top w:w="0" w:type="dxa"/>
          <w:left w:w="108" w:type="dxa"/>
          <w:bottom w:w="0" w:type="dxa"/>
          <w:right w:w="108" w:type="dxa"/>
        </w:tblCellMar>
      </w:tblPr>
      <w:tblGrid>
        <w:gridCol w:w="9526"/>
      </w:tblGrid>
      <w:tr>
        <w:trPr>
          <w:trHeight w:val="1440" w:hRule="atLeast"/>
        </w:trPr>
        <w:tc>
          <w:tcPr>
            <w:tcW w:w="9526" w:type="dxa"/>
            <w:tcBorders>
              <w:bottom w:val="single" w:color="4F81BD" w:sz="4" w:space="0"/>
            </w:tcBorders>
            <w:vAlign w:val="center"/>
          </w:tcPr>
          <w:p>
            <w:pPr>
              <w:pStyle w:val="35"/>
              <w:tabs>
                <w:tab w:val="left" w:pos="5940"/>
              </w:tabs>
              <w:jc w:val="center"/>
              <w:rPr>
                <w:rFonts w:ascii="Cambria" w:hAnsi="Cambria"/>
                <w:sz w:val="80"/>
                <w:szCs w:val="80"/>
              </w:rPr>
            </w:pPr>
            <w:r>
              <w:rPr>
                <w:rFonts w:hint="eastAsia" w:ascii="宋体" w:hAnsi="宋体"/>
                <w:b/>
                <w:spacing w:val="60"/>
                <w:sz w:val="112"/>
                <w:szCs w:val="112"/>
              </w:rPr>
              <w:t>招 标 文 件</w:t>
            </w:r>
          </w:p>
        </w:tc>
      </w:tr>
    </w:tbl>
    <w:p>
      <w:pPr>
        <w:ind w:left="420" w:leftChars="200" w:firstLine="600" w:firstLineChars="200"/>
        <w:rPr>
          <w:rFonts w:ascii="宋体" w:hAnsi="宋体"/>
          <w:sz w:val="30"/>
          <w:szCs w:val="30"/>
        </w:rPr>
      </w:pPr>
    </w:p>
    <w:p>
      <w:pPr>
        <w:ind w:left="420" w:leftChars="200" w:firstLine="600" w:firstLineChars="200"/>
        <w:rPr>
          <w:rFonts w:ascii="宋体" w:hAnsi="宋体"/>
          <w:sz w:val="30"/>
          <w:szCs w:val="30"/>
        </w:rPr>
      </w:pPr>
    </w:p>
    <w:p>
      <w:pPr>
        <w:ind w:left="419" w:hanging="419" w:hangingChars="87"/>
        <w:jc w:val="center"/>
        <w:rPr>
          <w:rFonts w:ascii="宋体" w:hAnsi="宋体"/>
          <w:b/>
          <w:sz w:val="48"/>
          <w:szCs w:val="48"/>
        </w:rPr>
      </w:pPr>
    </w:p>
    <w:p>
      <w:pPr>
        <w:ind w:left="314" w:hanging="314" w:hangingChars="87"/>
        <w:jc w:val="center"/>
        <w:rPr>
          <w:rFonts w:ascii="宋体" w:hAnsi="宋体"/>
          <w:b/>
          <w:sz w:val="36"/>
          <w:szCs w:val="36"/>
        </w:rPr>
      </w:pPr>
    </w:p>
    <w:p>
      <w:pPr>
        <w:pStyle w:val="2"/>
      </w:pPr>
    </w:p>
    <w:p>
      <w:pPr>
        <w:pStyle w:val="2"/>
      </w:pPr>
    </w:p>
    <w:p>
      <w:pPr>
        <w:pStyle w:val="2"/>
      </w:pPr>
    </w:p>
    <w:p/>
    <w:p>
      <w:pPr>
        <w:ind w:left="384" w:hanging="384" w:hangingChars="87"/>
        <w:jc w:val="center"/>
        <w:rPr>
          <w:rFonts w:asciiTheme="minorEastAsia" w:hAnsiTheme="minorEastAsia" w:eastAsiaTheme="minorEastAsia" w:cstheme="minorEastAsia"/>
          <w:b/>
          <w:bCs/>
          <w:kern w:val="0"/>
          <w:sz w:val="44"/>
          <w:szCs w:val="44"/>
          <w:u w:val="none"/>
        </w:rPr>
      </w:pPr>
      <w:r>
        <w:rPr>
          <w:rFonts w:hint="eastAsia" w:asciiTheme="minorEastAsia" w:hAnsiTheme="minorEastAsia" w:eastAsiaTheme="minorEastAsia" w:cstheme="minorEastAsia"/>
          <w:b/>
          <w:bCs/>
          <w:kern w:val="0"/>
          <w:sz w:val="44"/>
          <w:szCs w:val="44"/>
          <w:u w:val="none"/>
        </w:rPr>
        <w:t>泰州职业技术学院机电实训中心电气改造工程</w:t>
      </w:r>
    </w:p>
    <w:p>
      <w:pPr>
        <w:pStyle w:val="2"/>
        <w:rPr>
          <w:rFonts w:asciiTheme="minorEastAsia" w:hAnsiTheme="minorEastAsia" w:eastAsiaTheme="minorEastAsia" w:cstheme="minorEastAsia"/>
          <w:b/>
          <w:bCs/>
          <w:kern w:val="0"/>
          <w:sz w:val="44"/>
          <w:szCs w:val="44"/>
          <w:u w:val="single"/>
        </w:rPr>
      </w:pPr>
    </w:p>
    <w:p>
      <w:pPr>
        <w:pStyle w:val="2"/>
        <w:rPr>
          <w:rFonts w:asciiTheme="minorEastAsia" w:hAnsiTheme="minorEastAsia" w:eastAsiaTheme="minorEastAsia" w:cstheme="minorEastAsia"/>
          <w:b/>
          <w:bCs/>
          <w:kern w:val="0"/>
          <w:sz w:val="44"/>
          <w:szCs w:val="44"/>
          <w:u w:val="single"/>
        </w:rPr>
      </w:pPr>
    </w:p>
    <w:p>
      <w:pPr>
        <w:pStyle w:val="2"/>
        <w:rPr>
          <w:rFonts w:asciiTheme="minorEastAsia" w:hAnsiTheme="minorEastAsia" w:eastAsiaTheme="minorEastAsia" w:cstheme="minorEastAsia"/>
          <w:b/>
          <w:bCs/>
          <w:kern w:val="0"/>
          <w:sz w:val="44"/>
          <w:szCs w:val="44"/>
          <w:u w:val="single"/>
        </w:rPr>
      </w:pPr>
    </w:p>
    <w:p>
      <w:pPr>
        <w:pStyle w:val="2"/>
        <w:ind w:firstLine="883" w:firstLineChars="200"/>
        <w:rPr>
          <w:rFonts w:hint="eastAsia" w:asciiTheme="minorEastAsia" w:hAnsiTheme="minorEastAsia" w:eastAsiaTheme="minorEastAsia" w:cstheme="minorEastAsia"/>
          <w:b/>
          <w:bCs/>
          <w:kern w:val="0"/>
          <w:sz w:val="44"/>
          <w:szCs w:val="44"/>
          <w:u w:val="single"/>
        </w:rPr>
      </w:pPr>
    </w:p>
    <w:p>
      <w:pPr>
        <w:pStyle w:val="2"/>
        <w:ind w:firstLine="883" w:firstLineChars="200"/>
        <w:rPr>
          <w:rFonts w:hint="eastAsia" w:asciiTheme="minorEastAsia" w:hAnsiTheme="minorEastAsia" w:eastAsiaTheme="minorEastAsia" w:cstheme="minorEastAsia"/>
          <w:b/>
          <w:bCs/>
          <w:kern w:val="0"/>
          <w:sz w:val="44"/>
          <w:szCs w:val="44"/>
          <w:u w:val="single"/>
        </w:rPr>
      </w:pPr>
    </w:p>
    <w:p>
      <w:pPr>
        <w:pStyle w:val="2"/>
        <w:ind w:firstLine="883" w:firstLineChars="200"/>
        <w:rPr>
          <w:rFonts w:hint="eastAsia" w:asciiTheme="minorEastAsia" w:hAnsiTheme="minorEastAsia" w:eastAsiaTheme="minorEastAsia" w:cstheme="minorEastAsia"/>
          <w:b/>
          <w:bCs/>
          <w:kern w:val="0"/>
          <w:sz w:val="44"/>
          <w:szCs w:val="44"/>
          <w:u w:val="single"/>
        </w:rPr>
      </w:pPr>
    </w:p>
    <w:p>
      <w:pPr>
        <w:pStyle w:val="2"/>
        <w:keepNext w:val="0"/>
        <w:keepLines w:val="0"/>
        <w:pageBreakBefore w:val="0"/>
        <w:kinsoku/>
        <w:wordWrap/>
        <w:overflowPunct/>
        <w:topLinePunct w:val="0"/>
        <w:autoSpaceDE/>
        <w:autoSpaceDN/>
        <w:bidi w:val="0"/>
        <w:adjustRightInd/>
        <w:snapToGrid/>
        <w:spacing w:line="480" w:lineRule="auto"/>
        <w:textAlignment w:val="auto"/>
        <w:rPr>
          <w:rFonts w:hint="default"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项目编号：TZLC20220810</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b/>
          <w:sz w:val="36"/>
          <w:szCs w:val="36"/>
        </w:rPr>
      </w:pPr>
      <w:r>
        <w:rPr>
          <w:rFonts w:hint="eastAsia" w:ascii="宋体" w:hAnsi="宋体"/>
          <w:b/>
          <w:sz w:val="36"/>
          <w:szCs w:val="36"/>
        </w:rPr>
        <w:t>招标人: 泰州职业技术学院</w:t>
      </w:r>
    </w:p>
    <w:p>
      <w:pPr>
        <w:keepNext w:val="0"/>
        <w:keepLines w:val="0"/>
        <w:pageBreakBefore w:val="0"/>
        <w:kinsoku/>
        <w:wordWrap/>
        <w:overflowPunct/>
        <w:topLinePunct w:val="0"/>
        <w:autoSpaceDE/>
        <w:autoSpaceDN/>
        <w:bidi w:val="0"/>
        <w:adjustRightInd/>
        <w:snapToGrid/>
        <w:spacing w:line="480" w:lineRule="auto"/>
        <w:textAlignment w:val="auto"/>
        <w:rPr>
          <w:rFonts w:hint="default" w:ascii="宋体" w:hAnsi="宋体"/>
          <w:b/>
          <w:sz w:val="36"/>
          <w:szCs w:val="36"/>
          <w:lang w:val="en-US" w:eastAsia="zh-CN"/>
        </w:rPr>
      </w:pPr>
      <w:r>
        <w:rPr>
          <w:rFonts w:hint="eastAsia" w:ascii="宋体" w:hAnsi="宋体"/>
          <w:b/>
          <w:sz w:val="36"/>
          <w:szCs w:val="36"/>
          <w:lang w:val="en-US" w:eastAsia="zh-CN"/>
        </w:rPr>
        <w:t>招标代理：泰州林诚项目管理有限公司</w:t>
      </w:r>
    </w:p>
    <w:p>
      <w:pPr>
        <w:keepNext w:val="0"/>
        <w:keepLines w:val="0"/>
        <w:pageBreakBefore w:val="0"/>
        <w:kinsoku/>
        <w:wordWrap/>
        <w:overflowPunct/>
        <w:topLinePunct w:val="0"/>
        <w:autoSpaceDE/>
        <w:autoSpaceDN/>
        <w:bidi w:val="0"/>
        <w:adjustRightInd/>
        <w:snapToGrid/>
        <w:spacing w:line="480" w:lineRule="auto"/>
        <w:textAlignment w:val="auto"/>
        <w:rPr>
          <w:rFonts w:ascii="宋体" w:hAnsi="宋体"/>
          <w:sz w:val="32"/>
          <w:szCs w:val="32"/>
        </w:rPr>
      </w:pPr>
    </w:p>
    <w:p>
      <w:pPr>
        <w:ind w:firstLine="320" w:firstLineChars="100"/>
        <w:jc w:val="center"/>
        <w:rPr>
          <w:rFonts w:ascii="宋体" w:hAnsi="宋体"/>
          <w:sz w:val="32"/>
          <w:szCs w:val="32"/>
        </w:rPr>
      </w:pPr>
    </w:p>
    <w:p>
      <w:pPr>
        <w:ind w:firstLine="320" w:firstLineChars="100"/>
        <w:jc w:val="center"/>
        <w:rPr>
          <w:rFonts w:ascii="宋体" w:hAnsi="宋体"/>
          <w:sz w:val="32"/>
          <w:szCs w:val="32"/>
        </w:rPr>
      </w:pPr>
      <w:r>
        <w:rPr>
          <w:rFonts w:ascii="宋体" w:hAnsi="宋体"/>
          <w:sz w:val="32"/>
          <w:szCs w:val="32"/>
        </w:rPr>
        <w:t>20</w:t>
      </w:r>
      <w:r>
        <w:rPr>
          <w:rFonts w:hint="eastAsia" w:ascii="宋体" w:hAnsi="宋体"/>
          <w:sz w:val="32"/>
          <w:szCs w:val="32"/>
        </w:rPr>
        <w:t>22年</w:t>
      </w:r>
      <w:r>
        <w:rPr>
          <w:rFonts w:hint="eastAsia" w:ascii="宋体" w:hAnsi="宋体"/>
          <w:sz w:val="32"/>
          <w:szCs w:val="32"/>
          <w:lang w:val="en-US" w:eastAsia="zh-CN"/>
        </w:rPr>
        <w:t>8</w:t>
      </w:r>
      <w:r>
        <w:rPr>
          <w:rFonts w:hint="eastAsia" w:ascii="宋体" w:hAnsi="宋体"/>
          <w:sz w:val="32"/>
          <w:szCs w:val="32"/>
        </w:rPr>
        <w:t>月</w:t>
      </w:r>
      <w:r>
        <w:rPr>
          <w:rFonts w:hint="eastAsia" w:ascii="宋体" w:hAnsi="宋体"/>
          <w:sz w:val="32"/>
          <w:szCs w:val="32"/>
          <w:lang w:val="en-US" w:eastAsia="zh-CN"/>
        </w:rPr>
        <w:t>10</w:t>
      </w:r>
      <w:r>
        <w:rPr>
          <w:rFonts w:hint="eastAsia" w:ascii="宋体" w:hAnsi="宋体"/>
          <w:sz w:val="32"/>
          <w:szCs w:val="32"/>
        </w:rPr>
        <w:t>日</w:t>
      </w: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r>
        <w:rPr>
          <w:rFonts w:hint="eastAsia" w:ascii="黑体" w:eastAsia="黑体"/>
          <w:b/>
          <w:sz w:val="36"/>
          <w:szCs w:val="36"/>
        </w:rPr>
        <w:t>目录</w:t>
      </w:r>
    </w:p>
    <w:p/>
    <w:p>
      <w:pPr>
        <w:spacing w:line="360" w:lineRule="auto"/>
        <w:rPr>
          <w:b/>
        </w:rPr>
      </w:pPr>
      <w:r>
        <w:rPr>
          <w:rFonts w:hint="eastAsia"/>
          <w:b/>
        </w:rPr>
        <w:t>第一章招标公告</w:t>
      </w:r>
    </w:p>
    <w:p>
      <w:pPr>
        <w:spacing w:line="360" w:lineRule="auto"/>
        <w:rPr>
          <w:b/>
        </w:rPr>
      </w:pPr>
      <w:r>
        <w:rPr>
          <w:rFonts w:hint="eastAsia"/>
          <w:b/>
        </w:rPr>
        <w:t>第二章投标人须知</w:t>
      </w:r>
    </w:p>
    <w:p>
      <w:pPr>
        <w:spacing w:line="360" w:lineRule="auto"/>
      </w:pPr>
      <w:r>
        <w:rPr>
          <w:rFonts w:hint="eastAsia"/>
        </w:rPr>
        <w:t>投标人须知前附表</w:t>
      </w:r>
    </w:p>
    <w:p>
      <w:pPr>
        <w:spacing w:line="360" w:lineRule="auto"/>
      </w:pPr>
      <w:r>
        <w:t xml:space="preserve">1 </w:t>
      </w:r>
      <w:r>
        <w:rPr>
          <w:rFonts w:hint="eastAsia"/>
        </w:rPr>
        <w:t>总则</w:t>
      </w:r>
    </w:p>
    <w:p>
      <w:pPr>
        <w:spacing w:line="360" w:lineRule="auto"/>
      </w:pPr>
      <w:r>
        <w:t xml:space="preserve">2 </w:t>
      </w:r>
      <w:r>
        <w:rPr>
          <w:rFonts w:hint="eastAsia"/>
        </w:rPr>
        <w:t>招标文件</w:t>
      </w:r>
    </w:p>
    <w:p>
      <w:pPr>
        <w:spacing w:line="360" w:lineRule="auto"/>
      </w:pPr>
      <w:r>
        <w:t xml:space="preserve">3 </w:t>
      </w:r>
      <w:r>
        <w:rPr>
          <w:rFonts w:hint="eastAsia"/>
        </w:rPr>
        <w:t>投标文件</w:t>
      </w:r>
    </w:p>
    <w:p>
      <w:pPr>
        <w:spacing w:line="360" w:lineRule="auto"/>
      </w:pPr>
      <w:r>
        <w:t xml:space="preserve">4 </w:t>
      </w:r>
      <w:r>
        <w:rPr>
          <w:rFonts w:hint="eastAsia"/>
        </w:rPr>
        <w:t>投标</w:t>
      </w:r>
    </w:p>
    <w:p>
      <w:pPr>
        <w:spacing w:line="360" w:lineRule="auto"/>
      </w:pPr>
      <w:r>
        <w:t>5</w:t>
      </w:r>
      <w:r>
        <w:rPr>
          <w:rFonts w:hint="eastAsia"/>
        </w:rPr>
        <w:t>开标</w:t>
      </w:r>
    </w:p>
    <w:p>
      <w:pPr>
        <w:spacing w:line="360" w:lineRule="auto"/>
      </w:pPr>
      <w:r>
        <w:t xml:space="preserve">6 </w:t>
      </w:r>
      <w:r>
        <w:rPr>
          <w:rFonts w:hint="eastAsia"/>
        </w:rPr>
        <w:t>评标</w:t>
      </w:r>
    </w:p>
    <w:p>
      <w:pPr>
        <w:spacing w:line="360" w:lineRule="auto"/>
      </w:pPr>
      <w:r>
        <w:t xml:space="preserve">7 </w:t>
      </w:r>
      <w:r>
        <w:rPr>
          <w:rFonts w:hint="eastAsia"/>
        </w:rPr>
        <w:t>合同授予</w:t>
      </w:r>
    </w:p>
    <w:p>
      <w:pPr>
        <w:spacing w:line="360" w:lineRule="auto"/>
      </w:pPr>
      <w:r>
        <w:t xml:space="preserve">8 </w:t>
      </w:r>
      <w:r>
        <w:rPr>
          <w:rFonts w:hint="eastAsia"/>
        </w:rPr>
        <w:t>重新招标和不再招标</w:t>
      </w:r>
    </w:p>
    <w:p>
      <w:pPr>
        <w:spacing w:line="360" w:lineRule="auto"/>
      </w:pPr>
      <w:r>
        <w:t xml:space="preserve">9 </w:t>
      </w:r>
      <w:r>
        <w:rPr>
          <w:rFonts w:hint="eastAsia"/>
        </w:rPr>
        <w:t>纪律和监督</w:t>
      </w:r>
    </w:p>
    <w:p>
      <w:pPr>
        <w:spacing w:line="360" w:lineRule="auto"/>
      </w:pPr>
      <w:r>
        <w:t xml:space="preserve">10 </w:t>
      </w:r>
      <w:r>
        <w:rPr>
          <w:rFonts w:hint="eastAsia"/>
        </w:rPr>
        <w:t>需要补充的其他内容</w:t>
      </w:r>
    </w:p>
    <w:p>
      <w:pPr>
        <w:spacing w:line="360" w:lineRule="auto"/>
        <w:rPr>
          <w:b/>
        </w:rPr>
      </w:pPr>
      <w:r>
        <w:rPr>
          <w:rFonts w:hint="eastAsia"/>
          <w:b/>
        </w:rPr>
        <w:t>第三章评标办法</w:t>
      </w:r>
    </w:p>
    <w:p>
      <w:pPr>
        <w:spacing w:line="360" w:lineRule="auto"/>
      </w:pPr>
      <w:r>
        <w:rPr>
          <w:rFonts w:hint="eastAsia"/>
        </w:rPr>
        <w:t>评标办法正文</w:t>
      </w:r>
    </w:p>
    <w:p>
      <w:pPr>
        <w:spacing w:line="360" w:lineRule="auto"/>
      </w:pPr>
      <w:r>
        <w:rPr>
          <w:rFonts w:hint="eastAsia"/>
          <w:b/>
        </w:rPr>
        <w:t>第四章工程量清单</w:t>
      </w:r>
    </w:p>
    <w:p>
      <w:pPr>
        <w:spacing w:line="360" w:lineRule="auto"/>
        <w:rPr>
          <w:b/>
        </w:rPr>
      </w:pPr>
      <w:r>
        <w:rPr>
          <w:rFonts w:hint="eastAsia"/>
          <w:b/>
        </w:rPr>
        <w:t>第五章投标文件格式</w:t>
      </w:r>
    </w:p>
    <w:p>
      <w:pPr>
        <w:autoSpaceDE w:val="0"/>
        <w:autoSpaceDN w:val="0"/>
        <w:adjustRightInd w:val="0"/>
        <w:spacing w:line="360" w:lineRule="auto"/>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rPr>
          <w:rFonts w:ascii="黑体" w:eastAsia="黑体" w:cs="黑体"/>
          <w:kern w:val="0"/>
          <w:sz w:val="24"/>
        </w:rPr>
      </w:pPr>
    </w:p>
    <w:p>
      <w:pPr>
        <w:jc w:val="center"/>
        <w:rPr>
          <w:rFonts w:ascii="黑体" w:hAnsi="黑体" w:eastAsia="黑体"/>
          <w:b/>
          <w:bCs/>
          <w:sz w:val="32"/>
        </w:rPr>
      </w:pPr>
    </w:p>
    <w:p>
      <w:pPr>
        <w:jc w:val="center"/>
        <w:rPr>
          <w:rFonts w:ascii="黑体" w:hAnsi="黑体" w:eastAsia="黑体"/>
          <w:b/>
          <w:bCs/>
          <w:sz w:val="32"/>
        </w:rPr>
      </w:pPr>
    </w:p>
    <w:p>
      <w:pPr>
        <w:jc w:val="center"/>
        <w:rPr>
          <w:rFonts w:ascii="黑体" w:hAnsi="黑体" w:eastAsia="黑体"/>
          <w:b/>
          <w:bCs/>
          <w:sz w:val="32"/>
        </w:rPr>
      </w:pPr>
    </w:p>
    <w:p>
      <w:pPr>
        <w:rPr>
          <w:rFonts w:ascii="黑体" w:hAnsi="黑体" w:eastAsia="黑体"/>
          <w:b/>
          <w:bCs/>
          <w:sz w:val="32"/>
        </w:rPr>
      </w:pPr>
    </w:p>
    <w:p>
      <w:pPr>
        <w:jc w:val="center"/>
        <w:rPr>
          <w:rFonts w:ascii="黑体" w:hAnsi="黑体" w:eastAsia="黑体"/>
          <w:b/>
          <w:bCs/>
          <w:sz w:val="32"/>
        </w:rPr>
      </w:pPr>
    </w:p>
    <w:p>
      <w:pPr>
        <w:jc w:val="center"/>
        <w:rPr>
          <w:rFonts w:ascii="黑体" w:hAnsi="黑体" w:eastAsia="黑体"/>
          <w:b/>
          <w:bCs/>
          <w:sz w:val="32"/>
        </w:rPr>
      </w:pPr>
    </w:p>
    <w:p>
      <w:pPr>
        <w:pStyle w:val="2"/>
      </w:pPr>
    </w:p>
    <w:p>
      <w:pPr>
        <w:pStyle w:val="2"/>
      </w:pPr>
    </w:p>
    <w:p>
      <w:pPr>
        <w:pStyle w:val="2"/>
      </w:pPr>
    </w:p>
    <w:p>
      <w:pPr>
        <w:pStyle w:val="2"/>
      </w:pPr>
    </w:p>
    <w:p>
      <w:pPr>
        <w:pStyle w:val="2"/>
      </w:pPr>
    </w:p>
    <w:p>
      <w:pPr>
        <w:jc w:val="center"/>
        <w:rPr>
          <w:rFonts w:ascii="黑体" w:hAnsi="黑体" w:eastAsia="黑体"/>
          <w:b/>
          <w:bCs/>
          <w:sz w:val="32"/>
        </w:rPr>
      </w:pPr>
      <w:r>
        <w:rPr>
          <w:rFonts w:hint="eastAsia" w:ascii="黑体" w:hAnsi="黑体" w:eastAsia="黑体"/>
          <w:b/>
          <w:bCs/>
          <w:sz w:val="32"/>
        </w:rPr>
        <w:t>第一章 招标公告</w:t>
      </w:r>
    </w:p>
    <w:p>
      <w:pPr>
        <w:widowControl/>
        <w:spacing w:line="360" w:lineRule="auto"/>
        <w:ind w:firstLine="323"/>
        <w:jc w:val="left"/>
        <w:rPr>
          <w:rFonts w:ascii="宋体" w:hAnsi="宋体" w:cs="宋体"/>
          <w:color w:val="3D3D3D"/>
          <w:kern w:val="0"/>
          <w:szCs w:val="21"/>
        </w:rPr>
      </w:pPr>
    </w:p>
    <w:p>
      <w:pPr>
        <w:widowControl/>
        <w:spacing w:line="360" w:lineRule="auto"/>
        <w:ind w:firstLine="607" w:firstLineChars="25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泰州职业技术学院机电实训中心电气改造工程</w:t>
      </w:r>
      <w:r>
        <w:rPr>
          <w:rFonts w:hint="eastAsia" w:asciiTheme="minorEastAsia" w:hAnsiTheme="minorEastAsia" w:eastAsiaTheme="minorEastAsia" w:cstheme="minorEastAsia"/>
          <w:kern w:val="0"/>
          <w:sz w:val="24"/>
        </w:rPr>
        <w:t>已具备招标条件，招标人为</w:t>
      </w:r>
      <w:r>
        <w:rPr>
          <w:rFonts w:hint="eastAsia" w:asciiTheme="minorEastAsia" w:hAnsiTheme="minorEastAsia" w:eastAsiaTheme="minorEastAsia" w:cstheme="minorEastAsia"/>
          <w:kern w:val="0"/>
          <w:sz w:val="24"/>
          <w:u w:val="single"/>
        </w:rPr>
        <w:t>泰州职业技术学院</w:t>
      </w:r>
      <w:r>
        <w:rPr>
          <w:rFonts w:hint="eastAsia" w:asciiTheme="minorEastAsia" w:hAnsiTheme="minorEastAsia" w:eastAsiaTheme="minorEastAsia" w:cstheme="minorEastAsia"/>
          <w:kern w:val="0"/>
          <w:sz w:val="24"/>
        </w:rPr>
        <w:t>，为择优选择施工单位进行招标，请符合条件的公司积极参加投标。</w:t>
      </w:r>
    </w:p>
    <w:p>
      <w:pPr>
        <w:widowControl/>
        <w:spacing w:line="360" w:lineRule="auto"/>
        <w:ind w:firstLine="323"/>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一、项目概况：</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1.项目名称：泰州职业技术学院机电实训中心电气改造工程</w:t>
      </w:r>
    </w:p>
    <w:p>
      <w:pPr>
        <w:widowControl/>
        <w:spacing w:line="360" w:lineRule="auto"/>
        <w:ind w:left="239" w:leftChars="114" w:firstLine="127" w:firstLineChars="53"/>
        <w:jc w:val="left"/>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2.项目发包内容：泰州职业技术学院机电实训中心电气改造工程，包</w:t>
      </w:r>
      <w:r>
        <w:rPr>
          <w:rFonts w:hint="eastAsia" w:asciiTheme="minorEastAsia" w:hAnsiTheme="minorEastAsia" w:eastAsiaTheme="minorEastAsia" w:cstheme="minorEastAsia"/>
          <w:color w:val="FF0000"/>
          <w:kern w:val="0"/>
          <w:sz w:val="24"/>
        </w:rPr>
        <w:t>括工程量清单范围内的所有内容</w:t>
      </w:r>
      <w:r>
        <w:rPr>
          <w:rFonts w:hint="eastAsia" w:asciiTheme="minorEastAsia" w:hAnsiTheme="minorEastAsia" w:eastAsiaTheme="minorEastAsia" w:cstheme="minorEastAsia"/>
          <w:color w:val="FF0000"/>
          <w:kern w:val="0"/>
          <w:sz w:val="24"/>
          <w:lang w:eastAsia="zh-CN"/>
        </w:rPr>
        <w:t>，</w:t>
      </w:r>
      <w:r>
        <w:rPr>
          <w:rFonts w:hint="eastAsia" w:asciiTheme="minorEastAsia" w:hAnsiTheme="minorEastAsia" w:eastAsiaTheme="minorEastAsia" w:cstheme="minorEastAsia"/>
          <w:color w:val="FF0000"/>
          <w:kern w:val="0"/>
          <w:sz w:val="24"/>
          <w:lang w:val="en-US" w:eastAsia="zh-CN"/>
        </w:rPr>
        <w:t>招标控制价为24.5万元</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w:t>
      </w:r>
      <w:r>
        <w:rPr>
          <w:rFonts w:hint="eastAsia" w:asciiTheme="minorEastAsia" w:hAnsiTheme="minorEastAsia" w:eastAsiaTheme="minorEastAsia" w:cstheme="minorEastAsia"/>
          <w:kern w:val="0"/>
          <w:sz w:val="24"/>
          <w:lang w:val="en-US" w:eastAsia="zh-CN"/>
        </w:rPr>
        <w:t>最高限价</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18</w:t>
      </w:r>
      <w:r>
        <w:rPr>
          <w:rFonts w:hint="eastAsia" w:asciiTheme="minorEastAsia" w:hAnsiTheme="minorEastAsia" w:eastAsiaTheme="minorEastAsia" w:cstheme="minorEastAsia"/>
          <w:kern w:val="0"/>
          <w:sz w:val="24"/>
        </w:rPr>
        <w:t>万元</w:t>
      </w:r>
    </w:p>
    <w:p>
      <w:pPr>
        <w:widowControl/>
        <w:spacing w:line="360" w:lineRule="auto"/>
        <w:ind w:firstLine="323"/>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4.工期：</w:t>
      </w:r>
      <w:r>
        <w:rPr>
          <w:rFonts w:asciiTheme="minorEastAsia" w:hAnsiTheme="minorEastAsia" w:eastAsiaTheme="minorEastAsia" w:cstheme="minorEastAsia"/>
          <w:kern w:val="0"/>
          <w:sz w:val="24"/>
        </w:rPr>
        <w:t>30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kern w:val="0"/>
          <w:sz w:val="24"/>
          <w:lang w:val="en-US" w:eastAsia="zh-CN"/>
        </w:rPr>
        <w:t>天</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5.资格审查办法：资格后审</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6.投标人资质要求：</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（1）投标人须具备有效的营业执照，具备独立法人资格；</w:t>
      </w:r>
    </w:p>
    <w:p>
      <w:pPr>
        <w:widowControl/>
        <w:spacing w:line="360" w:lineRule="auto"/>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（2）</w:t>
      </w:r>
      <w:r>
        <w:rPr>
          <w:rFonts w:ascii="宋体" w:hAnsi="宋体"/>
          <w:color w:val="000000" w:themeColor="text1"/>
          <w:sz w:val="24"/>
          <w14:textFill>
            <w14:solidFill>
              <w14:schemeClr w14:val="tx1"/>
            </w14:solidFill>
          </w14:textFill>
        </w:rPr>
        <w:t>具备</w:t>
      </w:r>
      <w:r>
        <w:rPr>
          <w:rFonts w:hint="eastAsia" w:ascii="宋体" w:hAnsi="宋体"/>
          <w:color w:val="000000" w:themeColor="text1"/>
          <w:sz w:val="24"/>
          <w14:textFill>
            <w14:solidFill>
              <w14:schemeClr w14:val="tx1"/>
            </w14:solidFill>
          </w14:textFill>
        </w:rPr>
        <w:t>建筑</w:t>
      </w:r>
      <w:r>
        <w:rPr>
          <w:rFonts w:hint="eastAsia" w:ascii="宋体" w:hAnsi="宋体"/>
          <w:color w:val="000000" w:themeColor="text1"/>
          <w:sz w:val="24"/>
          <w:lang w:val="en-US" w:eastAsia="zh-CN"/>
          <w14:textFill>
            <w14:solidFill>
              <w14:schemeClr w14:val="tx1"/>
            </w14:solidFill>
          </w14:textFill>
        </w:rPr>
        <w:t>工程</w:t>
      </w:r>
      <w:r>
        <w:rPr>
          <w:rFonts w:hint="eastAsia" w:ascii="宋体" w:hAnsi="宋体"/>
          <w:color w:val="000000" w:themeColor="text1"/>
          <w:sz w:val="24"/>
          <w14:textFill>
            <w14:solidFill>
              <w14:schemeClr w14:val="tx1"/>
            </w14:solidFill>
          </w14:textFill>
        </w:rPr>
        <w:t>总承包三级或三级以上资质</w:t>
      </w:r>
      <w:r>
        <w:rPr>
          <w:rFonts w:hint="eastAsia" w:asciiTheme="minorEastAsia" w:hAnsiTheme="minorEastAsia" w:eastAsiaTheme="minorEastAsia"/>
          <w:color w:val="000000" w:themeColor="text1"/>
          <w:sz w:val="24"/>
          <w14:textFill>
            <w14:solidFill>
              <w14:schemeClr w14:val="tx1"/>
            </w14:solidFill>
          </w14:textFill>
        </w:rPr>
        <w:t>；</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（3）具备有效的安全生产许可证；</w:t>
      </w:r>
    </w:p>
    <w:p>
      <w:pPr>
        <w:widowControl/>
        <w:spacing w:line="360" w:lineRule="auto"/>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b/>
          <w:bCs/>
          <w:kern w:val="0"/>
          <w:sz w:val="24"/>
        </w:rPr>
        <w:t>拟派项目经理须具有</w:t>
      </w:r>
      <w:r>
        <w:rPr>
          <w:rFonts w:hint="eastAsia" w:asciiTheme="minorEastAsia" w:hAnsiTheme="minorEastAsia" w:eastAsiaTheme="minorEastAsia" w:cstheme="minorEastAsia"/>
          <w:b/>
          <w:bCs/>
          <w:kern w:val="0"/>
          <w:sz w:val="24"/>
          <w:u w:val="single"/>
        </w:rPr>
        <w:t>建筑工程专业二级及以上注册建造师执业资格</w:t>
      </w:r>
      <w:r>
        <w:rPr>
          <w:rFonts w:hint="eastAsia" w:asciiTheme="minorEastAsia" w:hAnsiTheme="minorEastAsia" w:eastAsiaTheme="minorEastAsia" w:cstheme="minorEastAsia"/>
          <w:b/>
          <w:bCs/>
          <w:kern w:val="0"/>
          <w:sz w:val="24"/>
        </w:rPr>
        <w:t>，具备有效的</w:t>
      </w:r>
      <w:r>
        <w:rPr>
          <w:rFonts w:hint="eastAsia" w:asciiTheme="minorEastAsia" w:hAnsiTheme="minorEastAsia" w:eastAsiaTheme="minorEastAsia" w:cstheme="minorEastAsia"/>
          <w:b/>
          <w:bCs/>
          <w:kern w:val="0"/>
          <w:sz w:val="24"/>
          <w:u w:val="single"/>
        </w:rPr>
        <w:t>安全生产考核合格证书</w:t>
      </w:r>
      <w:r>
        <w:rPr>
          <w:rFonts w:hint="eastAsia" w:asciiTheme="minorEastAsia" w:hAnsiTheme="minorEastAsia" w:eastAsiaTheme="minorEastAsia" w:cstheme="minorEastAsia"/>
          <w:b/>
          <w:bCs/>
          <w:kern w:val="0"/>
          <w:sz w:val="24"/>
        </w:rPr>
        <w:t>，且未担任其他在建建设工程项目的项目经理，证书须在有效期内；</w:t>
      </w:r>
    </w:p>
    <w:p>
      <w:pPr>
        <w:pStyle w:val="16"/>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（5）本项目不接受联合体投标。</w:t>
      </w:r>
    </w:p>
    <w:p>
      <w:pPr>
        <w:pStyle w:val="16"/>
        <w:spacing w:before="0" w:beforeAutospacing="0" w:after="0" w:afterAutospacing="0" w:line="360" w:lineRule="auto"/>
        <w:ind w:firstLine="480" w:firstLineChars="200"/>
        <w:jc w:val="both"/>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b/>
          <w:bCs/>
        </w:rPr>
        <w:t>付款方式：工程竣工验收合格支付至合同价的</w:t>
      </w:r>
      <w:r>
        <w:rPr>
          <w:rFonts w:asciiTheme="minorEastAsia" w:hAnsiTheme="minorEastAsia" w:eastAsiaTheme="minorEastAsia" w:cstheme="minorEastAsia"/>
          <w:b/>
          <w:bCs/>
        </w:rPr>
        <w:t>80</w:t>
      </w:r>
      <w:r>
        <w:rPr>
          <w:rFonts w:hint="eastAsia" w:asciiTheme="minorEastAsia" w:hAnsiTheme="minorEastAsia" w:eastAsiaTheme="minorEastAsia" w:cstheme="minorEastAsia"/>
          <w:b/>
          <w:bCs/>
        </w:rPr>
        <w:t>%，余款在质保期满</w:t>
      </w:r>
      <w:r>
        <w:rPr>
          <w:rFonts w:asciiTheme="minorEastAsia" w:hAnsiTheme="minorEastAsia" w:eastAsiaTheme="minorEastAsia" w:cstheme="minorEastAsia"/>
          <w:b/>
          <w:bCs/>
        </w:rPr>
        <w:t>1</w:t>
      </w:r>
      <w:r>
        <w:rPr>
          <w:rFonts w:hint="eastAsia" w:asciiTheme="minorEastAsia" w:hAnsiTheme="minorEastAsia" w:eastAsiaTheme="minorEastAsia" w:cstheme="minorEastAsia"/>
          <w:b/>
          <w:bCs/>
        </w:rPr>
        <w:t>年后付清（所付款项招标人均不支付利息）</w:t>
      </w:r>
    </w:p>
    <w:p>
      <w:pPr>
        <w:pStyle w:val="16"/>
        <w:spacing w:before="0" w:beforeAutospacing="0" w:after="0" w:afterAutospacing="0" w:line="360" w:lineRule="auto"/>
        <w:ind w:firstLine="482" w:firstLineChars="200"/>
        <w:jc w:val="both"/>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8.履约保证金：投标人在中标后提交给招标人中标价的10%作为履约保证金，在验收合格后全额无息退还。</w:t>
      </w:r>
      <w:bookmarkStart w:id="234" w:name="_GoBack"/>
      <w:bookmarkEnd w:id="234"/>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二、时间和地点安排：</w:t>
      </w:r>
    </w:p>
    <w:tbl>
      <w:tblPr>
        <w:tblStyle w:val="18"/>
        <w:tblW w:w="910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2041"/>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trPr>
        <w:tc>
          <w:tcPr>
            <w:tcW w:w="947" w:type="dxa"/>
            <w:tcBorders>
              <w:top w:val="single" w:color="000000" w:sz="8" w:space="0"/>
              <w:left w:val="single" w:color="000000" w:sz="8" w:space="0"/>
              <w:bottom w:val="single" w:color="000000" w:sz="4" w:space="0"/>
              <w:right w:val="single" w:color="000000"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项号</w:t>
            </w:r>
          </w:p>
        </w:tc>
        <w:tc>
          <w:tcPr>
            <w:tcW w:w="2041" w:type="dxa"/>
            <w:tcBorders>
              <w:top w:val="single" w:color="000000" w:sz="8"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内　容</w:t>
            </w:r>
          </w:p>
        </w:tc>
        <w:tc>
          <w:tcPr>
            <w:tcW w:w="6120" w:type="dxa"/>
            <w:tcBorders>
              <w:top w:val="single" w:color="000000" w:sz="8"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3" w:hRule="atLeas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发放招标文件</w:t>
            </w:r>
          </w:p>
        </w:tc>
        <w:tc>
          <w:tcPr>
            <w:tcW w:w="6120" w:type="dxa"/>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泰州职业技术学院官网自行下载</w:t>
            </w:r>
          </w:p>
          <w:p>
            <w:pPr>
              <w:rPr>
                <w:rFonts w:hint="eastAsia" w:ascii="宋体" w:hAnsi="宋体" w:eastAsia="宋体" w:cs="宋体"/>
                <w:sz w:val="24"/>
                <w:szCs w:val="24"/>
              </w:rPr>
            </w:pPr>
            <w:r>
              <w:rPr>
                <w:rFonts w:hint="eastAsia" w:ascii="宋体" w:hAnsi="宋体" w:eastAsia="宋体" w:cs="宋体"/>
                <w:sz w:val="24"/>
                <w:szCs w:val="24"/>
              </w:rPr>
              <w:t>https://www.tzpc.edu.cn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投标确认函</w:t>
            </w:r>
          </w:p>
        </w:tc>
        <w:tc>
          <w:tcPr>
            <w:tcW w:w="6120" w:type="dxa"/>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发送至电子邮箱：</w:t>
            </w:r>
            <w:r>
              <w:rPr>
                <w:rFonts w:hint="eastAsia" w:ascii="宋体" w:hAnsi="宋体" w:eastAsia="宋体" w:cs="宋体"/>
                <w:sz w:val="24"/>
                <w:szCs w:val="24"/>
                <w:lang w:val="en-US" w:eastAsia="zh-CN"/>
              </w:rPr>
              <w:t>3317004925</w:t>
            </w:r>
            <w:r>
              <w:rPr>
                <w:rFonts w:hint="eastAsia" w:ascii="宋体" w:hAnsi="宋体" w:eastAsia="宋体" w:cs="宋体"/>
                <w:sz w:val="24"/>
                <w:szCs w:val="24"/>
              </w:rPr>
              <w:t>@</w:t>
            </w:r>
            <w:r>
              <w:rPr>
                <w:rFonts w:hint="eastAsia" w:ascii="宋体" w:hAnsi="宋体" w:eastAsia="宋体" w:cs="宋体"/>
                <w:sz w:val="24"/>
                <w:szCs w:val="24"/>
                <w:lang w:val="en-US" w:eastAsia="zh-CN"/>
              </w:rPr>
              <w:t>qq</w:t>
            </w:r>
            <w:r>
              <w:rPr>
                <w:rFonts w:hint="eastAsia" w:ascii="宋体" w:hAnsi="宋体" w:eastAsia="宋体" w:cs="宋体"/>
                <w:sz w:val="24"/>
                <w:szCs w:val="24"/>
              </w:rPr>
              <w:t>.com</w:t>
            </w:r>
          </w:p>
          <w:p>
            <w:pPr>
              <w:rPr>
                <w:rFonts w:hint="eastAsia" w:ascii="宋体" w:hAnsi="宋体" w:eastAsia="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2022年8月17日17时前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投标人踏勘</w:t>
            </w:r>
          </w:p>
          <w:p>
            <w:pPr>
              <w:jc w:val="center"/>
              <w:rPr>
                <w:rFonts w:hint="eastAsia" w:ascii="宋体" w:hAnsi="宋体" w:eastAsia="宋体" w:cs="宋体"/>
                <w:sz w:val="24"/>
                <w:szCs w:val="24"/>
              </w:rPr>
            </w:pPr>
            <w:r>
              <w:rPr>
                <w:rFonts w:hint="eastAsia" w:ascii="宋体" w:hAnsi="宋体" w:eastAsia="宋体" w:cs="宋体"/>
                <w:sz w:val="24"/>
                <w:szCs w:val="24"/>
              </w:rPr>
              <w:t>现场</w:t>
            </w:r>
          </w:p>
        </w:tc>
        <w:tc>
          <w:tcPr>
            <w:tcW w:w="6120" w:type="dxa"/>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地点：泰州职业技术学院新校区行政楼124室</w:t>
            </w:r>
          </w:p>
          <w:p>
            <w:pPr>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2022年8月18日上午9时至下午17时</w:t>
            </w: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2" w:hRule="atLeas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投标人报送</w:t>
            </w:r>
          </w:p>
          <w:p>
            <w:pPr>
              <w:jc w:val="center"/>
              <w:rPr>
                <w:rFonts w:hint="eastAsia" w:ascii="宋体" w:hAnsi="宋体" w:eastAsia="宋体" w:cs="宋体"/>
                <w:sz w:val="24"/>
                <w:szCs w:val="24"/>
              </w:rPr>
            </w:pPr>
            <w:r>
              <w:rPr>
                <w:rFonts w:hint="eastAsia" w:ascii="宋体" w:hAnsi="宋体" w:eastAsia="宋体" w:cs="宋体"/>
                <w:sz w:val="24"/>
                <w:szCs w:val="24"/>
              </w:rPr>
              <w:t>书面疑问</w:t>
            </w:r>
          </w:p>
        </w:tc>
        <w:tc>
          <w:tcPr>
            <w:tcW w:w="6120" w:type="dxa"/>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发送至电子邮箱：</w:t>
            </w:r>
            <w:r>
              <w:rPr>
                <w:rFonts w:hint="eastAsia" w:ascii="宋体" w:hAnsi="宋体" w:eastAsia="宋体" w:cs="宋体"/>
                <w:sz w:val="24"/>
                <w:szCs w:val="24"/>
                <w:lang w:val="en-US" w:eastAsia="zh-CN"/>
              </w:rPr>
              <w:t>3317004925</w:t>
            </w:r>
            <w:r>
              <w:rPr>
                <w:rFonts w:hint="eastAsia" w:ascii="宋体" w:hAnsi="宋体" w:eastAsia="宋体" w:cs="宋体"/>
                <w:sz w:val="24"/>
                <w:szCs w:val="24"/>
              </w:rPr>
              <w:t>@</w:t>
            </w:r>
            <w:r>
              <w:rPr>
                <w:rFonts w:hint="eastAsia" w:ascii="宋体" w:hAnsi="宋体" w:eastAsia="宋体" w:cs="宋体"/>
                <w:sz w:val="24"/>
                <w:szCs w:val="24"/>
                <w:lang w:val="en-US" w:eastAsia="zh-CN"/>
              </w:rPr>
              <w:t>qq</w:t>
            </w:r>
            <w:r>
              <w:rPr>
                <w:rFonts w:hint="eastAsia" w:ascii="宋体" w:hAnsi="宋体" w:eastAsia="宋体" w:cs="宋体"/>
                <w:sz w:val="24"/>
                <w:szCs w:val="24"/>
              </w:rPr>
              <w:t>.com</w:t>
            </w:r>
          </w:p>
          <w:p>
            <w:pPr>
              <w:rPr>
                <w:rFonts w:hint="eastAsia" w:ascii="宋体" w:hAnsi="宋体" w:eastAsia="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2022年8月18日17时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5" w:hRule="atLeas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投标文件递交</w:t>
            </w:r>
          </w:p>
        </w:tc>
        <w:tc>
          <w:tcPr>
            <w:tcW w:w="6120" w:type="dxa"/>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地点：</w:t>
            </w:r>
            <w:r>
              <w:rPr>
                <w:rFonts w:hint="eastAsia" w:ascii="宋体" w:hAnsi="宋体" w:eastAsia="宋体" w:cs="宋体"/>
                <w:color w:val="000000"/>
                <w:sz w:val="24"/>
                <w:szCs w:val="24"/>
                <w:u w:val="single"/>
              </w:rPr>
              <w:t>泰州市开发区雪铁龙路1号(梦创中心北楼三</w:t>
            </w:r>
            <w:r>
              <w:rPr>
                <w:rFonts w:hint="eastAsia" w:ascii="宋体" w:hAnsi="宋体" w:eastAsia="宋体" w:cs="宋体"/>
                <w:color w:val="000000"/>
                <w:sz w:val="24"/>
                <w:szCs w:val="24"/>
                <w:u w:val="single"/>
                <w:lang w:val="en-US" w:eastAsia="zh-CN"/>
              </w:rPr>
              <w:t>楼</w:t>
            </w:r>
            <w:r>
              <w:rPr>
                <w:rFonts w:hint="eastAsia" w:ascii="宋体" w:hAnsi="宋体" w:eastAsia="宋体" w:cs="宋体"/>
                <w:color w:val="000000"/>
                <w:sz w:val="24"/>
                <w:szCs w:val="24"/>
                <w:u w:val="single"/>
              </w:rPr>
              <w:t>培训室）</w:t>
            </w:r>
          </w:p>
          <w:p>
            <w:pPr>
              <w:rPr>
                <w:rFonts w:hint="eastAsia" w:ascii="宋体" w:hAnsi="宋体" w:eastAsia="宋体" w:cs="宋体"/>
                <w:sz w:val="24"/>
                <w:szCs w:val="24"/>
                <w:lang w:val="en-US"/>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2022年8月22日14时30分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1" w:hRule="atLeas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开标</w:t>
            </w:r>
          </w:p>
        </w:tc>
        <w:tc>
          <w:tcPr>
            <w:tcW w:w="6120" w:type="dxa"/>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地点：</w:t>
            </w:r>
            <w:r>
              <w:rPr>
                <w:rFonts w:hint="eastAsia" w:ascii="宋体" w:hAnsi="宋体" w:eastAsia="宋体" w:cs="宋体"/>
                <w:color w:val="000000"/>
                <w:sz w:val="24"/>
                <w:szCs w:val="24"/>
                <w:u w:val="single"/>
              </w:rPr>
              <w:t>泰州市开发区雪铁龙路1号(梦创中心北楼三</w:t>
            </w:r>
            <w:r>
              <w:rPr>
                <w:rFonts w:hint="eastAsia" w:ascii="宋体" w:hAnsi="宋体" w:eastAsia="宋体" w:cs="宋体"/>
                <w:color w:val="000000"/>
                <w:sz w:val="24"/>
                <w:szCs w:val="24"/>
                <w:u w:val="single"/>
                <w:lang w:val="en-US" w:eastAsia="zh-CN"/>
              </w:rPr>
              <w:t>楼</w:t>
            </w:r>
            <w:r>
              <w:rPr>
                <w:rFonts w:hint="eastAsia" w:ascii="宋体" w:hAnsi="宋体" w:eastAsia="宋体" w:cs="宋体"/>
                <w:color w:val="000000"/>
                <w:sz w:val="24"/>
                <w:szCs w:val="24"/>
                <w:u w:val="single"/>
              </w:rPr>
              <w:t>培训室）</w:t>
            </w:r>
          </w:p>
          <w:p>
            <w:pPr>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2022年8月22日14时30分</w:t>
            </w:r>
          </w:p>
        </w:tc>
      </w:tr>
    </w:tbl>
    <w:p>
      <w:pPr>
        <w:widowControl/>
        <w:spacing w:line="360" w:lineRule="auto"/>
        <w:ind w:firstLine="323"/>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三、联系方式：</w:t>
      </w:r>
    </w:p>
    <w:p>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代理机构：泰州林诚项目管理有限公司</w:t>
      </w:r>
    </w:p>
    <w:p>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联系人：王工 </w:t>
      </w:r>
    </w:p>
    <w:p>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电话：19951167066 </w:t>
      </w:r>
    </w:p>
    <w:p>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招标人：泰州职业技术学院</w:t>
      </w:r>
    </w:p>
    <w:p>
      <w:pPr>
        <w:widowControl/>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联系人：吴老师</w:t>
      </w:r>
    </w:p>
    <w:p>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联系电话：13852616429</w:t>
      </w:r>
    </w:p>
    <w:p>
      <w:pPr>
        <w:widowControl/>
        <w:spacing w:line="360" w:lineRule="auto"/>
        <w:ind w:firstLine="323"/>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注：</w:t>
      </w:r>
      <w:r>
        <w:rPr>
          <w:rFonts w:hint="eastAsia" w:asciiTheme="minorEastAsia" w:hAnsiTheme="minorEastAsia" w:eastAsiaTheme="minorEastAsia" w:cstheme="minorEastAsia"/>
          <w:kern w:val="0"/>
          <w:sz w:val="24"/>
        </w:rPr>
        <w:t>投标人不在规定时间内参与现场勘探，并在现场勘察签</w:t>
      </w:r>
      <w:r>
        <w:rPr>
          <w:rFonts w:hint="eastAsia" w:asciiTheme="minorEastAsia" w:hAnsiTheme="minorEastAsia" w:eastAsiaTheme="minorEastAsia" w:cstheme="minorEastAsia"/>
          <w:kern w:val="0"/>
          <w:sz w:val="24"/>
          <w:lang w:val="en-US" w:eastAsia="zh-CN"/>
        </w:rPr>
        <w:t>到</w:t>
      </w:r>
      <w:r>
        <w:rPr>
          <w:rFonts w:hint="eastAsia" w:asciiTheme="minorEastAsia" w:hAnsiTheme="minorEastAsia" w:eastAsiaTheme="minorEastAsia" w:cstheme="minorEastAsia"/>
          <w:kern w:val="0"/>
          <w:sz w:val="24"/>
        </w:rPr>
        <w:t>表上签到，招标人有权拒绝其参与投标。</w:t>
      </w:r>
    </w:p>
    <w:p>
      <w:pPr>
        <w:widowControl/>
        <w:spacing w:line="360" w:lineRule="auto"/>
        <w:ind w:firstLine="323"/>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四、疫情防控期间投标特别说明：</w:t>
      </w:r>
    </w:p>
    <w:p>
      <w:pPr>
        <w:pStyle w:val="16"/>
        <w:shd w:val="clear" w:color="auto" w:fill="FFFFFF"/>
        <w:spacing w:beforeAutospacing="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1、有下列情形之一的新型冠状病毒传染风险的人员，不得进入开评标场所：</w:t>
      </w:r>
    </w:p>
    <w:p>
      <w:pPr>
        <w:pStyle w:val="16"/>
        <w:shd w:val="clear" w:color="auto" w:fill="FFFFFF"/>
        <w:spacing w:beforeAutospacing="0" w:afterAutospacing="0" w:line="360" w:lineRule="auto"/>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1</w:t>
      </w:r>
      <w:r>
        <w:rPr>
          <w:rFonts w:hint="eastAsia" w:asciiTheme="minorEastAsia" w:hAnsiTheme="minorEastAsia" w:eastAsiaTheme="minorEastAsia" w:cstheme="minorEastAsia"/>
        </w:rPr>
        <w:t>）最近14天接触过新型冠状病毒感染的肺炎疑似或确诊患者的；</w:t>
      </w:r>
    </w:p>
    <w:p>
      <w:pPr>
        <w:pStyle w:val="16"/>
        <w:shd w:val="clear" w:color="auto" w:fill="FFFFFF"/>
        <w:spacing w:beforeAutospacing="0" w:afterAutospacing="0" w:line="360" w:lineRule="auto"/>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2</w:t>
      </w:r>
      <w:r>
        <w:rPr>
          <w:rFonts w:hint="eastAsia" w:asciiTheme="minorEastAsia" w:hAnsiTheme="minorEastAsia" w:eastAsiaTheme="minorEastAsia" w:cstheme="minorEastAsia"/>
        </w:rPr>
        <w:t>）来自或途经重点地区的来泰、返泰人员，在泰隔离观察（留验）未满14天的；</w:t>
      </w:r>
    </w:p>
    <w:p>
      <w:pPr>
        <w:pStyle w:val="16"/>
        <w:shd w:val="clear" w:color="auto" w:fill="FFFFFF"/>
        <w:spacing w:beforeAutospacing="0" w:afterAutospacing="0" w:line="360" w:lineRule="auto"/>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3</w:t>
      </w:r>
      <w:r>
        <w:rPr>
          <w:rFonts w:hint="eastAsia" w:asciiTheme="minorEastAsia" w:hAnsiTheme="minorEastAsia" w:eastAsiaTheme="minorEastAsia" w:cstheme="minorEastAsia"/>
        </w:rPr>
        <w:t>）近期有发热、乏力、干咳、气促等新型冠状病毒感染可疑症状的；</w:t>
      </w:r>
    </w:p>
    <w:p>
      <w:pPr>
        <w:pStyle w:val="16"/>
        <w:shd w:val="clear" w:color="auto" w:fill="FFFFFF"/>
        <w:spacing w:beforeAutospacing="0" w:afterAutospacing="0" w:line="360" w:lineRule="auto"/>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4</w:t>
      </w:r>
      <w:r>
        <w:rPr>
          <w:rFonts w:hint="eastAsia" w:asciiTheme="minorEastAsia" w:hAnsiTheme="minorEastAsia" w:eastAsiaTheme="minorEastAsia" w:cstheme="minorEastAsia"/>
        </w:rPr>
        <w:t>）开标场所，并配合场所工作人员依次进行体温检测，不配合工作人员管理的，工作人员有权拒绝其入场。</w:t>
      </w:r>
    </w:p>
    <w:p>
      <w:pPr>
        <w:pStyle w:val="16"/>
        <w:shd w:val="clear" w:color="auto" w:fill="FFFFFF"/>
        <w:spacing w:beforeAutospacing="0" w:afterAutospacing="0" w:line="360" w:lineRule="auto"/>
        <w:ind w:firstLine="480" w:firstLineChars="200"/>
        <w:rPr>
          <w:rFonts w:asciiTheme="minorEastAsia" w:hAnsiTheme="minorEastAsia" w:eastAsiaTheme="minorEastAsia" w:cstheme="minorEastAsia"/>
        </w:rPr>
      </w:pPr>
      <w:r>
        <w:rPr>
          <w:rFonts w:asciiTheme="minorEastAsia" w:hAnsiTheme="minorEastAsia" w:eastAsiaTheme="minorEastAsia" w:cstheme="minorEastAsia"/>
        </w:rPr>
        <w:t>2、</w:t>
      </w:r>
      <w:r>
        <w:rPr>
          <w:rFonts w:hint="eastAsia" w:asciiTheme="minorEastAsia" w:hAnsiTheme="minorEastAsia" w:eastAsiaTheme="minorEastAsia" w:cstheme="minorEastAsia"/>
        </w:rPr>
        <w:t>针对新冠肺炎疫情防控期间的投标须知：响应单位到场代表须身体健康，持健康码、行程码绿码并佩戴口罩，一个投标单位只允许一位委托人入场，如因无绿码或生病等原因不能进入开标室造成的相应损失，由响应供应商自行承担。</w:t>
      </w:r>
    </w:p>
    <w:p>
      <w:pPr>
        <w:pStyle w:val="4"/>
        <w:pageBreakBefore/>
      </w:pPr>
      <w:bookmarkStart w:id="0" w:name="_Toc241459614"/>
      <w:bookmarkStart w:id="1" w:name="_Toc266951038"/>
      <w:bookmarkStart w:id="2" w:name="_Toc275956099"/>
      <w:r>
        <w:rPr>
          <w:rFonts w:hint="eastAsia"/>
        </w:rPr>
        <w:t>第二章投标人须知</w:t>
      </w:r>
      <w:bookmarkEnd w:id="0"/>
      <w:bookmarkEnd w:id="1"/>
      <w:bookmarkEnd w:id="2"/>
    </w:p>
    <w:p/>
    <w:p>
      <w:pPr>
        <w:pStyle w:val="5"/>
      </w:pPr>
      <w:bookmarkStart w:id="3" w:name="_投标须知表"/>
      <w:bookmarkEnd w:id="3"/>
      <w:bookmarkStart w:id="4" w:name="_Toc275956100"/>
      <w:bookmarkStart w:id="5" w:name="_Toc266951039"/>
      <w:r>
        <w:rPr>
          <w:rFonts w:hint="eastAsia"/>
        </w:rPr>
        <w:t>投标人须知前附表</w:t>
      </w:r>
      <w:bookmarkEnd w:id="4"/>
      <w:bookmarkEnd w:id="5"/>
    </w:p>
    <w:tbl>
      <w:tblPr>
        <w:tblStyle w:val="18"/>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60"/>
        <w:gridCol w:w="1443"/>
        <w:gridCol w:w="835"/>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8"/>
                <w:szCs w:val="28"/>
              </w:rPr>
            </w:pPr>
            <w:r>
              <w:rPr>
                <w:rFonts w:hint="eastAsia" w:ascii="宋体" w:hAnsi="宋体" w:cs="Arial"/>
                <w:b/>
                <w:sz w:val="28"/>
                <w:szCs w:val="28"/>
              </w:rPr>
              <w:t>条款号</w:t>
            </w:r>
          </w:p>
        </w:tc>
        <w:tc>
          <w:tcPr>
            <w:tcW w:w="2538" w:type="dxa"/>
            <w:gridSpan w:val="3"/>
            <w:vAlign w:val="center"/>
          </w:tcPr>
          <w:p>
            <w:pPr>
              <w:jc w:val="center"/>
              <w:rPr>
                <w:rFonts w:ascii="宋体" w:cs="Arial"/>
                <w:b/>
                <w:sz w:val="28"/>
                <w:szCs w:val="28"/>
              </w:rPr>
            </w:pPr>
            <w:r>
              <w:rPr>
                <w:rFonts w:hint="eastAsia" w:ascii="宋体" w:hAnsi="宋体" w:cs="Arial"/>
                <w:b/>
                <w:sz w:val="28"/>
                <w:szCs w:val="28"/>
              </w:rPr>
              <w:t>条款名称</w:t>
            </w:r>
          </w:p>
        </w:tc>
        <w:tc>
          <w:tcPr>
            <w:tcW w:w="5828" w:type="dxa"/>
            <w:vAlign w:val="center"/>
          </w:tcPr>
          <w:p>
            <w:pPr>
              <w:jc w:val="center"/>
              <w:rPr>
                <w:rFonts w:ascii="宋体" w:cs="Arial"/>
                <w:b/>
                <w:sz w:val="28"/>
                <w:szCs w:val="28"/>
              </w:rPr>
            </w:pPr>
            <w:r>
              <w:rPr>
                <w:rFonts w:hint="eastAsia" w:ascii="宋体" w:hAnsi="宋体" w:cs="Arial"/>
                <w:b/>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1</w:t>
            </w:r>
          </w:p>
        </w:tc>
        <w:tc>
          <w:tcPr>
            <w:tcW w:w="8366" w:type="dxa"/>
            <w:gridSpan w:val="4"/>
            <w:vAlign w:val="center"/>
          </w:tcPr>
          <w:p>
            <w:pPr>
              <w:ind w:firstLine="3220" w:firstLineChars="1150"/>
              <w:rPr>
                <w:rFonts w:ascii="宋体" w:cs="Arial"/>
                <w:szCs w:val="21"/>
              </w:rPr>
            </w:pPr>
            <w:r>
              <w:rPr>
                <w:rFonts w:hint="eastAsia" w:ascii="黑体" w:hAnsi="宋体" w:eastAsia="黑体" w:cs="黑体"/>
                <w:kern w:val="0"/>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6" w:name="_1.1"/>
            <w:bookmarkEnd w:id="6"/>
            <w:r>
              <w:rPr>
                <w:rFonts w:ascii="宋体" w:hAnsi="宋体" w:cs="Arial"/>
                <w:szCs w:val="21"/>
              </w:rPr>
              <w:t>1.1.2</w:t>
            </w:r>
          </w:p>
        </w:tc>
        <w:tc>
          <w:tcPr>
            <w:tcW w:w="2538" w:type="dxa"/>
            <w:gridSpan w:val="3"/>
            <w:vAlign w:val="center"/>
          </w:tcPr>
          <w:p>
            <w:pPr>
              <w:jc w:val="center"/>
              <w:rPr>
                <w:rFonts w:ascii="宋体" w:cs="Arial"/>
                <w:sz w:val="22"/>
                <w:szCs w:val="22"/>
              </w:rPr>
            </w:pPr>
            <w:r>
              <w:rPr>
                <w:rFonts w:hint="eastAsia" w:ascii="宋体" w:hAnsi="宋体" w:cs="Arial"/>
                <w:sz w:val="22"/>
                <w:szCs w:val="22"/>
              </w:rPr>
              <w:t>招标人</w:t>
            </w:r>
          </w:p>
        </w:tc>
        <w:tc>
          <w:tcPr>
            <w:tcW w:w="5828" w:type="dxa"/>
            <w:vAlign w:val="center"/>
          </w:tcPr>
          <w:p>
            <w:pPr>
              <w:rPr>
                <w:rFonts w:ascii="宋体" w:hAnsi="宋体" w:cs="宋体"/>
                <w:color w:val="3D3D3D"/>
                <w:kern w:val="0"/>
                <w:sz w:val="22"/>
                <w:szCs w:val="22"/>
              </w:rPr>
            </w:pPr>
            <w:r>
              <w:rPr>
                <w:rFonts w:hint="eastAsia" w:ascii="宋体" w:hAnsi="宋体" w:cs="Arial"/>
                <w:sz w:val="22"/>
                <w:szCs w:val="22"/>
              </w:rPr>
              <w:t>名称：</w:t>
            </w:r>
            <w:r>
              <w:rPr>
                <w:rFonts w:hint="eastAsia" w:ascii="宋体" w:hAnsi="宋体" w:cs="宋体"/>
                <w:color w:val="3D3D3D"/>
                <w:kern w:val="0"/>
                <w:sz w:val="22"/>
                <w:szCs w:val="22"/>
              </w:rPr>
              <w:t>泰州职业技术学院</w:t>
            </w:r>
          </w:p>
          <w:p>
            <w:pPr>
              <w:rPr>
                <w:sz w:val="22"/>
                <w:szCs w:val="22"/>
              </w:rPr>
            </w:pPr>
            <w:r>
              <w:rPr>
                <w:rFonts w:hint="eastAsia" w:ascii="宋体" w:hAnsi="宋体" w:cs="Arial"/>
                <w:sz w:val="22"/>
                <w:szCs w:val="22"/>
              </w:rPr>
              <w:t>地址：</w:t>
            </w:r>
            <w:r>
              <w:rPr>
                <w:rFonts w:hint="eastAsia" w:ascii="宋体" w:hAnsi="宋体" w:cs="宋体"/>
                <w:color w:val="3D3D3D"/>
                <w:kern w:val="0"/>
                <w:sz w:val="22"/>
                <w:szCs w:val="22"/>
              </w:rPr>
              <w:t xml:space="preserve">泰州市天星路8号 </w:t>
            </w:r>
          </w:p>
          <w:p>
            <w:pPr>
              <w:rPr>
                <w:rFonts w:ascii="宋体" w:hAnsi="宋体" w:cs="宋体"/>
                <w:color w:val="3D3D3D"/>
                <w:kern w:val="0"/>
                <w:sz w:val="22"/>
                <w:szCs w:val="22"/>
              </w:rPr>
            </w:pPr>
            <w:r>
              <w:rPr>
                <w:rFonts w:hint="eastAsia" w:ascii="宋体" w:hAnsi="宋体" w:cs="宋体"/>
                <w:color w:val="3D3D3D"/>
                <w:kern w:val="0"/>
                <w:sz w:val="22"/>
                <w:szCs w:val="22"/>
              </w:rPr>
              <w:t>联系人：吴老师</w:t>
            </w:r>
          </w:p>
          <w:p>
            <w:pPr>
              <w:rPr>
                <w:rFonts w:ascii="宋体" w:hAnsi="宋体" w:cs="Arial"/>
                <w:sz w:val="22"/>
                <w:szCs w:val="22"/>
                <w:u w:val="single"/>
              </w:rPr>
            </w:pPr>
            <w:r>
              <w:rPr>
                <w:rFonts w:hint="eastAsia" w:ascii="宋体" w:hAnsi="宋体" w:cs="Arial"/>
                <w:sz w:val="22"/>
                <w:szCs w:val="22"/>
              </w:rPr>
              <w:t>电话：</w:t>
            </w:r>
            <w:r>
              <w:rPr>
                <w:rFonts w:hint="eastAsia" w:ascii="宋体" w:hAnsi="宋体" w:cs="宋体"/>
                <w:color w:val="3D3D3D"/>
                <w:kern w:val="0"/>
                <w:sz w:val="22"/>
                <w:szCs w:val="22"/>
              </w:rPr>
              <w:t>13852616429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hAnsi="宋体" w:cs="Arial"/>
                <w:szCs w:val="21"/>
              </w:rPr>
            </w:pPr>
            <w:r>
              <w:rPr>
                <w:rFonts w:ascii="宋体" w:hAnsi="宋体" w:cs="Arial"/>
                <w:szCs w:val="21"/>
              </w:rPr>
              <w:t>1.1.3</w:t>
            </w:r>
          </w:p>
        </w:tc>
        <w:tc>
          <w:tcPr>
            <w:tcW w:w="2538" w:type="dxa"/>
            <w:gridSpan w:val="3"/>
            <w:vAlign w:val="center"/>
          </w:tcPr>
          <w:p>
            <w:pPr>
              <w:jc w:val="center"/>
              <w:rPr>
                <w:rFonts w:ascii="宋体" w:hAnsi="宋体" w:cs="Arial"/>
                <w:szCs w:val="21"/>
              </w:rPr>
            </w:pPr>
            <w:r>
              <w:rPr>
                <w:rFonts w:hint="eastAsia" w:ascii="宋体" w:hAnsi="宋体" w:cs="Arial"/>
                <w:szCs w:val="21"/>
              </w:rPr>
              <w:t>项目名称</w:t>
            </w:r>
          </w:p>
        </w:tc>
        <w:tc>
          <w:tcPr>
            <w:tcW w:w="5828" w:type="dxa"/>
            <w:vAlign w:val="center"/>
          </w:tcPr>
          <w:p>
            <w:pPr>
              <w:jc w:val="left"/>
              <w:rPr>
                <w:rFonts w:ascii="宋体" w:hAnsi="宋体" w:cs="Arial"/>
                <w:szCs w:val="21"/>
              </w:rPr>
            </w:pPr>
            <w:r>
              <w:rPr>
                <w:rFonts w:hint="eastAsia" w:ascii="宋体" w:hAnsi="宋体" w:cs="Arial"/>
                <w:szCs w:val="21"/>
              </w:rPr>
              <w:t>泰州职业技术学院机电实训中心电气改造工程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1.1.4</w:t>
            </w:r>
          </w:p>
        </w:tc>
        <w:tc>
          <w:tcPr>
            <w:tcW w:w="2538" w:type="dxa"/>
            <w:gridSpan w:val="3"/>
            <w:vAlign w:val="center"/>
          </w:tcPr>
          <w:p>
            <w:pPr>
              <w:jc w:val="center"/>
              <w:rPr>
                <w:rFonts w:ascii="宋体" w:cs="Arial"/>
                <w:sz w:val="22"/>
                <w:szCs w:val="22"/>
              </w:rPr>
            </w:pPr>
            <w:r>
              <w:rPr>
                <w:rFonts w:hint="eastAsia" w:ascii="宋体" w:hAnsi="宋体" w:cs="Arial"/>
                <w:sz w:val="22"/>
                <w:szCs w:val="22"/>
              </w:rPr>
              <w:t>建设地点</w:t>
            </w:r>
          </w:p>
        </w:tc>
        <w:tc>
          <w:tcPr>
            <w:tcW w:w="5828" w:type="dxa"/>
            <w:vAlign w:val="center"/>
          </w:tcPr>
          <w:p>
            <w:pPr>
              <w:rPr>
                <w:rFonts w:ascii="宋体" w:cs="Arial"/>
                <w:sz w:val="22"/>
                <w:szCs w:val="22"/>
              </w:rPr>
            </w:pPr>
            <w:r>
              <w:rPr>
                <w:rFonts w:hint="eastAsia" w:ascii="宋体" w:hAnsi="宋体" w:cs="宋体"/>
                <w:color w:val="3D3D3D"/>
                <w:kern w:val="0"/>
                <w:sz w:val="22"/>
                <w:szCs w:val="22"/>
              </w:rPr>
              <w:t>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7" w:name="_1.2"/>
            <w:bookmarkEnd w:id="7"/>
            <w:r>
              <w:rPr>
                <w:rFonts w:ascii="宋体" w:hAnsi="宋体" w:cs="Arial"/>
                <w:szCs w:val="21"/>
              </w:rPr>
              <w:t>1.2.1</w:t>
            </w:r>
          </w:p>
        </w:tc>
        <w:tc>
          <w:tcPr>
            <w:tcW w:w="2538" w:type="dxa"/>
            <w:gridSpan w:val="3"/>
            <w:vAlign w:val="center"/>
          </w:tcPr>
          <w:p>
            <w:pPr>
              <w:jc w:val="center"/>
              <w:rPr>
                <w:rFonts w:ascii="宋体" w:cs="Arial"/>
                <w:sz w:val="22"/>
                <w:szCs w:val="22"/>
              </w:rPr>
            </w:pPr>
            <w:r>
              <w:rPr>
                <w:rFonts w:hint="eastAsia" w:ascii="宋体" w:hAnsi="宋体" w:cs="Arial"/>
                <w:sz w:val="22"/>
                <w:szCs w:val="22"/>
              </w:rPr>
              <w:t>资金来源</w:t>
            </w:r>
          </w:p>
        </w:tc>
        <w:tc>
          <w:tcPr>
            <w:tcW w:w="5828" w:type="dxa"/>
            <w:vAlign w:val="center"/>
          </w:tcPr>
          <w:p>
            <w:pPr>
              <w:rPr>
                <w:rFonts w:ascii="宋体" w:cs="Arial"/>
                <w:sz w:val="22"/>
                <w:szCs w:val="22"/>
              </w:rPr>
            </w:pPr>
            <w:r>
              <w:rPr>
                <w:rFonts w:hint="eastAsia" w:ascii="宋体" w:cs="Arial"/>
                <w:sz w:val="22"/>
                <w:szCs w:val="22"/>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1.2.2</w:t>
            </w:r>
          </w:p>
        </w:tc>
        <w:tc>
          <w:tcPr>
            <w:tcW w:w="2538" w:type="dxa"/>
            <w:gridSpan w:val="3"/>
            <w:vAlign w:val="center"/>
          </w:tcPr>
          <w:p>
            <w:pPr>
              <w:jc w:val="center"/>
              <w:rPr>
                <w:rFonts w:ascii="宋体" w:cs="Arial"/>
                <w:sz w:val="22"/>
                <w:szCs w:val="22"/>
              </w:rPr>
            </w:pPr>
            <w:r>
              <w:rPr>
                <w:rFonts w:hint="eastAsia" w:ascii="宋体" w:hAnsi="宋体" w:cs="Arial"/>
                <w:sz w:val="22"/>
                <w:szCs w:val="22"/>
              </w:rPr>
              <w:t>出资比例</w:t>
            </w:r>
          </w:p>
        </w:tc>
        <w:tc>
          <w:tcPr>
            <w:tcW w:w="5828" w:type="dxa"/>
            <w:vAlign w:val="center"/>
          </w:tcPr>
          <w:p>
            <w:pPr>
              <w:rPr>
                <w:rFonts w:ascii="宋体" w:cs="Arial"/>
                <w:sz w:val="22"/>
                <w:szCs w:val="22"/>
              </w:rPr>
            </w:pPr>
            <w:r>
              <w:rPr>
                <w:rFonts w:hint="eastAsia" w:ascii="宋体" w:cs="Arial"/>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1.2.3</w:t>
            </w:r>
          </w:p>
        </w:tc>
        <w:tc>
          <w:tcPr>
            <w:tcW w:w="2538" w:type="dxa"/>
            <w:gridSpan w:val="3"/>
            <w:vAlign w:val="center"/>
          </w:tcPr>
          <w:p>
            <w:pPr>
              <w:jc w:val="center"/>
              <w:rPr>
                <w:rFonts w:ascii="宋体" w:cs="Arial"/>
                <w:sz w:val="22"/>
                <w:szCs w:val="22"/>
              </w:rPr>
            </w:pPr>
            <w:r>
              <w:rPr>
                <w:rFonts w:hint="eastAsia" w:ascii="宋体" w:hAnsi="宋体" w:cs="Arial"/>
                <w:sz w:val="22"/>
                <w:szCs w:val="22"/>
              </w:rPr>
              <w:t>项目的资金落实情况</w:t>
            </w:r>
          </w:p>
        </w:tc>
        <w:tc>
          <w:tcPr>
            <w:tcW w:w="5828" w:type="dxa"/>
            <w:vAlign w:val="center"/>
          </w:tcPr>
          <w:p>
            <w:pPr>
              <w:rPr>
                <w:rFonts w:ascii="宋体" w:cs="Arial"/>
                <w:sz w:val="22"/>
                <w:szCs w:val="22"/>
              </w:rPr>
            </w:pPr>
            <w:r>
              <w:rPr>
                <w:rFonts w:hint="eastAsia" w:ascii="宋体" w:cs="Arial"/>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1.3.1</w:t>
            </w:r>
          </w:p>
        </w:tc>
        <w:tc>
          <w:tcPr>
            <w:tcW w:w="2538" w:type="dxa"/>
            <w:gridSpan w:val="3"/>
            <w:vAlign w:val="center"/>
          </w:tcPr>
          <w:p>
            <w:pPr>
              <w:jc w:val="center"/>
              <w:rPr>
                <w:rFonts w:ascii="宋体" w:cs="Arial"/>
                <w:sz w:val="22"/>
                <w:szCs w:val="22"/>
              </w:rPr>
            </w:pPr>
            <w:r>
              <w:rPr>
                <w:rFonts w:hint="eastAsia" w:ascii="宋体" w:hAnsi="宋体" w:cs="Arial"/>
                <w:sz w:val="22"/>
                <w:szCs w:val="22"/>
              </w:rPr>
              <w:t>招标范围</w:t>
            </w:r>
          </w:p>
        </w:tc>
        <w:tc>
          <w:tcPr>
            <w:tcW w:w="5828" w:type="dxa"/>
            <w:vAlign w:val="center"/>
          </w:tcPr>
          <w:p>
            <w:pPr>
              <w:rPr>
                <w:rFonts w:ascii="宋体" w:cs="Arial"/>
                <w:sz w:val="22"/>
                <w:szCs w:val="22"/>
              </w:rPr>
            </w:pPr>
            <w:r>
              <w:rPr>
                <w:rFonts w:hint="eastAsia" w:ascii="宋体" w:cs="Arial"/>
                <w:sz w:val="22"/>
                <w:szCs w:val="22"/>
              </w:rPr>
              <w:t>详见清单项目说明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1.3.2</w:t>
            </w:r>
          </w:p>
        </w:tc>
        <w:tc>
          <w:tcPr>
            <w:tcW w:w="2538" w:type="dxa"/>
            <w:gridSpan w:val="3"/>
            <w:vAlign w:val="center"/>
          </w:tcPr>
          <w:p>
            <w:pPr>
              <w:jc w:val="center"/>
              <w:rPr>
                <w:rFonts w:ascii="宋体" w:cs="Arial"/>
                <w:sz w:val="22"/>
                <w:szCs w:val="22"/>
              </w:rPr>
            </w:pPr>
            <w:r>
              <w:rPr>
                <w:rFonts w:hint="eastAsia" w:ascii="宋体" w:hAnsi="宋体" w:cs="Arial"/>
                <w:sz w:val="22"/>
                <w:szCs w:val="22"/>
              </w:rPr>
              <w:t>计划工期</w:t>
            </w:r>
          </w:p>
        </w:tc>
        <w:tc>
          <w:tcPr>
            <w:tcW w:w="5828" w:type="dxa"/>
            <w:vAlign w:val="center"/>
          </w:tcPr>
          <w:p>
            <w:pPr>
              <w:rPr>
                <w:rFonts w:ascii="宋体" w:hAnsi="宋体" w:cs="Arial"/>
                <w:sz w:val="22"/>
                <w:szCs w:val="22"/>
                <w:u w:val="single"/>
              </w:rPr>
            </w:pPr>
            <w:r>
              <w:rPr>
                <w:rFonts w:hint="eastAsia" w:ascii="宋体" w:hAnsi="宋体" w:cs="Arial"/>
                <w:sz w:val="22"/>
                <w:szCs w:val="22"/>
              </w:rPr>
              <w:t>计划工期：</w:t>
            </w:r>
            <w:r>
              <w:rPr>
                <w:rFonts w:ascii="宋体" w:hAnsi="宋体" w:cs="Arial"/>
                <w:sz w:val="22"/>
                <w:szCs w:val="22"/>
              </w:rPr>
              <w:t>30</w:t>
            </w:r>
            <w:r>
              <w:rPr>
                <w:rFonts w:hint="eastAsia" w:ascii="宋体" w:hAnsi="宋体" w:cs="Arial"/>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1.3.3</w:t>
            </w:r>
          </w:p>
        </w:tc>
        <w:tc>
          <w:tcPr>
            <w:tcW w:w="2538" w:type="dxa"/>
            <w:gridSpan w:val="3"/>
            <w:vAlign w:val="center"/>
          </w:tcPr>
          <w:p>
            <w:pPr>
              <w:jc w:val="center"/>
              <w:rPr>
                <w:rFonts w:ascii="宋体" w:cs="Arial"/>
                <w:sz w:val="22"/>
                <w:szCs w:val="22"/>
              </w:rPr>
            </w:pPr>
            <w:r>
              <w:rPr>
                <w:rFonts w:hint="eastAsia" w:ascii="宋体" w:hAnsi="宋体" w:cs="Arial"/>
                <w:sz w:val="22"/>
                <w:szCs w:val="22"/>
              </w:rPr>
              <w:t>质量要求</w:t>
            </w:r>
          </w:p>
        </w:tc>
        <w:tc>
          <w:tcPr>
            <w:tcW w:w="5828" w:type="dxa"/>
            <w:vAlign w:val="center"/>
          </w:tcPr>
          <w:p>
            <w:pPr>
              <w:rPr>
                <w:sz w:val="22"/>
                <w:szCs w:val="22"/>
              </w:rPr>
            </w:pPr>
            <w:r>
              <w:rPr>
                <w:rFonts w:hint="eastAsia"/>
                <w:sz w:val="22"/>
                <w:szCs w:val="22"/>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1.4.1</w:t>
            </w:r>
          </w:p>
        </w:tc>
        <w:tc>
          <w:tcPr>
            <w:tcW w:w="2538" w:type="dxa"/>
            <w:gridSpan w:val="3"/>
            <w:vAlign w:val="center"/>
          </w:tcPr>
          <w:p>
            <w:pPr>
              <w:jc w:val="center"/>
              <w:rPr>
                <w:rFonts w:ascii="宋体" w:cs="Arial"/>
                <w:szCs w:val="21"/>
              </w:rPr>
            </w:pPr>
            <w:r>
              <w:rPr>
                <w:rFonts w:hint="eastAsia" w:ascii="宋体" w:hAnsi="宋体" w:cs="Arial"/>
                <w:szCs w:val="21"/>
              </w:rPr>
              <w:t>投标人资质条件、能力和评价</w:t>
            </w:r>
          </w:p>
        </w:tc>
        <w:tc>
          <w:tcPr>
            <w:tcW w:w="5828" w:type="dxa"/>
            <w:vAlign w:val="center"/>
          </w:tcPr>
          <w:p>
            <w:pPr>
              <w:rPr>
                <w:rFonts w:ascii="宋体" w:hAnsi="宋体" w:cs="宋体"/>
                <w:b/>
                <w:bCs/>
                <w:kern w:val="0"/>
                <w:szCs w:val="21"/>
              </w:rPr>
            </w:pPr>
            <w:r>
              <w:rPr>
                <w:rFonts w:hint="eastAsia" w:ascii="宋体" w:hAnsi="宋体" w:cs="宋体"/>
                <w:b/>
                <w:bCs/>
                <w:kern w:val="0"/>
                <w:szCs w:val="21"/>
              </w:rPr>
              <w:t>资质条件：</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)建筑工程总承包三级或三级以上</w:t>
            </w:r>
            <w:r>
              <w:rPr>
                <w:rFonts w:hint="eastAsia" w:ascii="宋体" w:hAnsi="宋体" w:cs="宋体"/>
                <w:b/>
                <w:bCs/>
                <w:color w:val="3D3D3D"/>
                <w:kern w:val="0"/>
                <w:szCs w:val="21"/>
              </w:rPr>
              <w:t>且在有效期内</w:t>
            </w:r>
            <w:r>
              <w:rPr>
                <w:rFonts w:hint="eastAsia" w:ascii="宋体" w:hAnsi="宋体" w:cs="宋体"/>
                <w:b/>
                <w:bCs/>
                <w:kern w:val="0"/>
                <w:szCs w:val="21"/>
              </w:rPr>
              <w:t>；</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)具备有效的营业执照；</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)具备有效的安全生产许可证；</w:t>
            </w:r>
          </w:p>
          <w:p>
            <w:pPr>
              <w:spacing w:line="360" w:lineRule="exact"/>
              <w:rPr>
                <w:rFonts w:ascii="宋体" w:hAnsi="宋体" w:cs="宋体"/>
                <w:kern w:val="0"/>
                <w:szCs w:val="21"/>
              </w:rPr>
            </w:pPr>
            <w:r>
              <w:rPr>
                <w:rFonts w:hint="eastAsia" w:ascii="宋体" w:hAnsi="宋体" w:cs="宋体"/>
                <w:kern w:val="0"/>
                <w:szCs w:val="21"/>
              </w:rPr>
              <w:t>财务要求：财务状态良好，未处于被接管、冻结、破产状态。</w:t>
            </w:r>
          </w:p>
          <w:p>
            <w:pPr>
              <w:spacing w:line="360" w:lineRule="exact"/>
              <w:rPr>
                <w:rFonts w:ascii="宋体" w:hAnsi="宋体" w:cs="宋体"/>
                <w:kern w:val="0"/>
                <w:szCs w:val="21"/>
              </w:rPr>
            </w:pPr>
            <w:r>
              <w:rPr>
                <w:rFonts w:hint="eastAsia" w:ascii="宋体" w:hAnsi="宋体" w:cs="宋体"/>
                <w:b/>
                <w:bCs/>
                <w:kern w:val="0"/>
                <w:szCs w:val="21"/>
              </w:rPr>
              <w:t>项目经理(建造师，下同)资格</w:t>
            </w:r>
            <w:r>
              <w:rPr>
                <w:rFonts w:hint="eastAsia" w:ascii="宋体" w:hAnsi="宋体" w:cs="宋体"/>
                <w:kern w:val="0"/>
                <w:szCs w:val="21"/>
              </w:rPr>
              <w:t>：</w:t>
            </w:r>
          </w:p>
          <w:p>
            <w:pPr>
              <w:spacing w:line="360" w:lineRule="exact"/>
              <w:rPr>
                <w:rFonts w:ascii="宋体" w:hAnsi="宋体" w:cs="宋体"/>
                <w:kern w:val="0"/>
                <w:szCs w:val="21"/>
              </w:rPr>
            </w:pPr>
            <w:r>
              <w:rPr>
                <w:rFonts w:hint="eastAsia" w:ascii="宋体" w:hAnsi="宋体" w:cs="宋体"/>
                <w:kern w:val="0"/>
                <w:szCs w:val="21"/>
              </w:rPr>
              <w:t>项目经理系已在投标人单位注册并具备</w:t>
            </w:r>
            <w:r>
              <w:rPr>
                <w:rFonts w:ascii="宋体" w:hAnsi="宋体" w:cs="宋体"/>
                <w:b/>
                <w:bCs/>
                <w:kern w:val="0"/>
                <w:szCs w:val="21"/>
                <w:u w:val="single"/>
              </w:rPr>
              <w:t>[</w:t>
            </w:r>
            <w:r>
              <w:rPr>
                <w:rFonts w:hint="eastAsia" w:ascii="宋体" w:hAnsi="宋体" w:cs="宋体"/>
                <w:b/>
                <w:bCs/>
                <w:kern w:val="0"/>
                <w:szCs w:val="21"/>
                <w:u w:val="single"/>
              </w:rPr>
              <w:t>建筑工程专业二级</w:t>
            </w:r>
            <w:r>
              <w:rPr>
                <w:rFonts w:ascii="宋体" w:hAnsi="宋体" w:cs="宋体"/>
                <w:b/>
                <w:bCs/>
                <w:kern w:val="0"/>
                <w:szCs w:val="21"/>
                <w:u w:val="single"/>
              </w:rPr>
              <w:t>]</w:t>
            </w:r>
            <w:r>
              <w:rPr>
                <w:rFonts w:hint="eastAsia" w:ascii="宋体" w:hAnsi="宋体" w:cs="宋体"/>
                <w:b/>
                <w:bCs/>
                <w:kern w:val="0"/>
                <w:szCs w:val="21"/>
                <w:u w:val="single"/>
              </w:rPr>
              <w:t>(含以上级)注册建造师执业资格</w:t>
            </w:r>
            <w:r>
              <w:rPr>
                <w:rFonts w:hint="eastAsia" w:ascii="宋体" w:hAnsi="宋体" w:cs="宋体"/>
                <w:kern w:val="0"/>
                <w:szCs w:val="21"/>
              </w:rPr>
              <w:t>，具备</w:t>
            </w:r>
            <w:r>
              <w:rPr>
                <w:rFonts w:hint="eastAsia" w:ascii="宋体" w:hAnsi="宋体" w:cs="宋体"/>
                <w:b/>
                <w:bCs/>
                <w:kern w:val="0"/>
                <w:szCs w:val="21"/>
                <w:u w:val="single"/>
              </w:rPr>
              <w:t>建设行政主管部门颁发的有效的安全生产考核合格证书</w:t>
            </w:r>
            <w:r>
              <w:rPr>
                <w:rFonts w:hint="eastAsia" w:ascii="宋体" w:hAnsi="宋体" w:cs="宋体"/>
                <w:b/>
                <w:bCs/>
                <w:kern w:val="0"/>
                <w:szCs w:val="21"/>
              </w:rPr>
              <w:t>，</w:t>
            </w:r>
            <w:r>
              <w:rPr>
                <w:rFonts w:hint="eastAsia" w:ascii="宋体" w:hAnsi="宋体" w:cs="宋体"/>
                <w:kern w:val="0"/>
                <w:szCs w:val="21"/>
              </w:rPr>
              <w:t>且未担任其他在建建设工程项目的项目经理，证书须在有效期内。</w:t>
            </w:r>
          </w:p>
          <w:p>
            <w:pPr>
              <w:spacing w:line="360" w:lineRule="exact"/>
              <w:rPr>
                <w:rFonts w:ascii="宋体" w:hAnsi="宋体" w:cs="宋体"/>
                <w:kern w:val="0"/>
                <w:szCs w:val="21"/>
              </w:rPr>
            </w:pPr>
            <w:r>
              <w:rPr>
                <w:rFonts w:hint="eastAsia" w:ascii="宋体" w:hAnsi="宋体" w:cs="宋体"/>
                <w:kern w:val="0"/>
                <w:szCs w:val="21"/>
              </w:rPr>
              <w:t>信誉要求：</w:t>
            </w:r>
            <w:bookmarkStart w:id="8" w:name="EB49b7865b75214540bec9c9da117c43de"/>
            <w:r>
              <w:rPr>
                <w:rFonts w:hint="eastAsia" w:ascii="宋体" w:hAnsi="宋体" w:cs="宋体"/>
                <w:kern w:val="0"/>
                <w:szCs w:val="21"/>
              </w:rPr>
              <w:t>投标人及项目经理不得存在下列情形之一：</w:t>
            </w:r>
          </w:p>
          <w:bookmarkEnd w:id="8"/>
          <w:p>
            <w:pPr>
              <w:spacing w:line="360" w:lineRule="exact"/>
              <w:ind w:firstLine="420" w:firstLineChars="200"/>
              <w:rPr>
                <w:rFonts w:ascii="宋体" w:hAnsi="宋体" w:cs="宋体"/>
                <w:kern w:val="0"/>
                <w:szCs w:val="21"/>
              </w:rPr>
            </w:pPr>
            <w:r>
              <w:rPr>
                <w:rFonts w:hint="eastAsia" w:ascii="宋体" w:hAnsi="宋体" w:cs="宋体"/>
                <w:kern w:val="0"/>
                <w:szCs w:val="21"/>
              </w:rPr>
              <w:t>1.企业因发生重大工程质量、安全生产事故，被有关部门暂停投标资格并在暂停期内的；</w:t>
            </w:r>
          </w:p>
          <w:p>
            <w:pPr>
              <w:spacing w:line="360" w:lineRule="exact"/>
              <w:ind w:firstLine="420" w:firstLineChars="200"/>
              <w:rPr>
                <w:rFonts w:ascii="宋体" w:hAnsi="宋体" w:cs="宋体"/>
                <w:kern w:val="0"/>
                <w:szCs w:val="21"/>
              </w:rPr>
            </w:pPr>
            <w:r>
              <w:rPr>
                <w:rFonts w:hint="eastAsia" w:ascii="宋体" w:hAnsi="宋体" w:cs="宋体"/>
                <w:kern w:val="0"/>
                <w:szCs w:val="21"/>
              </w:rPr>
              <w:t>2.有建设市场不良行为在江苏建设工程招标网、泰州市公共资源交易平台或其靖江站、泰兴站、兴化站、姜堰站上被曝光且正在曝光期间的；</w:t>
            </w:r>
          </w:p>
          <w:p>
            <w:pPr>
              <w:autoSpaceDE w:val="0"/>
              <w:autoSpaceDN w:val="0"/>
              <w:adjustRightInd w:val="0"/>
              <w:ind w:firstLine="420" w:firstLineChars="200"/>
              <w:jc w:val="left"/>
              <w:rPr>
                <w:rFonts w:ascii="宋体" w:cs="宋体"/>
                <w:kern w:val="0"/>
                <w:szCs w:val="21"/>
              </w:rPr>
            </w:pPr>
            <w:r>
              <w:rPr>
                <w:rFonts w:ascii="宋体" w:cs="宋体"/>
                <w:kern w:val="0"/>
                <w:szCs w:val="21"/>
              </w:rPr>
              <w:t>3.</w:t>
            </w:r>
            <w:r>
              <w:rPr>
                <w:rFonts w:hint="eastAsia" w:ascii="宋体" w:cs="宋体"/>
                <w:kern w:val="0"/>
                <w:szCs w:val="21"/>
              </w:rPr>
              <w:t>被有关部门通报批评、责令整改且正在泰州市住房和城乡建设局官网“曝光台”被曝光的</w:t>
            </w:r>
            <w:r>
              <w:rPr>
                <w:rFonts w:ascii="宋体" w:cs="宋体"/>
                <w:kern w:val="0"/>
                <w:szCs w:val="21"/>
              </w:rPr>
              <w:t>;</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以上被曝光的不良行为，有相关部门正式公文证明行政处罚已被取消或处罚期已满的除外。</w:t>
            </w:r>
          </w:p>
          <w:p>
            <w:pPr>
              <w:autoSpaceDE w:val="0"/>
              <w:autoSpaceDN w:val="0"/>
              <w:adjustRightInd w:val="0"/>
              <w:ind w:firstLine="420" w:firstLineChars="200"/>
              <w:jc w:val="left"/>
              <w:rPr>
                <w:rFonts w:ascii="宋体" w:cs="宋体"/>
                <w:kern w:val="0"/>
                <w:szCs w:val="21"/>
              </w:rPr>
            </w:pPr>
            <w:r>
              <w:rPr>
                <w:rFonts w:ascii="宋体" w:cs="宋体"/>
                <w:kern w:val="0"/>
                <w:szCs w:val="21"/>
              </w:rPr>
              <w:t>4.</w:t>
            </w:r>
            <w:r>
              <w:rPr>
                <w:rFonts w:hint="eastAsia" w:ascii="宋体" w:cs="宋体"/>
                <w:kern w:val="0"/>
                <w:szCs w:val="21"/>
              </w:rPr>
              <w:t>被“信用中国”网站（</w:t>
            </w:r>
            <w:r>
              <w:rPr>
                <w:rFonts w:ascii="宋体" w:cs="宋体"/>
                <w:kern w:val="0"/>
                <w:szCs w:val="21"/>
              </w:rPr>
              <w:t>www.creditchina.gov.cn</w:t>
            </w:r>
            <w:r>
              <w:rPr>
                <w:rFonts w:hint="eastAsia" w:ascii="宋体" w:cs="宋体"/>
                <w:kern w:val="0"/>
                <w:szCs w:val="21"/>
              </w:rPr>
              <w:t>，“信用中国”网站→信用服务→失信被执行人查询）列入失信被执行人名单的。</w:t>
            </w:r>
          </w:p>
          <w:p>
            <w:pPr>
              <w:autoSpaceDE w:val="0"/>
              <w:autoSpaceDN w:val="0"/>
              <w:adjustRightInd w:val="0"/>
              <w:jc w:val="left"/>
              <w:rPr>
                <w:rFonts w:ascii="宋体" w:cs="宋体"/>
                <w:kern w:val="0"/>
                <w:szCs w:val="21"/>
              </w:rPr>
            </w:pPr>
            <w:r>
              <w:rPr>
                <w:rFonts w:hint="eastAsia" w:ascii="宋体" w:cs="宋体"/>
                <w:kern w:val="0"/>
                <w:szCs w:val="21"/>
              </w:rPr>
              <w:t>其他要求：</w:t>
            </w:r>
          </w:p>
          <w:p>
            <w:pPr>
              <w:autoSpaceDE w:val="0"/>
              <w:autoSpaceDN w:val="0"/>
              <w:adjustRightInd w:val="0"/>
              <w:ind w:firstLine="210" w:firstLineChars="100"/>
              <w:jc w:val="left"/>
              <w:rPr>
                <w:rFonts w:ascii="宋体" w:cs="宋体"/>
                <w:kern w:val="0"/>
                <w:szCs w:val="21"/>
              </w:rPr>
            </w:pPr>
            <w:r>
              <w:rPr>
                <w:rFonts w:ascii="宋体" w:cs="宋体"/>
                <w:kern w:val="0"/>
                <w:szCs w:val="21"/>
              </w:rPr>
              <w:t>1.</w:t>
            </w:r>
            <w:r>
              <w:rPr>
                <w:rFonts w:hint="eastAsia" w:ascii="宋体" w:cs="宋体"/>
                <w:kern w:val="0"/>
                <w:szCs w:val="21"/>
              </w:rPr>
              <w:t>项目负责人无在建工程要求：</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1</w:t>
            </w:r>
            <w:r>
              <w:rPr>
                <w:rFonts w:hint="eastAsia" w:ascii="宋体" w:cs="宋体"/>
                <w:color w:val="000000"/>
                <w:kern w:val="0"/>
                <w:szCs w:val="21"/>
              </w:rPr>
              <w:t>）项目负责人是非变更后无在建工程。</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）项目负责人是变更后无在建工程的</w:t>
            </w:r>
            <w:r>
              <w:rPr>
                <w:rFonts w:ascii="宋体" w:cs="宋体"/>
                <w:color w:val="000000"/>
                <w:kern w:val="0"/>
                <w:szCs w:val="21"/>
              </w:rPr>
              <w:t>,</w:t>
            </w:r>
            <w:r>
              <w:rPr>
                <w:rFonts w:hint="eastAsia" w:ascii="宋体" w:cs="宋体"/>
                <w:color w:val="000000"/>
                <w:kern w:val="0"/>
                <w:szCs w:val="21"/>
              </w:rPr>
              <w:t>必须是原合同工期已满且自变更备案之日起已满6个月，或因非承包方原因致使工程项目停工或因故不能按期开工、且已办理了项目负责人解锁手续。</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3</w:t>
            </w:r>
            <w:r>
              <w:rPr>
                <w:rFonts w:hint="eastAsia" w:ascii="宋体" w:cs="宋体"/>
                <w:color w:val="000000"/>
                <w:kern w:val="0"/>
                <w:szCs w:val="21"/>
              </w:rPr>
              <w:t>）项目负责人有在建工程，但该在建工程与本次招标的工程属于同一工程项目、同一项目批文、同一施工地点分段包或分期施工的情况，且该在建工程与本次招标项目的规模总和在项目负责人资格执业范围内。</w:t>
            </w:r>
          </w:p>
          <w:p>
            <w:pPr>
              <w:autoSpaceDE w:val="0"/>
              <w:autoSpaceDN w:val="0"/>
              <w:adjustRightInd w:val="0"/>
              <w:jc w:val="left"/>
              <w:rPr>
                <w:rFonts w:ascii="宋体" w:cs="宋体"/>
                <w:b/>
                <w:bCs/>
                <w:kern w:val="0"/>
                <w:szCs w:val="21"/>
              </w:rPr>
            </w:pPr>
            <w:r>
              <w:rPr>
                <w:rFonts w:hint="eastAsia" w:ascii="宋体" w:cs="宋体"/>
                <w:b/>
                <w:bCs/>
                <w:kern w:val="0"/>
                <w:szCs w:val="21"/>
              </w:rPr>
              <w:t>注：以上在建工程是指在其他项目担任项目负责人职责。以投标人在投标文件中的《投标承诺书》为准。</w:t>
            </w:r>
          </w:p>
          <w:p>
            <w:pPr>
              <w:autoSpaceDE w:val="0"/>
              <w:autoSpaceDN w:val="0"/>
              <w:adjustRightInd w:val="0"/>
              <w:ind w:firstLine="210" w:firstLineChars="100"/>
              <w:jc w:val="left"/>
              <w:rPr>
                <w:rFonts w:ascii="宋体" w:cs="宋体"/>
                <w:color w:val="000000"/>
                <w:kern w:val="0"/>
                <w:szCs w:val="21"/>
              </w:rPr>
            </w:pPr>
            <w:r>
              <w:rPr>
                <w:rFonts w:hint="eastAsia" w:ascii="宋体" w:cs="宋体"/>
                <w:color w:val="000000"/>
                <w:kern w:val="0"/>
                <w:szCs w:val="21"/>
              </w:rPr>
              <w:t>2</w:t>
            </w:r>
            <w:r>
              <w:rPr>
                <w:rFonts w:ascii="宋体" w:cs="宋体"/>
                <w:color w:val="000000"/>
                <w:kern w:val="0"/>
                <w:szCs w:val="21"/>
              </w:rPr>
              <w:t>.</w:t>
            </w:r>
            <w:r>
              <w:rPr>
                <w:rFonts w:hint="eastAsia" w:ascii="宋体" w:cs="宋体"/>
                <w:color w:val="000000"/>
                <w:kern w:val="0"/>
                <w:szCs w:val="21"/>
              </w:rPr>
              <w:t>项目负责人不得同时在两个或者两个以上单位受聘或者执</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业，仅限于以下情形：</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1</w:t>
            </w:r>
            <w:r>
              <w:rPr>
                <w:rFonts w:hint="eastAsia" w:ascii="宋体" w:cs="宋体"/>
                <w:color w:val="000000"/>
                <w:kern w:val="0"/>
                <w:szCs w:val="21"/>
              </w:rPr>
              <w:t>）同时在两个及以上单位签订劳动合同或交纳社会保险；</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）将本人执（职）业资格证书同时注册在两个及以上单位；</w:t>
            </w:r>
          </w:p>
          <w:p>
            <w:pPr>
              <w:spacing w:line="360" w:lineRule="exact"/>
              <w:rPr>
                <w:rFonts w:ascii="宋体" w:hAnsi="宋体" w:cs="宋体"/>
                <w:kern w:val="0"/>
                <w:szCs w:val="21"/>
              </w:rPr>
            </w:pPr>
            <w:r>
              <w:rPr>
                <w:rFonts w:hint="eastAsia" w:ascii="宋体" w:cs="宋体"/>
                <w:color w:val="000000"/>
                <w:kern w:val="0"/>
                <w:szCs w:val="21"/>
              </w:rPr>
              <w:t>（3）在其他企业担任法定代表人。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1.4.2</w:t>
            </w:r>
          </w:p>
        </w:tc>
        <w:tc>
          <w:tcPr>
            <w:tcW w:w="2538" w:type="dxa"/>
            <w:gridSpan w:val="3"/>
            <w:vAlign w:val="center"/>
          </w:tcPr>
          <w:p>
            <w:pPr>
              <w:jc w:val="center"/>
              <w:rPr>
                <w:rFonts w:ascii="宋体" w:cs="Arial"/>
                <w:szCs w:val="21"/>
              </w:rPr>
            </w:pPr>
            <w:r>
              <w:rPr>
                <w:rFonts w:hint="eastAsia" w:ascii="宋体" w:hAnsi="宋体" w:cs="Arial"/>
                <w:szCs w:val="21"/>
              </w:rPr>
              <w:t>是否接受联合体投标</w:t>
            </w:r>
          </w:p>
        </w:tc>
        <w:tc>
          <w:tcPr>
            <w:tcW w:w="5828" w:type="dxa"/>
            <w:vAlign w:val="center"/>
          </w:tcPr>
          <w:p>
            <w:pPr>
              <w:topLinePunct/>
              <w:rPr>
                <w:rFonts w:ascii="宋体" w:cs="Arial"/>
                <w:szCs w:val="21"/>
              </w:rPr>
            </w:pPr>
            <w:r>
              <w:rPr>
                <w:rFonts w:hint="eastAsia" w:hAnsi="宋体" w:cs="Arial"/>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2.</w:t>
            </w:r>
          </w:p>
        </w:tc>
        <w:tc>
          <w:tcPr>
            <w:tcW w:w="8366" w:type="dxa"/>
            <w:gridSpan w:val="4"/>
            <w:vAlign w:val="center"/>
          </w:tcPr>
          <w:p>
            <w:pPr>
              <w:topLinePunct/>
              <w:jc w:val="center"/>
              <w:rPr>
                <w:rFonts w:ascii="宋体" w:cs="Arial"/>
                <w:szCs w:val="21"/>
              </w:rPr>
            </w:pPr>
            <w:r>
              <w:rPr>
                <w:rFonts w:hint="eastAsia" w:ascii="宋体" w:hAnsi="宋体" w:cs="Arial"/>
                <w:b/>
                <w:sz w:val="24"/>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2.1</w:t>
            </w:r>
          </w:p>
        </w:tc>
        <w:tc>
          <w:tcPr>
            <w:tcW w:w="2538" w:type="dxa"/>
            <w:gridSpan w:val="3"/>
            <w:vAlign w:val="center"/>
          </w:tcPr>
          <w:p>
            <w:pPr>
              <w:jc w:val="center"/>
              <w:rPr>
                <w:rFonts w:ascii="宋体" w:cs="Arial"/>
                <w:szCs w:val="21"/>
              </w:rPr>
            </w:pPr>
            <w:r>
              <w:rPr>
                <w:rFonts w:hint="eastAsia" w:ascii="宋体" w:hAnsi="宋体" w:cs="Arial"/>
                <w:szCs w:val="21"/>
              </w:rPr>
              <w:t>构成招标文件的其他材料</w:t>
            </w:r>
          </w:p>
        </w:tc>
        <w:tc>
          <w:tcPr>
            <w:tcW w:w="5828" w:type="dxa"/>
            <w:vAlign w:val="center"/>
          </w:tcPr>
          <w:p>
            <w:pPr>
              <w:rPr>
                <w:rFonts w:hAnsi="宋体" w:cs="Arial"/>
                <w:szCs w:val="32"/>
                <w:u w:val="single"/>
              </w:rPr>
            </w:pPr>
            <w:r>
              <w:rPr>
                <w:rFonts w:hint="eastAsia" w:hAnsi="宋体"/>
              </w:rPr>
              <w:t>招标文件的澄清、修改、补充通知等内容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bookmarkStart w:id="9" w:name="_2.2_1"/>
            <w:bookmarkEnd w:id="9"/>
            <w:r>
              <w:rPr>
                <w:rFonts w:ascii="宋体" w:hAnsi="宋体" w:cs="Arial"/>
                <w:b/>
                <w:sz w:val="24"/>
              </w:rPr>
              <w:t>3</w:t>
            </w:r>
          </w:p>
        </w:tc>
        <w:tc>
          <w:tcPr>
            <w:tcW w:w="8366" w:type="dxa"/>
            <w:gridSpan w:val="4"/>
            <w:vAlign w:val="center"/>
          </w:tcPr>
          <w:p>
            <w:pPr>
              <w:jc w:val="center"/>
              <w:rPr>
                <w:rFonts w:ascii="宋体" w:cs="Arial"/>
                <w:szCs w:val="21"/>
              </w:rPr>
            </w:pPr>
            <w:r>
              <w:rPr>
                <w:rFonts w:hint="eastAsia" w:ascii="宋体" w:hAnsi="宋体" w:cs="Arial"/>
                <w:b/>
                <w:sz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3.1.1</w:t>
            </w:r>
          </w:p>
        </w:tc>
        <w:tc>
          <w:tcPr>
            <w:tcW w:w="2538" w:type="dxa"/>
            <w:gridSpan w:val="3"/>
            <w:vAlign w:val="center"/>
          </w:tcPr>
          <w:p>
            <w:pPr>
              <w:jc w:val="center"/>
              <w:rPr>
                <w:rFonts w:ascii="宋体" w:cs="Arial"/>
                <w:szCs w:val="21"/>
              </w:rPr>
            </w:pPr>
            <w:r>
              <w:rPr>
                <w:rFonts w:hint="eastAsia" w:ascii="宋体" w:hAnsi="宋体" w:cs="Arial"/>
                <w:szCs w:val="21"/>
              </w:rPr>
              <w:t>投标文件的组成</w:t>
            </w:r>
          </w:p>
        </w:tc>
        <w:tc>
          <w:tcPr>
            <w:tcW w:w="5828" w:type="dxa"/>
            <w:vAlign w:val="center"/>
          </w:tcPr>
          <w:p>
            <w:pPr>
              <w:spacing w:line="400" w:lineRule="exact"/>
              <w:rPr>
                <w:szCs w:val="21"/>
              </w:rPr>
            </w:pPr>
            <w:r>
              <w:rPr>
                <w:rFonts w:hint="eastAsia" w:ascii="MS Gothic" w:hAnsi="MS Gothic" w:eastAsia="MS Gothic" w:cs="MS Gothic"/>
                <w:szCs w:val="21"/>
              </w:rPr>
              <w:t>☑</w:t>
            </w:r>
            <w:r>
              <w:rPr>
                <w:rFonts w:hint="eastAsia"/>
                <w:szCs w:val="21"/>
              </w:rPr>
              <w:t>投标函及投标函附录；</w:t>
            </w:r>
          </w:p>
          <w:p>
            <w:pPr>
              <w:spacing w:line="400" w:lineRule="exact"/>
              <w:rPr>
                <w:szCs w:val="21"/>
              </w:rPr>
            </w:pPr>
            <w:r>
              <w:rPr>
                <w:rFonts w:hint="eastAsia" w:ascii="MS Gothic" w:hAnsi="MS Gothic" w:eastAsia="MS Gothic" w:cs="MS Gothic"/>
                <w:szCs w:val="21"/>
              </w:rPr>
              <w:t>☑</w:t>
            </w:r>
            <w:r>
              <w:rPr>
                <w:rFonts w:hint="eastAsia"/>
                <w:szCs w:val="21"/>
              </w:rPr>
              <w:t>法定代表人身份证明或附有法定代表人身份证明的授权委托书；</w:t>
            </w:r>
          </w:p>
          <w:p>
            <w:pPr>
              <w:spacing w:line="400" w:lineRule="exact"/>
              <w:rPr>
                <w:szCs w:val="21"/>
              </w:rPr>
            </w:pPr>
            <w:r>
              <w:rPr>
                <w:rFonts w:hint="eastAsia" w:ascii="MS Gothic" w:hAnsi="MS Gothic" w:eastAsia="MS Gothic" w:cs="MS Gothic"/>
                <w:szCs w:val="21"/>
              </w:rPr>
              <w:t>☑</w:t>
            </w:r>
            <w:r>
              <w:rPr>
                <w:rFonts w:hint="eastAsia"/>
                <w:szCs w:val="21"/>
              </w:rPr>
              <w:t>投标保证金；</w:t>
            </w:r>
          </w:p>
          <w:p>
            <w:pPr>
              <w:spacing w:line="400" w:lineRule="exact"/>
              <w:rPr>
                <w:szCs w:val="21"/>
              </w:rPr>
            </w:pPr>
            <w:r>
              <w:rPr>
                <w:rFonts w:hint="eastAsia" w:ascii="MS Gothic" w:hAnsi="MS Gothic" w:eastAsia="MS Gothic" w:cs="MS Gothic"/>
                <w:szCs w:val="21"/>
              </w:rPr>
              <w:t>☑</w:t>
            </w:r>
            <w:r>
              <w:rPr>
                <w:rFonts w:hint="eastAsia"/>
                <w:szCs w:val="21"/>
              </w:rPr>
              <w:t>已标价的工程量清单；</w:t>
            </w:r>
          </w:p>
          <w:p>
            <w:pPr>
              <w:spacing w:line="400" w:lineRule="exact"/>
              <w:rPr>
                <w:szCs w:val="21"/>
              </w:rPr>
            </w:pPr>
            <w:r>
              <w:rPr>
                <w:rFonts w:hint="eastAsia" w:ascii="MS Gothic" w:hAnsi="MS Gothic" w:eastAsia="MS Gothic" w:cs="MS Gothic"/>
                <w:szCs w:val="21"/>
              </w:rPr>
              <w:t>☑</w:t>
            </w:r>
            <w:r>
              <w:rPr>
                <w:rFonts w:hint="eastAsia"/>
                <w:szCs w:val="21"/>
              </w:rPr>
              <w:t>资格审查资料：</w:t>
            </w:r>
          </w:p>
          <w:p>
            <w:pPr>
              <w:spacing w:line="400" w:lineRule="exact"/>
              <w:rPr>
                <w:u w:val="single"/>
              </w:rPr>
            </w:pPr>
            <w:r>
              <w:rPr>
                <w:rFonts w:hint="eastAsia"/>
                <w:szCs w:val="21"/>
                <w:u w:val="single"/>
              </w:rPr>
              <w:t>1、投标人基本情况表（附</w:t>
            </w:r>
            <w:r>
              <w:rPr>
                <w:rFonts w:hint="eastAsia"/>
                <w:u w:val="single"/>
              </w:rPr>
              <w:t>企业法人营业执照、资质证书、企业安全生产许可证、企业基本存款账户开户许可证等）；</w:t>
            </w:r>
          </w:p>
          <w:p>
            <w:pPr>
              <w:spacing w:line="400" w:lineRule="exact"/>
              <w:rPr>
                <w:b/>
                <w:bCs/>
                <w:szCs w:val="21"/>
                <w:u w:val="single"/>
              </w:rPr>
            </w:pPr>
            <w:r>
              <w:rPr>
                <w:rFonts w:hint="eastAsia"/>
                <w:u w:val="single"/>
              </w:rPr>
              <w:t>2、项目经理简历表（附项目经理二级（含）以上国家注册建造师、安全生产合格B证等）。</w:t>
            </w:r>
          </w:p>
          <w:p>
            <w:pPr>
              <w:spacing w:line="400" w:lineRule="exact"/>
              <w:rPr>
                <w:szCs w:val="21"/>
              </w:rPr>
            </w:pPr>
            <w:r>
              <w:rPr>
                <w:rFonts w:hint="eastAsia" w:ascii="MS Gothic" w:hAnsi="MS Gothic" w:eastAsia="MS Gothic" w:cs="MS Gothic"/>
                <w:szCs w:val="21"/>
              </w:rPr>
              <w:t>☑</w:t>
            </w:r>
            <w:r>
              <w:rPr>
                <w:rFonts w:hint="eastAsia"/>
                <w:szCs w:val="21"/>
              </w:rPr>
              <w:t>投标承诺书；</w:t>
            </w:r>
          </w:p>
          <w:p>
            <w:pPr>
              <w:pStyle w:val="2"/>
              <w:rPr>
                <w:rFonts w:hint="eastAsia" w:ascii="Times New Roman" w:eastAsia="宋体"/>
                <w:sz w:val="21"/>
                <w:szCs w:val="21"/>
              </w:rPr>
            </w:pPr>
            <w:r>
              <w:rPr>
                <w:rFonts w:hint="eastAsia" w:ascii="MS Gothic" w:hAnsi="MS Gothic" w:eastAsia="MS Gothic" w:cs="MS Gothic"/>
                <w:szCs w:val="21"/>
              </w:rPr>
              <w:t>☑</w:t>
            </w:r>
            <w:r>
              <w:rPr>
                <w:rFonts w:hint="eastAsia" w:ascii="Times New Roman" w:eastAsia="宋体"/>
                <w:sz w:val="21"/>
                <w:szCs w:val="21"/>
              </w:rPr>
              <w:t>现场勘探证明；</w:t>
            </w:r>
          </w:p>
          <w:p>
            <w:pPr>
              <w:rPr>
                <w:b/>
                <w:szCs w:val="21"/>
              </w:rPr>
            </w:pPr>
            <w:r>
              <w:rPr>
                <w:rFonts w:hint="eastAsia" w:ascii="MS Gothic" w:hAnsi="MS Gothic" w:eastAsia="MS Gothic" w:cs="MS Gothic"/>
                <w:szCs w:val="21"/>
              </w:rPr>
              <w:t>☑</w:t>
            </w:r>
            <w:r>
              <w:rPr>
                <w:rFonts w:hint="eastAsia" w:cs="MS Gothic" w:asciiTheme="minorEastAsia" w:hAnsiTheme="minorEastAsia" w:eastAsiaTheme="minorEastAsia"/>
                <w:szCs w:val="21"/>
              </w:rPr>
              <w:t>其他材料</w:t>
            </w: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3.3.1</w:t>
            </w:r>
          </w:p>
        </w:tc>
        <w:tc>
          <w:tcPr>
            <w:tcW w:w="2538" w:type="dxa"/>
            <w:gridSpan w:val="3"/>
            <w:vAlign w:val="center"/>
          </w:tcPr>
          <w:p>
            <w:pPr>
              <w:jc w:val="center"/>
              <w:rPr>
                <w:rFonts w:ascii="宋体" w:cs="Arial"/>
                <w:szCs w:val="21"/>
              </w:rPr>
            </w:pPr>
            <w:r>
              <w:rPr>
                <w:rFonts w:hint="eastAsia" w:ascii="宋体" w:hAnsi="宋体" w:cs="Arial"/>
                <w:szCs w:val="21"/>
              </w:rPr>
              <w:t>投标有效期</w:t>
            </w:r>
          </w:p>
        </w:tc>
        <w:tc>
          <w:tcPr>
            <w:tcW w:w="5828" w:type="dxa"/>
            <w:vAlign w:val="center"/>
          </w:tcPr>
          <w:p>
            <w:pPr>
              <w:rPr>
                <w:rFonts w:ascii="宋体" w:cs="Arial"/>
                <w:szCs w:val="21"/>
                <w:u w:val="single"/>
              </w:rPr>
            </w:pPr>
            <w:r>
              <w:t xml:space="preserve">90 </w:t>
            </w:r>
            <w:r>
              <w:rPr>
                <w:rFonts w:hint="eastAsia"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3.4.1</w:t>
            </w:r>
          </w:p>
        </w:tc>
        <w:tc>
          <w:tcPr>
            <w:tcW w:w="2538" w:type="dxa"/>
            <w:gridSpan w:val="3"/>
            <w:vAlign w:val="center"/>
          </w:tcPr>
          <w:p>
            <w:pPr>
              <w:jc w:val="center"/>
              <w:rPr>
                <w:rFonts w:ascii="宋体" w:cs="Arial"/>
                <w:szCs w:val="21"/>
              </w:rPr>
            </w:pPr>
            <w:r>
              <w:rPr>
                <w:rFonts w:hint="eastAsia" w:ascii="宋体" w:hAnsi="宋体" w:cs="Arial"/>
                <w:szCs w:val="21"/>
              </w:rPr>
              <w:t>投标保证金</w:t>
            </w:r>
          </w:p>
        </w:tc>
        <w:tc>
          <w:tcPr>
            <w:tcW w:w="5828" w:type="dxa"/>
            <w:vAlign w:val="center"/>
          </w:tcPr>
          <w:p>
            <w:pPr>
              <w:snapToGrid w:val="0"/>
              <w:rPr>
                <w:rFonts w:ascii="宋体" w:hAnsi="宋体" w:cs="Arial"/>
                <w:szCs w:val="21"/>
              </w:rPr>
            </w:pPr>
            <w:r>
              <w:rPr>
                <w:rFonts w:hint="eastAsia" w:ascii="宋体" w:hAnsi="宋体" w:cs="Arial"/>
                <w:szCs w:val="21"/>
              </w:rPr>
              <w:t>本工程投标保证金</w:t>
            </w:r>
            <w:r>
              <w:rPr>
                <w:rFonts w:ascii="宋体" w:hAnsi="宋体" w:cs="Arial"/>
                <w:szCs w:val="21"/>
              </w:rPr>
              <w:t>0</w:t>
            </w:r>
            <w:r>
              <w:rPr>
                <w:rFonts w:hint="eastAsia" w:ascii="宋体" w:hAnsi="宋体" w:cs="Arial"/>
                <w:szCs w:val="21"/>
              </w:rPr>
              <w:t>元人民币，并作为投标组成部分之一。对于未按要求提交投标保证金的，将被视为非响应性投标而予以拒绝。</w:t>
            </w:r>
          </w:p>
          <w:p>
            <w:pPr>
              <w:snapToGrid w:val="0"/>
              <w:rPr>
                <w:rFonts w:ascii="宋体" w:cs="Arial"/>
                <w:szCs w:val="21"/>
              </w:rPr>
            </w:pPr>
            <w:r>
              <w:rPr>
                <w:rFonts w:hint="eastAsia" w:ascii="宋体" w:hAnsi="宋体" w:cs="Arial"/>
                <w:szCs w:val="21"/>
              </w:rPr>
              <w:t>投标保证金形式为现金（投标截止时间前现金密封交纳）。中标方的投标保证金在与招标人签订合同后转为履约保证金，在签定合同</w:t>
            </w:r>
            <w:r>
              <w:rPr>
                <w:rFonts w:ascii="宋体" w:hAnsi="宋体" w:cs="Arial"/>
                <w:szCs w:val="21"/>
              </w:rPr>
              <w:t>前</w:t>
            </w:r>
            <w:r>
              <w:rPr>
                <w:rFonts w:hint="eastAsia" w:ascii="宋体" w:hAnsi="宋体" w:cs="Arial"/>
                <w:szCs w:val="21"/>
              </w:rPr>
              <w:t>打到招标人指定账户，合同履行完毕验收合格后无息退还。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3.6</w:t>
            </w:r>
          </w:p>
        </w:tc>
        <w:tc>
          <w:tcPr>
            <w:tcW w:w="2538" w:type="dxa"/>
            <w:gridSpan w:val="3"/>
            <w:vAlign w:val="center"/>
          </w:tcPr>
          <w:p>
            <w:pPr>
              <w:jc w:val="left"/>
              <w:rPr>
                <w:rFonts w:ascii="宋体" w:cs="Arial"/>
                <w:sz w:val="18"/>
                <w:szCs w:val="18"/>
              </w:rPr>
            </w:pPr>
            <w:r>
              <w:rPr>
                <w:rFonts w:hint="eastAsia" w:ascii="宋体" w:hAnsi="宋体" w:cs="Arial"/>
                <w:sz w:val="18"/>
                <w:szCs w:val="18"/>
              </w:rPr>
              <w:t>是否允许递交备选投标方案</w:t>
            </w:r>
          </w:p>
        </w:tc>
        <w:tc>
          <w:tcPr>
            <w:tcW w:w="5828" w:type="dxa"/>
            <w:vAlign w:val="center"/>
          </w:tcPr>
          <w:p>
            <w:pPr>
              <w:ind w:left="210" w:hanging="210" w:hangingChars="100"/>
              <w:rPr>
                <w:rFonts w:ascii="宋体" w:hAnsi="宋体" w:cs="Arial"/>
                <w:szCs w:val="21"/>
              </w:rPr>
            </w:pPr>
            <w:r>
              <w:rPr>
                <w:rFonts w:hint="eastAsia" w:ascii="宋体" w:hAnsi="宋体" w:cs="Arial"/>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3.7.3</w:t>
            </w:r>
          </w:p>
        </w:tc>
        <w:tc>
          <w:tcPr>
            <w:tcW w:w="2538" w:type="dxa"/>
            <w:gridSpan w:val="3"/>
            <w:vAlign w:val="center"/>
          </w:tcPr>
          <w:p>
            <w:pPr>
              <w:jc w:val="center"/>
              <w:rPr>
                <w:rFonts w:ascii="宋体" w:cs="Arial"/>
                <w:szCs w:val="21"/>
              </w:rPr>
            </w:pPr>
            <w:r>
              <w:rPr>
                <w:rFonts w:hint="eastAsia" w:ascii="宋体" w:hAnsi="宋体" w:cs="Arial"/>
                <w:szCs w:val="21"/>
              </w:rPr>
              <w:t>签章要求</w:t>
            </w:r>
          </w:p>
        </w:tc>
        <w:tc>
          <w:tcPr>
            <w:tcW w:w="5828" w:type="dxa"/>
            <w:vAlign w:val="center"/>
          </w:tcPr>
          <w:p>
            <w:pPr>
              <w:rPr>
                <w:rFonts w:ascii="宋体" w:cs="Arial"/>
                <w:szCs w:val="21"/>
              </w:rPr>
            </w:pPr>
            <w:r>
              <w:rPr>
                <w:rFonts w:hint="eastAsia" w:ascii="宋体" w:hAnsi="宋体" w:cs="Arial"/>
                <w:szCs w:val="21"/>
              </w:rPr>
              <w:t>第五章投标文件格式中标明盖章、签字的地方均需按要求盖章、签字。同时投标文件需要加盖骑缝章。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4</w:t>
            </w:r>
          </w:p>
        </w:tc>
        <w:tc>
          <w:tcPr>
            <w:tcW w:w="8366" w:type="dxa"/>
            <w:gridSpan w:val="4"/>
            <w:vAlign w:val="center"/>
          </w:tcPr>
          <w:p>
            <w:pPr>
              <w:jc w:val="center"/>
              <w:rPr>
                <w:rFonts w:hAnsi="宋体" w:cs="Arial"/>
                <w:b/>
                <w:sz w:val="24"/>
              </w:rPr>
            </w:pPr>
            <w:r>
              <w:rPr>
                <w:rFonts w:hint="eastAsia" w:ascii="宋体" w:hAnsi="宋体" w:cs="Arial"/>
                <w:b/>
                <w:sz w:val="24"/>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10" w:name="_4.2"/>
            <w:bookmarkEnd w:id="10"/>
            <w:bookmarkStart w:id="11" w:name="_4.1"/>
            <w:bookmarkEnd w:id="11"/>
            <w:r>
              <w:rPr>
                <w:rFonts w:ascii="宋体" w:hAnsi="宋体" w:cs="Arial"/>
                <w:szCs w:val="21"/>
              </w:rPr>
              <w:t>4.2.2</w:t>
            </w:r>
          </w:p>
        </w:tc>
        <w:tc>
          <w:tcPr>
            <w:tcW w:w="2538" w:type="dxa"/>
            <w:gridSpan w:val="3"/>
            <w:vAlign w:val="center"/>
          </w:tcPr>
          <w:p>
            <w:pPr>
              <w:jc w:val="center"/>
              <w:rPr>
                <w:rFonts w:ascii="宋体" w:cs="Arial"/>
                <w:szCs w:val="21"/>
              </w:rPr>
            </w:pPr>
            <w:r>
              <w:rPr>
                <w:rFonts w:hint="eastAsia" w:ascii="宋体" w:hAnsi="宋体" w:cs="Arial"/>
                <w:szCs w:val="21"/>
              </w:rPr>
              <w:t>递交投标文件形式及地点</w:t>
            </w:r>
          </w:p>
        </w:tc>
        <w:tc>
          <w:tcPr>
            <w:tcW w:w="5828" w:type="dxa"/>
            <w:vAlign w:val="center"/>
          </w:tcPr>
          <w:p>
            <w:pPr>
              <w:rPr>
                <w:rFonts w:ascii="宋体" w:hAnsi="宋体" w:cs="Arial"/>
                <w:szCs w:val="21"/>
                <w:highlight w:val="yellow"/>
              </w:rPr>
            </w:pPr>
            <w:r>
              <w:rPr>
                <w:rFonts w:hint="eastAsia" w:ascii="宋体" w:hAnsi="宋体" w:cs="Arial"/>
                <w:szCs w:val="21"/>
              </w:rPr>
              <w:t>投标文件形式：纸质，递交地点：同开标地点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5</w:t>
            </w:r>
          </w:p>
        </w:tc>
        <w:tc>
          <w:tcPr>
            <w:tcW w:w="8366" w:type="dxa"/>
            <w:gridSpan w:val="4"/>
            <w:vAlign w:val="center"/>
          </w:tcPr>
          <w:p>
            <w:pPr>
              <w:topLinePunct/>
              <w:jc w:val="center"/>
              <w:rPr>
                <w:rFonts w:ascii="宋体" w:cs="Arial"/>
                <w:b/>
                <w:sz w:val="24"/>
              </w:rPr>
            </w:pPr>
            <w:r>
              <w:rPr>
                <w:rFonts w:hint="eastAsia" w:ascii="宋体" w:hAnsi="宋体" w:cs="Arial"/>
                <w:b/>
                <w:sz w:val="24"/>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5.1</w:t>
            </w:r>
          </w:p>
        </w:tc>
        <w:tc>
          <w:tcPr>
            <w:tcW w:w="2538" w:type="dxa"/>
            <w:gridSpan w:val="3"/>
            <w:vAlign w:val="center"/>
          </w:tcPr>
          <w:p>
            <w:pPr>
              <w:jc w:val="center"/>
              <w:rPr>
                <w:rFonts w:ascii="宋体" w:cs="Arial"/>
                <w:szCs w:val="21"/>
              </w:rPr>
            </w:pPr>
            <w:r>
              <w:rPr>
                <w:rFonts w:hint="eastAsia" w:ascii="宋体" w:hAnsi="宋体" w:cs="Arial"/>
                <w:szCs w:val="21"/>
              </w:rPr>
              <w:t>开标时间、地点</w:t>
            </w:r>
          </w:p>
        </w:tc>
        <w:tc>
          <w:tcPr>
            <w:tcW w:w="5828" w:type="dxa"/>
            <w:vAlign w:val="center"/>
          </w:tcPr>
          <w:p>
            <w:pPr>
              <w:rPr>
                <w:rFonts w:ascii="宋体" w:hAnsi="宋体" w:cs="Arial"/>
                <w:szCs w:val="21"/>
              </w:rPr>
            </w:pPr>
            <w:r>
              <w:rPr>
                <w:rFonts w:hint="eastAsia" w:ascii="宋体" w:hAnsi="宋体" w:cs="Arial"/>
                <w:bCs/>
                <w:szCs w:val="21"/>
              </w:rPr>
              <w:t>见招标公告日程安排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bookmarkStart w:id="12" w:name="_5.2"/>
            <w:bookmarkEnd w:id="12"/>
            <w:r>
              <w:rPr>
                <w:rFonts w:ascii="宋体" w:hAnsi="宋体" w:cs="Arial"/>
                <w:b/>
                <w:sz w:val="24"/>
              </w:rPr>
              <w:t>6</w:t>
            </w:r>
          </w:p>
        </w:tc>
        <w:tc>
          <w:tcPr>
            <w:tcW w:w="8366" w:type="dxa"/>
            <w:gridSpan w:val="4"/>
            <w:vAlign w:val="center"/>
          </w:tcPr>
          <w:p>
            <w:pPr>
              <w:jc w:val="center"/>
              <w:rPr>
                <w:rFonts w:ascii="宋体" w:cs="Arial"/>
                <w:b/>
                <w:sz w:val="24"/>
              </w:rPr>
            </w:pPr>
            <w:r>
              <w:rPr>
                <w:rFonts w:hint="eastAsia" w:ascii="宋体" w:hAnsi="宋体" w:cs="Arial"/>
                <w:b/>
                <w:sz w:val="24"/>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13" w:name="_6.1"/>
            <w:bookmarkEnd w:id="13"/>
            <w:r>
              <w:rPr>
                <w:rFonts w:ascii="宋体" w:hAnsi="宋体" w:cs="Arial"/>
                <w:szCs w:val="21"/>
              </w:rPr>
              <w:t>6.1.1</w:t>
            </w:r>
          </w:p>
        </w:tc>
        <w:tc>
          <w:tcPr>
            <w:tcW w:w="2538" w:type="dxa"/>
            <w:gridSpan w:val="3"/>
            <w:vAlign w:val="center"/>
          </w:tcPr>
          <w:p>
            <w:pPr>
              <w:jc w:val="center"/>
              <w:rPr>
                <w:rFonts w:ascii="宋体" w:cs="Arial"/>
                <w:szCs w:val="21"/>
              </w:rPr>
            </w:pPr>
            <w:r>
              <w:rPr>
                <w:rFonts w:hint="eastAsia" w:ascii="宋体" w:hAnsi="宋体" w:cs="Arial"/>
                <w:szCs w:val="21"/>
              </w:rPr>
              <w:t>评标委员会的组建</w:t>
            </w:r>
          </w:p>
        </w:tc>
        <w:tc>
          <w:tcPr>
            <w:tcW w:w="5828" w:type="dxa"/>
            <w:vAlign w:val="center"/>
          </w:tcPr>
          <w:p>
            <w:pPr>
              <w:rPr>
                <w:rFonts w:ascii="宋体" w:hAnsi="宋体" w:cs="Arial"/>
                <w:szCs w:val="21"/>
              </w:rPr>
            </w:pPr>
            <w:r>
              <w:rPr>
                <w:rFonts w:hint="eastAsia" w:ascii="宋体" w:hAnsi="宋体" w:cs="Arial"/>
                <w:szCs w:val="21"/>
              </w:rPr>
              <w:t>评标委员会构成: 3人及以上单数</w:t>
            </w:r>
          </w:p>
          <w:p>
            <w:pPr>
              <w:rPr>
                <w:rFonts w:hAnsi="宋体" w:cs="Arial"/>
                <w:szCs w:val="32"/>
                <w:u w:val="single"/>
              </w:rPr>
            </w:pPr>
            <w:r>
              <w:rPr>
                <w:rFonts w:hint="eastAsia" w:ascii="宋体" w:hAnsi="宋体" w:cs="Arial"/>
                <w:szCs w:val="21"/>
              </w:rPr>
              <w:t>评标专家确定方式：由招标人组建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6.3.2</w:t>
            </w:r>
          </w:p>
        </w:tc>
        <w:tc>
          <w:tcPr>
            <w:tcW w:w="2538" w:type="dxa"/>
            <w:gridSpan w:val="3"/>
            <w:vAlign w:val="center"/>
          </w:tcPr>
          <w:p>
            <w:pPr>
              <w:widowControl/>
              <w:jc w:val="center"/>
              <w:rPr>
                <w:rFonts w:ascii="宋体" w:cs="Arial"/>
                <w:szCs w:val="21"/>
              </w:rPr>
            </w:pPr>
            <w:r>
              <w:rPr>
                <w:rFonts w:hint="eastAsia" w:ascii="宋体" w:hAnsi="宋体" w:cs="Arial"/>
                <w:szCs w:val="21"/>
              </w:rPr>
              <w:t>本次评标采用的评标方法</w:t>
            </w:r>
          </w:p>
        </w:tc>
        <w:tc>
          <w:tcPr>
            <w:tcW w:w="5828" w:type="dxa"/>
            <w:vAlign w:val="center"/>
          </w:tcPr>
          <w:p>
            <w:pPr>
              <w:widowControl/>
              <w:jc w:val="left"/>
              <w:rPr>
                <w:rStyle w:val="21"/>
                <w:rFonts w:hAnsi="宋体" w:cs="Arial"/>
                <w:color w:val="000000" w:themeColor="text1"/>
                <w:szCs w:val="32"/>
                <w:u w:val="none"/>
                <w14:textFill>
                  <w14:solidFill>
                    <w14:schemeClr w14:val="tx1"/>
                  </w14:solidFill>
                </w14:textFill>
              </w:rPr>
            </w:pPr>
            <w:r>
              <w:fldChar w:fldCharType="begin"/>
            </w:r>
            <w:r>
              <w:instrText xml:space="preserve"> HYPERLINK "file:///H:\\泰州招标文件范本\\泰州市房屋建筑和市政工程施工2016.4.docx" \l "_第三章_评标办法（经评审的最低投标价法）" </w:instrText>
            </w:r>
            <w:r>
              <w:fldChar w:fldCharType="separate"/>
            </w:r>
            <w:r>
              <w:rPr>
                <w:rStyle w:val="21"/>
                <w:rFonts w:hint="eastAsia" w:cs="Arial"/>
                <w:b/>
                <w:bCs/>
                <w:color w:val="auto"/>
                <w:szCs w:val="32"/>
                <w:u w:val="none"/>
              </w:rPr>
              <w:t>经评审的最低投标价法</w:t>
            </w:r>
            <w:r>
              <w:rPr>
                <w:rStyle w:val="21"/>
                <w:rFonts w:hint="eastAsia" w:cs="Arial"/>
                <w:b/>
                <w:bCs/>
                <w:color w:val="auto"/>
                <w:szCs w:val="32"/>
                <w:u w:val="none"/>
              </w:rPr>
              <w:fldChar w:fldCharType="end"/>
            </w:r>
            <w:r>
              <w:rPr>
                <w:rStyle w:val="21"/>
                <w:rFonts w:hint="eastAsia" w:cs="Arial"/>
                <w:color w:val="auto"/>
                <w:szCs w:val="32"/>
                <w:u w:val="none"/>
              </w:rPr>
              <w:t>。</w:t>
            </w:r>
            <w:r>
              <w:rPr>
                <w:rStyle w:val="21"/>
                <w:rFonts w:hint="eastAsia" w:hAnsi="宋体" w:cs="Arial"/>
                <w:color w:val="000000" w:themeColor="text1"/>
                <w:szCs w:val="32"/>
                <w:u w:val="none"/>
                <w14:textFill>
                  <w14:solidFill>
                    <w14:schemeClr w14:val="tx1"/>
                  </w14:solidFill>
                </w14:textFill>
              </w:rPr>
              <w:t>评标委员会在评标报告上签字后，除确认存在评委评审错误和计算错误外，投标报价平均值不因招投标当事人质疑、投诉、复议以及其它任何情形而改变；</w:t>
            </w:r>
          </w:p>
          <w:p>
            <w:pPr>
              <w:widowControl/>
              <w:jc w:val="left"/>
              <w:rPr>
                <w:rStyle w:val="21"/>
                <w:rFonts w:cs="宋体"/>
                <w:color w:val="auto"/>
                <w:u w:val="none"/>
              </w:rPr>
            </w:pPr>
            <w:r>
              <w:rPr>
                <w:rStyle w:val="21"/>
                <w:rFonts w:hint="eastAsia" w:hAnsi="宋体" w:cs="Arial"/>
                <w:color w:val="000000" w:themeColor="text1"/>
                <w:szCs w:val="32"/>
                <w:u w:val="none"/>
                <w14:textFill>
                  <w14:solidFill>
                    <w14:schemeClr w14:val="tx1"/>
                  </w14:solidFill>
                </w14:textFill>
              </w:rPr>
              <w:t>前款所称评审错误仅限于评标委员会基于招标文件中约定的查询方式、查询地址以及投标文件进行评审时发生的错误。投标人提供虚假材料、或者隐瞒事实、或者作出虚假承诺等情形，造成招标人、投标人对评标结果产生争议的，不属于评委评审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jc w:val="left"/>
              <w:rPr>
                <w:rFonts w:hAnsi="宋体" w:cs="Arial"/>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7</w:t>
            </w:r>
          </w:p>
        </w:tc>
        <w:tc>
          <w:tcPr>
            <w:tcW w:w="8366" w:type="dxa"/>
            <w:gridSpan w:val="4"/>
            <w:vAlign w:val="center"/>
          </w:tcPr>
          <w:p>
            <w:pPr>
              <w:jc w:val="center"/>
              <w:rPr>
                <w:rFonts w:hAnsi="宋体" w:cs="Arial"/>
                <w:b/>
                <w:sz w:val="24"/>
              </w:rPr>
            </w:pPr>
            <w:r>
              <w:rPr>
                <w:rFonts w:hint="eastAsia" w:ascii="宋体" w:hAnsi="宋体" w:cs="Arial"/>
                <w:b/>
                <w:sz w:val="24"/>
              </w:rPr>
              <w:t>合同授予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7.1</w:t>
            </w:r>
          </w:p>
        </w:tc>
        <w:tc>
          <w:tcPr>
            <w:tcW w:w="2538" w:type="dxa"/>
            <w:gridSpan w:val="3"/>
            <w:vAlign w:val="center"/>
          </w:tcPr>
          <w:p>
            <w:pPr>
              <w:jc w:val="center"/>
              <w:rPr>
                <w:rFonts w:ascii="宋体" w:cs="Arial"/>
                <w:szCs w:val="21"/>
              </w:rPr>
            </w:pPr>
            <w:r>
              <w:rPr>
                <w:rFonts w:hint="eastAsia" w:ascii="宋体" w:hAnsi="宋体" w:cs="Arial"/>
                <w:szCs w:val="21"/>
              </w:rPr>
              <w:t>是否授权评标委员会</w:t>
            </w:r>
          </w:p>
          <w:p>
            <w:pPr>
              <w:jc w:val="center"/>
              <w:rPr>
                <w:rFonts w:ascii="宋体" w:cs="Arial"/>
                <w:szCs w:val="21"/>
              </w:rPr>
            </w:pPr>
            <w:r>
              <w:rPr>
                <w:rFonts w:hint="eastAsia" w:ascii="宋体" w:hAnsi="宋体" w:cs="Arial"/>
                <w:szCs w:val="21"/>
              </w:rPr>
              <w:t>确定中标人</w:t>
            </w:r>
          </w:p>
        </w:tc>
        <w:tc>
          <w:tcPr>
            <w:tcW w:w="5828" w:type="dxa"/>
            <w:vAlign w:val="center"/>
          </w:tcPr>
          <w:p>
            <w:pPr>
              <w:rPr>
                <w:rFonts w:ascii="宋体" w:cs="Arial"/>
                <w:szCs w:val="21"/>
              </w:rPr>
            </w:pPr>
            <w:r>
              <w:rPr>
                <w:rFonts w:hint="eastAsia" w:ascii="宋体" w:hAnsi="宋体" w:cs="Arial"/>
                <w:szCs w:val="21"/>
              </w:rPr>
              <w:t>推荐中标候选人数：</w:t>
            </w:r>
            <w:r>
              <w:rPr>
                <w:rFonts w:hint="eastAsia" w:ascii="宋体" w:hAnsi="宋体" w:cs="Arial"/>
                <w:szCs w:val="21"/>
                <w:u w:val="single"/>
              </w:rPr>
              <w:t xml:space="preserve">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w:t>
            </w:r>
            <w:r>
              <w:rPr>
                <w:rFonts w:hint="eastAsia" w:ascii="宋体" w:hAnsi="宋体" w:cs="Arial"/>
                <w:szCs w:val="21"/>
              </w:rPr>
              <w:t>5</w:t>
            </w:r>
            <w:r>
              <w:rPr>
                <w:rFonts w:ascii="宋体" w:hAnsi="宋体" w:cs="Arial"/>
                <w:szCs w:val="21"/>
              </w:rPr>
              <w:t>.1</w:t>
            </w:r>
          </w:p>
        </w:tc>
        <w:tc>
          <w:tcPr>
            <w:tcW w:w="2538" w:type="dxa"/>
            <w:gridSpan w:val="3"/>
            <w:vAlign w:val="center"/>
          </w:tcPr>
          <w:p>
            <w:pPr>
              <w:jc w:val="center"/>
              <w:rPr>
                <w:rFonts w:ascii="宋体" w:cs="Arial"/>
                <w:szCs w:val="21"/>
              </w:rPr>
            </w:pPr>
            <w:r>
              <w:rPr>
                <w:rFonts w:hint="eastAsia" w:ascii="宋体" w:hAnsi="宋体" w:cs="Arial"/>
                <w:szCs w:val="21"/>
              </w:rPr>
              <w:t>履约担保</w:t>
            </w:r>
          </w:p>
        </w:tc>
        <w:tc>
          <w:tcPr>
            <w:tcW w:w="5828" w:type="dxa"/>
            <w:vAlign w:val="center"/>
          </w:tcPr>
          <w:p>
            <w:r>
              <w:rPr>
                <w:rFonts w:hint="eastAsia"/>
              </w:rPr>
              <w:t>履约担保的形式：银行电汇或者网上银行支付</w:t>
            </w:r>
          </w:p>
          <w:p>
            <w:r>
              <w:rPr>
                <w:rFonts w:hint="eastAsia"/>
              </w:rPr>
              <w:t>履约担保的提交时间：中标通知书签发后签订合同前汇入招标人指定账户。（中标人的履约担保由招标人在工程竣工验收合格后退还。）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7.5.3</w:t>
            </w:r>
          </w:p>
        </w:tc>
        <w:tc>
          <w:tcPr>
            <w:tcW w:w="2538" w:type="dxa"/>
            <w:gridSpan w:val="3"/>
            <w:vAlign w:val="center"/>
          </w:tcPr>
          <w:p>
            <w:pPr>
              <w:ind w:firstLine="105" w:firstLineChars="50"/>
              <w:rPr>
                <w:rFonts w:ascii="宋体" w:cs="宋体"/>
                <w:kern w:val="0"/>
                <w:szCs w:val="21"/>
              </w:rPr>
            </w:pPr>
            <w:r>
              <w:rPr>
                <w:rFonts w:hint="eastAsia" w:ascii="宋体" w:hAnsi="宋体" w:cs="宋体"/>
                <w:kern w:val="0"/>
                <w:szCs w:val="21"/>
              </w:rPr>
              <w:t>合同价格形式</w:t>
            </w:r>
          </w:p>
        </w:tc>
        <w:tc>
          <w:tcPr>
            <w:tcW w:w="5828" w:type="dxa"/>
            <w:vAlign w:val="center"/>
          </w:tcPr>
          <w:p>
            <w:pPr>
              <w:ind w:firstLine="105" w:firstLineChars="50"/>
              <w:rPr>
                <w:rFonts w:ascii="宋体" w:cs="Arial"/>
                <w:szCs w:val="21"/>
              </w:rPr>
            </w:pPr>
            <w:r>
              <w:rPr>
                <w:rFonts w:hint="eastAsia" w:ascii="宋体" w:hAnsi="宋体" w:cs="宋体"/>
                <w:kern w:val="0"/>
                <w:szCs w:val="21"/>
              </w:rPr>
              <w:t>固定总价合同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8</w:t>
            </w:r>
          </w:p>
        </w:tc>
        <w:tc>
          <w:tcPr>
            <w:tcW w:w="8366" w:type="dxa"/>
            <w:gridSpan w:val="4"/>
            <w:vAlign w:val="center"/>
          </w:tcPr>
          <w:p>
            <w:pPr>
              <w:jc w:val="center"/>
              <w:rPr>
                <w:rFonts w:ascii="宋体" w:cs="Arial"/>
                <w:bCs/>
                <w:szCs w:val="21"/>
              </w:rPr>
            </w:pPr>
            <w:r>
              <w:rPr>
                <w:rFonts w:hint="eastAsia" w:ascii="宋体" w:hAnsi="宋体" w:cs="Arial"/>
                <w:b/>
                <w:sz w:val="24"/>
              </w:rPr>
              <w:t>重新招标和不再招标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9</w:t>
            </w:r>
          </w:p>
        </w:tc>
        <w:tc>
          <w:tcPr>
            <w:tcW w:w="8366" w:type="dxa"/>
            <w:gridSpan w:val="4"/>
            <w:vAlign w:val="center"/>
          </w:tcPr>
          <w:p>
            <w:pPr>
              <w:jc w:val="center"/>
              <w:rPr>
                <w:rFonts w:ascii="宋体" w:cs="Arial"/>
                <w:b/>
                <w:sz w:val="24"/>
              </w:rPr>
            </w:pPr>
            <w:r>
              <w:rPr>
                <w:rFonts w:hint="eastAsia" w:ascii="宋体" w:hAnsi="宋体" w:cs="Arial"/>
                <w:b/>
                <w:sz w:val="24"/>
              </w:rPr>
              <w:t>纪律和监督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10</w:t>
            </w:r>
          </w:p>
        </w:tc>
        <w:tc>
          <w:tcPr>
            <w:tcW w:w="8366" w:type="dxa"/>
            <w:gridSpan w:val="4"/>
            <w:vAlign w:val="center"/>
          </w:tcPr>
          <w:p>
            <w:pPr>
              <w:jc w:val="center"/>
              <w:rPr>
                <w:rFonts w:ascii="宋体" w:cs="Arial"/>
                <w:b/>
                <w:sz w:val="24"/>
              </w:rPr>
            </w:pPr>
            <w:r>
              <w:rPr>
                <w:rFonts w:hint="eastAsia" w:ascii="宋体" w:hAnsi="宋体" w:cs="Arial"/>
                <w:b/>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pStyle w:val="7"/>
              <w:jc w:val="both"/>
            </w:pPr>
            <w:r>
              <w:t>10.1</w:t>
            </w:r>
            <w:r>
              <w:rPr>
                <w:rFonts w:hint="eastAsia"/>
                <w:sz w:val="24"/>
                <w:szCs w:val="24"/>
              </w:rPr>
              <w:t>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10.1.1</w:t>
            </w:r>
          </w:p>
        </w:tc>
        <w:tc>
          <w:tcPr>
            <w:tcW w:w="1703" w:type="dxa"/>
            <w:gridSpan w:val="2"/>
            <w:vAlign w:val="center"/>
          </w:tcPr>
          <w:p>
            <w:r>
              <w:rPr>
                <w:rFonts w:hint="eastAsia" w:ascii="宋体" w:hAnsi="宋体"/>
                <w:szCs w:val="21"/>
              </w:rPr>
              <w:t>细微偏差</w:t>
            </w:r>
          </w:p>
        </w:tc>
        <w:tc>
          <w:tcPr>
            <w:tcW w:w="6663" w:type="dxa"/>
            <w:gridSpan w:val="2"/>
            <w:vAlign w:val="center"/>
          </w:tcPr>
          <w:p>
            <w:pPr>
              <w:spacing w:line="320" w:lineRule="exact"/>
            </w:pPr>
            <w:r>
              <w:rPr>
                <w:rFonts w:hint="eastAsia" w:ascii="宋体" w:hAnsi="宋体"/>
                <w:szCs w:val="21"/>
              </w:rPr>
              <w:t>指投标文件在实质上响应招标文件的要求，但在个别地方存在细微错误、漏项或者提供了不完整的信息等情况，并且修正这些细微错误、遗漏或不完整不会对其他投标人造成不公平的结果。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10.1.2</w:t>
            </w:r>
          </w:p>
        </w:tc>
        <w:tc>
          <w:tcPr>
            <w:tcW w:w="1703" w:type="dxa"/>
            <w:gridSpan w:val="2"/>
            <w:vAlign w:val="center"/>
          </w:tcPr>
          <w:p>
            <w:pPr>
              <w:rPr>
                <w:rFonts w:ascii="宋体"/>
                <w:szCs w:val="21"/>
              </w:rPr>
            </w:pPr>
            <w:r>
              <w:fldChar w:fldCharType="begin"/>
            </w:r>
            <w:r>
              <w:instrText xml:space="preserve"> HYPERLINK "file:///H:\\泰州招标文件范本\\泰州市房屋建筑和市政工程施工2016.4.docx" \l "_10.8_知识产权" </w:instrText>
            </w:r>
            <w:r>
              <w:fldChar w:fldCharType="separate"/>
            </w:r>
            <w:r>
              <w:rPr>
                <w:rStyle w:val="21"/>
                <w:rFonts w:hint="eastAsia"/>
                <w:color w:val="auto"/>
              </w:rPr>
              <w:t>串通投标、</w:t>
            </w:r>
            <w:r>
              <w:rPr>
                <w:rStyle w:val="21"/>
                <w:rFonts w:hint="eastAsia" w:ascii="宋体" w:hAnsi="宋体"/>
                <w:color w:val="auto"/>
              </w:rPr>
              <w:t>弄虚作假</w:t>
            </w:r>
            <w:r>
              <w:rPr>
                <w:rStyle w:val="21"/>
                <w:rFonts w:hint="eastAsia"/>
                <w:color w:val="auto"/>
              </w:rPr>
              <w:t>行为</w:t>
            </w:r>
            <w:r>
              <w:rPr>
                <w:rStyle w:val="21"/>
                <w:rFonts w:hint="eastAsia"/>
                <w:color w:val="auto"/>
              </w:rPr>
              <w:fldChar w:fldCharType="end"/>
            </w:r>
            <w:r>
              <w:rPr>
                <w:rFonts w:hint="eastAsia"/>
              </w:rPr>
              <w:t>认定</w:t>
            </w:r>
          </w:p>
        </w:tc>
        <w:tc>
          <w:tcPr>
            <w:tcW w:w="6663" w:type="dxa"/>
            <w:gridSpan w:val="2"/>
            <w:vAlign w:val="center"/>
          </w:tcPr>
          <w:p>
            <w:pPr>
              <w:spacing w:line="320" w:lineRule="exact"/>
              <w:rPr>
                <w:rFonts w:ascii="宋体"/>
              </w:rPr>
            </w:pPr>
            <w:r>
              <w:rPr>
                <w:rFonts w:hint="eastAsia" w:ascii="宋体" w:hAnsi="宋体"/>
              </w:rPr>
              <w:t>执行《江苏省房屋建筑和市政基础设施工程招标投标中串通投标和弄虚作假行为认定处理办法（试行）》（苏建规字〔</w:t>
            </w:r>
            <w:r>
              <w:rPr>
                <w:rFonts w:ascii="宋体" w:hAnsi="宋体"/>
              </w:rPr>
              <w:t>2014</w:t>
            </w:r>
            <w:r>
              <w:rPr>
                <w:rFonts w:hint="eastAsia" w:ascii="宋体" w:hAnsi="宋体"/>
              </w:rPr>
              <w:t>〕</w:t>
            </w:r>
            <w:r>
              <w:rPr>
                <w:rFonts w:ascii="宋体" w:hAnsi="宋体"/>
              </w:rPr>
              <w:t>2</w:t>
            </w:r>
            <w:r>
              <w:rPr>
                <w:rFonts w:hint="eastAsia" w:ascii="宋体" w:hAnsi="宋体"/>
              </w:rPr>
              <w:t>号）</w:t>
            </w:r>
          </w:p>
          <w:p>
            <w:pPr>
              <w:spacing w:line="320" w:lineRule="exact"/>
              <w:rPr>
                <w:rFonts w:ascii="宋体" w:hAnsi="宋体"/>
                <w:szCs w:val="21"/>
              </w:rPr>
            </w:pPr>
            <w:r>
              <w:rPr>
                <w:rFonts w:hint="eastAsia" w:ascii="宋体" w:hAnsi="宋体"/>
                <w:szCs w:val="21"/>
              </w:rPr>
              <w:t>不同投标人的投标保证金提交自同一账户的视为串通投标。</w:t>
            </w:r>
          </w:p>
          <w:p>
            <w:pPr>
              <w:spacing w:line="320" w:lineRule="exact"/>
              <w:rPr>
                <w:rFonts w:ascii="宋体" w:hAnsi="宋体"/>
                <w:szCs w:val="21"/>
              </w:rPr>
            </w:pPr>
            <w:r>
              <w:rPr>
                <w:rFonts w:hint="eastAsia" w:ascii="宋体" w:hAnsi="宋体"/>
                <w:szCs w:val="21"/>
              </w:rPr>
              <w:t>不同投标人的投标保证金缴纳至同一子账户的视为串通投标。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10.1.3</w:t>
            </w:r>
          </w:p>
        </w:tc>
        <w:tc>
          <w:tcPr>
            <w:tcW w:w="1703" w:type="dxa"/>
            <w:gridSpan w:val="2"/>
            <w:vAlign w:val="center"/>
          </w:tcPr>
          <w:p>
            <w:r>
              <w:rPr>
                <w:rFonts w:hint="eastAsia" w:ascii="宋体" w:hAnsi="宋体" w:cs="Arial"/>
                <w:bCs/>
                <w:szCs w:val="21"/>
              </w:rPr>
              <w:t>不可竞争费</w:t>
            </w:r>
          </w:p>
        </w:tc>
        <w:tc>
          <w:tcPr>
            <w:tcW w:w="6663" w:type="dxa"/>
            <w:gridSpan w:val="2"/>
            <w:vAlign w:val="center"/>
          </w:tcPr>
          <w:p>
            <w:pPr>
              <w:spacing w:line="320" w:lineRule="exact"/>
            </w:pPr>
            <w:r>
              <w:rPr>
                <w:rFonts w:hint="eastAsia" w:cs="Arial"/>
                <w:bCs/>
              </w:rPr>
              <w:t>不可竞争费指：社会保险费、住房公积金、税金、安全文明施工措施费。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pStyle w:val="7"/>
              <w:jc w:val="both"/>
              <w:rPr>
                <w:sz w:val="24"/>
                <w:szCs w:val="24"/>
              </w:rPr>
            </w:pPr>
            <w:r>
              <w:rPr>
                <w:rFonts w:cs="Arial"/>
                <w:bCs w:val="0"/>
                <w:sz w:val="24"/>
                <w:szCs w:val="24"/>
              </w:rPr>
              <w:t>10.2</w:t>
            </w:r>
            <w:r>
              <w:rPr>
                <w:rFonts w:hint="eastAsia" w:cs="Arial"/>
                <w:sz w:val="24"/>
                <w:szCs w:val="24"/>
              </w:rPr>
              <w:t>招标限价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rPr>
                <w:rFonts w:ascii="宋体" w:cs="Arial"/>
                <w:bCs/>
                <w:szCs w:val="21"/>
              </w:rPr>
            </w:pPr>
            <w:bookmarkStart w:id="14" w:name="_10.2"/>
            <w:bookmarkEnd w:id="14"/>
            <w:r>
              <w:rPr>
                <w:rFonts w:ascii="宋体" w:hAnsi="宋体" w:cs="Arial"/>
                <w:bCs/>
                <w:szCs w:val="21"/>
              </w:rPr>
              <w:t>10.2.1</w:t>
            </w:r>
          </w:p>
        </w:tc>
        <w:tc>
          <w:tcPr>
            <w:tcW w:w="8366" w:type="dxa"/>
            <w:gridSpan w:val="4"/>
            <w:vAlign w:val="center"/>
          </w:tcPr>
          <w:p>
            <w:pPr>
              <w:spacing w:line="320" w:lineRule="exact"/>
              <w:rPr>
                <w:sz w:val="24"/>
              </w:rPr>
            </w:pPr>
            <w:r>
              <w:rPr>
                <w:rFonts w:hint="eastAsia" w:ascii="宋体" w:hAnsi="宋体" w:cs="宋体"/>
                <w:sz w:val="22"/>
                <w:szCs w:val="22"/>
              </w:rPr>
              <w:t>1.本次招标限价：</w:t>
            </w:r>
            <w:r>
              <w:rPr>
                <w:sz w:val="24"/>
              </w:rPr>
              <w:t>18</w:t>
            </w:r>
            <w:r>
              <w:rPr>
                <w:rFonts w:ascii="宋体" w:hAnsi="宋体" w:cs="宋体"/>
                <w:sz w:val="22"/>
                <w:szCs w:val="22"/>
              </w:rPr>
              <w:t>万元</w:t>
            </w:r>
          </w:p>
          <w:p>
            <w:pPr>
              <w:spacing w:line="320" w:lineRule="exact"/>
              <w:rPr>
                <w:rFonts w:ascii="宋体" w:hAnsi="宋体" w:cs="宋体"/>
                <w:sz w:val="22"/>
                <w:szCs w:val="22"/>
              </w:rPr>
            </w:pPr>
            <w:r>
              <w:rPr>
                <w:rFonts w:hint="eastAsia" w:ascii="宋体" w:hAnsi="宋体" w:cs="宋体"/>
                <w:sz w:val="22"/>
                <w:szCs w:val="22"/>
              </w:rPr>
              <w:t>2.本次招标：</w:t>
            </w:r>
            <w:r>
              <w:rPr>
                <w:rFonts w:hint="eastAsia" w:ascii="宋体" w:hAnsi="宋体" w:cs="宋体"/>
                <w:b/>
                <w:sz w:val="22"/>
                <w:szCs w:val="22"/>
              </w:rPr>
              <w:t>设有招标人期望值（投标报价高于招标人期望值的作废标处理）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bookmarkStart w:id="15" w:name="_10.3"/>
            <w:bookmarkEnd w:id="15"/>
            <w:r>
              <w:rPr>
                <w:rFonts w:ascii="宋体" w:hAnsi="宋体"/>
                <w:b/>
                <w:sz w:val="24"/>
              </w:rPr>
              <w:t>10.3</w:t>
            </w:r>
            <w:bookmarkStart w:id="16" w:name="_“暗标”评审方式"/>
            <w:bookmarkEnd w:id="16"/>
            <w:r>
              <w:rPr>
                <w:rFonts w:hint="eastAsia" w:ascii="宋体" w:hAnsi="宋体"/>
                <w:b/>
                <w:sz w:val="24"/>
              </w:rPr>
              <w:t>“暗标”评审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1703" w:type="dxa"/>
            <w:gridSpan w:val="2"/>
            <w:vAlign w:val="center"/>
          </w:tcPr>
          <w:p>
            <w:r>
              <w:rPr>
                <w:rFonts w:hint="eastAsia"/>
              </w:rPr>
              <w:t>施工组织设计</w:t>
            </w:r>
          </w:p>
          <w:p>
            <w:r>
              <w:rPr>
                <w:rFonts w:hint="eastAsia"/>
              </w:rPr>
              <w:t>是否采用</w:t>
            </w:r>
          </w:p>
          <w:p>
            <w:r>
              <w:rPr>
                <w:rFonts w:hint="eastAsia"/>
              </w:rPr>
              <w:t>暗标评审方式</w:t>
            </w:r>
          </w:p>
        </w:tc>
        <w:tc>
          <w:tcPr>
            <w:tcW w:w="6663" w:type="dxa"/>
            <w:gridSpan w:val="2"/>
            <w:vAlign w:val="center"/>
          </w:tcPr>
          <w:p>
            <w:r>
              <w:rPr>
                <w:rFonts w:hint="eastAsia"/>
              </w:rPr>
              <w:t>不采用(本项目无需编制施工组织设计)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r>
              <w:rPr>
                <w:rFonts w:ascii="宋体" w:hAnsi="宋体"/>
                <w:b/>
                <w:sz w:val="24"/>
              </w:rPr>
              <w:t>10.4</w:t>
            </w:r>
            <w:r>
              <w:rPr>
                <w:rFonts w:hint="eastAsia" w:ascii="宋体" w:hAnsi="宋体"/>
                <w:b/>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rPr>
                <w:rFonts w:ascii="宋体"/>
                <w:b/>
                <w:sz w:val="24"/>
              </w:rPr>
            </w:pPr>
          </w:p>
        </w:tc>
        <w:tc>
          <w:tcPr>
            <w:tcW w:w="8106" w:type="dxa"/>
            <w:gridSpan w:val="3"/>
            <w:vAlign w:val="center"/>
          </w:tcPr>
          <w:p>
            <w:pPr>
              <w:spacing w:line="360" w:lineRule="auto"/>
              <w:rPr>
                <w:rFonts w:ascii="宋体" w:hAnsi="宋体" w:cs="Arial"/>
                <w:szCs w:val="21"/>
              </w:rPr>
            </w:pPr>
            <w:r>
              <w:rPr>
                <w:rFonts w:hint="eastAsia" w:ascii="宋体" w:hAnsi="宋体" w:cs="Arial"/>
                <w:b/>
                <w:bCs/>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bookmarkStart w:id="17" w:name="_10.5"/>
            <w:bookmarkEnd w:id="17"/>
            <w:bookmarkStart w:id="18" w:name="_10.4"/>
            <w:bookmarkEnd w:id="18"/>
            <w:r>
              <w:rPr>
                <w:rFonts w:ascii="宋体" w:hAnsi="宋体"/>
                <w:b/>
                <w:sz w:val="24"/>
              </w:rPr>
              <w:t>10.5</w:t>
            </w:r>
            <w:r>
              <w:rPr>
                <w:rFonts w:hint="eastAsia" w:ascii="宋体" w:hAnsi="宋体"/>
                <w:b/>
                <w:sz w:val="24"/>
              </w:rPr>
              <w:t>开标会要求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rPr>
                <w:b/>
              </w:rPr>
            </w:pPr>
            <w:r>
              <w:rPr>
                <w:rFonts w:hint="eastAsia" w:ascii="宋体" w:hAnsi="宋体" w:cs="Arial"/>
                <w:b/>
                <w:color w:val="000000"/>
                <w:szCs w:val="21"/>
              </w:rPr>
              <w:t>一、</w:t>
            </w:r>
            <w:r>
              <w:rPr>
                <w:rFonts w:hint="eastAsia"/>
                <w:b/>
                <w:color w:val="000000"/>
              </w:rPr>
              <w:t>投标</w:t>
            </w:r>
            <w:r>
              <w:rPr>
                <w:rFonts w:hint="eastAsia"/>
                <w:b/>
              </w:rPr>
              <w:t>人拟派的委托代理人或法人按时参加开标会，并持个人二代身份证原件、</w:t>
            </w:r>
            <w:r>
              <w:rPr>
                <w:b/>
              </w:rPr>
              <w:t>低价差额担保原件（</w:t>
            </w:r>
            <w:r>
              <w:rPr>
                <w:rFonts w:hint="eastAsia"/>
                <w:b/>
              </w:rPr>
              <w:t>如有</w:t>
            </w:r>
            <w:r>
              <w:rPr>
                <w:b/>
              </w:rPr>
              <w:t>）</w:t>
            </w:r>
            <w:r>
              <w:rPr>
                <w:rFonts w:hint="eastAsia"/>
                <w:b/>
              </w:rPr>
              <w:t>在投标截止时间前签到。</w:t>
            </w:r>
          </w:p>
          <w:p>
            <w:pPr>
              <w:spacing w:line="360" w:lineRule="exact"/>
              <w:ind w:firstLine="422" w:firstLineChars="200"/>
              <w:rPr>
                <w:b/>
              </w:rPr>
            </w:pPr>
            <w:r>
              <w:rPr>
                <w:rFonts w:hint="eastAsia"/>
                <w:b/>
              </w:rPr>
              <w:t>投标人出席开标会迟到，或未持个人二代身份证原件、</w:t>
            </w:r>
            <w:r>
              <w:rPr>
                <w:b/>
              </w:rPr>
              <w:t>低价差额担保原件（</w:t>
            </w:r>
            <w:r>
              <w:rPr>
                <w:rFonts w:hint="eastAsia"/>
                <w:b/>
              </w:rPr>
              <w:t>如有</w:t>
            </w:r>
            <w:r>
              <w:rPr>
                <w:b/>
              </w:rPr>
              <w:t>）</w:t>
            </w:r>
            <w:r>
              <w:rPr>
                <w:rFonts w:hint="eastAsia"/>
                <w:b/>
              </w:rPr>
              <w:t>签到的，或者签到的委托代理人与投标文件中载明的委托代理人不是同一人的，由招标人核实确认并如实记录，其投标文件作无效投标文件处理。</w:t>
            </w:r>
          </w:p>
          <w:p>
            <w:pPr>
              <w:spacing w:line="360" w:lineRule="exact"/>
              <w:rPr>
                <w:b/>
                <w:color w:val="000000"/>
              </w:rPr>
            </w:pPr>
            <w:r>
              <w:rPr>
                <w:rFonts w:hint="eastAsia" w:ascii="宋体" w:hAnsi="宋体" w:cs="Arial"/>
                <w:b/>
                <w:color w:val="000000"/>
                <w:szCs w:val="21"/>
              </w:rPr>
              <w:t>二、投标人</w:t>
            </w:r>
            <w:r>
              <w:rPr>
                <w:rFonts w:hint="eastAsia"/>
                <w:b/>
                <w:color w:val="000000"/>
              </w:rPr>
              <w:t>不参加开标会或在开标现场拒绝签字确认的，</w:t>
            </w:r>
            <w:r>
              <w:rPr>
                <w:rFonts w:hint="eastAsia" w:ascii="宋体" w:hAnsi="宋体"/>
                <w:b/>
                <w:color w:val="000000"/>
                <w:szCs w:val="21"/>
              </w:rPr>
              <w:t>视为投标人放弃投标</w:t>
            </w:r>
            <w:r>
              <w:rPr>
                <w:rFonts w:hint="eastAsia"/>
                <w:b/>
                <w:color w:val="000000"/>
              </w:rPr>
              <w:t>。</w:t>
            </w:r>
          </w:p>
          <w:p>
            <w:pPr>
              <w:spacing w:line="360" w:lineRule="exact"/>
            </w:pPr>
            <w:r>
              <w:rPr>
                <w:rFonts w:hint="eastAsia"/>
                <w:b/>
                <w:color w:val="000000"/>
              </w:rPr>
              <w:t>三、招标人有违法违规行为的，</w:t>
            </w:r>
            <w:r>
              <w:rPr>
                <w:rFonts w:hint="eastAsia" w:ascii="宋体" w:hAnsi="宋体"/>
                <w:b/>
                <w:color w:val="000000"/>
                <w:szCs w:val="21"/>
              </w:rPr>
              <w:t>视为无效标</w:t>
            </w:r>
            <w:r>
              <w:rPr>
                <w:rFonts w:hint="eastAsia"/>
                <w:b/>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r>
              <w:rPr>
                <w:rFonts w:ascii="宋体" w:hAnsi="宋体"/>
                <w:b/>
                <w:sz w:val="24"/>
              </w:rPr>
              <w:t>10.6</w:t>
            </w:r>
            <w:r>
              <w:fldChar w:fldCharType="begin"/>
            </w:r>
            <w:r>
              <w:instrText xml:space="preserve"> HYPERLINK "file:///H:\\泰州招标文件范本\\泰州市房屋建筑和市政工程施工2016.4.docx" \l "_10.6_同义词语" </w:instrText>
            </w:r>
            <w:r>
              <w:fldChar w:fldCharType="separate"/>
            </w:r>
            <w:r>
              <w:rPr>
                <w:rStyle w:val="21"/>
                <w:rFonts w:hint="eastAsia" w:ascii="宋体" w:hAnsi="宋体"/>
                <w:b/>
                <w:color w:val="auto"/>
                <w:sz w:val="24"/>
              </w:rPr>
              <w:t>同义词语</w:t>
            </w:r>
            <w:r>
              <w:rPr>
                <w:rStyle w:val="21"/>
                <w:rFonts w:hint="eastAsia" w:ascii="宋体" w:hAnsi="宋体"/>
                <w:b/>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ind w:firstLine="210" w:firstLineChars="100"/>
            </w:pPr>
            <w:r>
              <w:rPr>
                <w:rFonts w:hint="eastAsia"/>
              </w:rPr>
              <w:t>构成招标文件组成部分的“合同条款”、“技术标准和要求”和“工程量清单”等章节中出现的措辞“发包人”和“承包人”，在招标投标阶段应当分别按“招标人”和“投标人”进行理解。招标文件中的“项目负责人”和“项目经理”为同一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r>
              <w:rPr>
                <w:rFonts w:ascii="宋体" w:hAnsi="宋体"/>
                <w:b/>
                <w:sz w:val="24"/>
              </w:rPr>
              <w:t>10.8</w:t>
            </w:r>
            <w:r>
              <w:rPr>
                <w:rFonts w:hint="eastAsia" w:ascii="宋体" w:hAnsi="宋体"/>
                <w:b/>
                <w:sz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ind w:firstLine="315" w:firstLineChars="150"/>
            </w:pPr>
            <w:r>
              <w:rPr>
                <w:rFonts w:hint="eastAsia" w:ascii="Arial" w:hAnsi="Arial" w:cs="Arial"/>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r>
              <w:rPr>
                <w:rFonts w:ascii="宋体" w:hAnsi="宋体"/>
                <w:b/>
                <w:sz w:val="24"/>
              </w:rPr>
              <w:t>10.9</w:t>
            </w:r>
            <w:r>
              <w:rPr>
                <w:rFonts w:hint="eastAsia" w:ascii="宋体" w:hAnsi="宋体"/>
                <w:b/>
                <w:sz w:val="24"/>
              </w:rPr>
              <w:t>招标人补充的其他内容</w:t>
            </w:r>
            <w:r>
              <w:rPr>
                <w:rFonts w:hint="eastAsia"/>
              </w:rPr>
              <w:t>（招标文件中的其它内容与本条款不一致的，以本条款内容为准）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r>
              <w:t>10.9.1</w:t>
            </w:r>
          </w:p>
        </w:tc>
        <w:tc>
          <w:tcPr>
            <w:tcW w:w="8106" w:type="dxa"/>
            <w:gridSpan w:val="3"/>
            <w:vAlign w:val="center"/>
          </w:tcPr>
          <w:p>
            <w:pPr>
              <w:rPr>
                <w:rFonts w:ascii="黑体" w:hAnsi="黑体" w:eastAsia="黑体" w:cs="Arial"/>
                <w:sz w:val="24"/>
              </w:rPr>
            </w:pPr>
            <w:r>
              <w:rPr>
                <w:rFonts w:hint="eastAsia" w:ascii="宋体" w:hAnsi="宋体"/>
                <w:b/>
                <w:sz w:val="24"/>
              </w:rPr>
              <w:t>投标人的投标文件列入评标范围的确定方式：</w:t>
            </w:r>
            <w:r>
              <w:rPr>
                <w:rFonts w:hint="eastAsia"/>
                <w:b/>
                <w:sz w:val="24"/>
              </w:rPr>
              <w:t>所有投标人的标书均列入评审范围。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r>
              <w:t>10.9.</w:t>
            </w:r>
            <w:r>
              <w:rPr>
                <w:rFonts w:hint="eastAsia"/>
              </w:rPr>
              <w:t>2</w:t>
            </w:r>
          </w:p>
        </w:tc>
        <w:tc>
          <w:tcPr>
            <w:tcW w:w="8106" w:type="dxa"/>
            <w:gridSpan w:val="3"/>
            <w:vAlign w:val="center"/>
          </w:tcPr>
          <w:p>
            <w:pPr>
              <w:spacing w:line="360" w:lineRule="exact"/>
            </w:pPr>
            <w:r>
              <w:rPr>
                <w:rFonts w:hint="eastAsia"/>
              </w:rPr>
              <w:t>除法律法规规定的情形及其他特殊情况外，中标人应当自中标通知书发出之日起三十日内，按照招标文件和中标人的投标文件与招标人订立书面合同，否则，招标人可取消中标人的中标资格。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rPr>
                <w:rFonts w:ascii="宋体" w:hAnsi="宋体" w:cs="宋体"/>
                <w:sz w:val="22"/>
                <w:szCs w:val="22"/>
              </w:rPr>
            </w:pPr>
            <w:r>
              <w:rPr>
                <w:rFonts w:hint="eastAsia" w:ascii="宋体" w:hAnsi="宋体" w:cs="宋体"/>
                <w:sz w:val="22"/>
                <w:szCs w:val="22"/>
              </w:rPr>
              <w:t>10.9.3</w:t>
            </w:r>
          </w:p>
        </w:tc>
        <w:tc>
          <w:tcPr>
            <w:tcW w:w="8106" w:type="dxa"/>
            <w:gridSpan w:val="3"/>
            <w:vAlign w:val="center"/>
          </w:tcPr>
          <w:p>
            <w:pPr>
              <w:pStyle w:val="16"/>
              <w:spacing w:before="0" w:after="0" w:line="360" w:lineRule="atLeast"/>
              <w:jc w:val="both"/>
              <w:rPr>
                <w:sz w:val="21"/>
                <w:szCs w:val="21"/>
              </w:rPr>
            </w:pPr>
            <w:r>
              <w:rPr>
                <w:rFonts w:hint="eastAsia"/>
                <w:sz w:val="21"/>
                <w:szCs w:val="21"/>
              </w:rPr>
              <w:t>1、评标当日，投标人投标所用资质核查结果为不达标的，视为投标人资质条件不符合国家有关规定，或不满足招标文件规定的资格条件。 </w:t>
            </w:r>
          </w:p>
          <w:p>
            <w:pPr>
              <w:pStyle w:val="16"/>
              <w:spacing w:before="0" w:after="0" w:line="360" w:lineRule="atLeast"/>
              <w:jc w:val="both"/>
              <w:rPr>
                <w:color w:val="000000" w:themeColor="text1"/>
                <w:sz w:val="21"/>
                <w:szCs w:val="21"/>
                <w14:textFill>
                  <w14:solidFill>
                    <w14:schemeClr w14:val="tx1"/>
                  </w14:solidFill>
                </w14:textFill>
              </w:rPr>
            </w:pPr>
            <w:r>
              <w:rPr>
                <w:rFonts w:hint="eastAsia"/>
                <w:sz w:val="21"/>
                <w:szCs w:val="21"/>
              </w:rPr>
              <w:t>2</w:t>
            </w:r>
            <w:r>
              <w:rPr>
                <w:rFonts w:hint="eastAsia"/>
                <w:color w:val="000000" w:themeColor="text1"/>
                <w:sz w:val="21"/>
                <w:szCs w:val="21"/>
                <w14:textFill>
                  <w14:solidFill>
                    <w14:schemeClr w14:val="tx1"/>
                  </w14:solidFill>
                </w14:textFill>
              </w:rPr>
              <w:t>、中标公示期间，中标候选人投标所用资质核查结果为不达标的，视为其资质条件不符合国家有关规定。</w:t>
            </w:r>
          </w:p>
          <w:p>
            <w:pPr>
              <w:pStyle w:val="16"/>
              <w:spacing w:before="0" w:after="0" w:line="360" w:lineRule="atLeast"/>
              <w:jc w:val="both"/>
              <w:rPr>
                <w:sz w:val="21"/>
                <w:szCs w:val="21"/>
              </w:rPr>
            </w:pPr>
            <w:r>
              <w:rPr>
                <w:rFonts w:hint="eastAsia"/>
                <w:sz w:val="21"/>
                <w:szCs w:val="21"/>
              </w:rPr>
              <w:t>动态监管不合格资质查询网址：</w:t>
            </w:r>
          </w:p>
          <w:p>
            <w:pPr>
              <w:pStyle w:val="16"/>
              <w:spacing w:before="0" w:after="0" w:line="360" w:lineRule="atLeast"/>
              <w:jc w:val="both"/>
              <w:rPr>
                <w:sz w:val="22"/>
                <w:szCs w:val="22"/>
              </w:rPr>
            </w:pPr>
            <w:r>
              <w:rPr>
                <w:rFonts w:hint="eastAsia"/>
                <w:sz w:val="21"/>
                <w:szCs w:val="21"/>
              </w:rPr>
              <w:drawing>
                <wp:inline distT="0" distB="0" distL="114300" distR="114300">
                  <wp:extent cx="190500" cy="142875"/>
                  <wp:effectExtent l="0" t="0" r="0"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sz w:val="21"/>
                <w:szCs w:val="21"/>
              </w:rPr>
              <w:t>http://221.226.118.170:8080/app/jscesis/qualCheck/queryQualCheckPublic.ftl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jc w:val="left"/>
            </w:pPr>
            <w:r>
              <w:rPr>
                <w:rFonts w:hint="eastAsia"/>
              </w:rPr>
              <w:t>10.9.5</w:t>
            </w:r>
          </w:p>
        </w:tc>
        <w:tc>
          <w:tcPr>
            <w:tcW w:w="8106" w:type="dxa"/>
            <w:gridSpan w:val="3"/>
            <w:vAlign w:val="center"/>
          </w:tcPr>
          <w:p>
            <w:pPr>
              <w:rPr>
                <w:sz w:val="22"/>
                <w:szCs w:val="22"/>
              </w:rPr>
            </w:pPr>
            <w:r>
              <w:rPr>
                <w:rFonts w:hint="eastAsia" w:ascii="宋体" w:hAnsi="宋体" w:cs="仿宋_GB2312"/>
                <w:kern w:val="0"/>
                <w:sz w:val="22"/>
                <w:szCs w:val="22"/>
              </w:rPr>
              <w:t>投标文件包含，</w:t>
            </w:r>
            <w:r>
              <w:rPr>
                <w:rFonts w:hint="eastAsia" w:ascii="宋体" w:hAnsi="宋体" w:cs="仿宋_GB2312"/>
                <w:b/>
                <w:bCs/>
                <w:kern w:val="0"/>
                <w:sz w:val="22"/>
                <w:szCs w:val="22"/>
              </w:rPr>
              <w:t>正本一份、副本二份</w:t>
            </w:r>
            <w:r>
              <w:rPr>
                <w:rFonts w:hint="eastAsia" w:ascii="宋体" w:hAnsi="宋体" w:cs="仿宋_GB2312"/>
                <w:kern w:val="0"/>
                <w:sz w:val="22"/>
                <w:szCs w:val="22"/>
              </w:rPr>
              <w:t>。正本和副本的封面上应清楚的标记“正本”和“副本”的字样。正本和副本如有不一致之处，以正本为准。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bookmarkStart w:id="19" w:name="_Toc266951041"/>
            <w:bookmarkStart w:id="20" w:name="_Toc275956102"/>
            <w:r>
              <w:rPr>
                <w:rFonts w:hint="eastAsia" w:ascii="宋体" w:hAnsi="宋体" w:cs="宋体"/>
                <w:sz w:val="24"/>
              </w:rPr>
              <w:t>10.9.6</w:t>
            </w:r>
          </w:p>
        </w:tc>
        <w:tc>
          <w:tcPr>
            <w:tcW w:w="8106" w:type="dxa"/>
            <w:gridSpan w:val="3"/>
            <w:vAlign w:val="center"/>
          </w:tcPr>
          <w:p>
            <w:pPr>
              <w:spacing w:line="400" w:lineRule="exact"/>
              <w:rPr>
                <w:rFonts w:ascii="宋体" w:hAnsi="宋体" w:cs="宋体"/>
                <w:bCs/>
                <w:sz w:val="22"/>
                <w:szCs w:val="22"/>
                <w:u w:val="single"/>
              </w:rPr>
            </w:pPr>
            <w:r>
              <w:rPr>
                <w:rFonts w:hint="eastAsia" w:ascii="宋体" w:hAnsi="宋体" w:cs="宋体"/>
                <w:bCs/>
                <w:sz w:val="22"/>
                <w:szCs w:val="22"/>
              </w:rPr>
              <w:t>结算审核核减比例（核减金额/送审金额）≤10%以内，审计费用由发包人承担；若核减比例＞10%，则承包人应承担10%以外的审计费用。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r>
              <w:rPr>
                <w:rFonts w:hint="eastAsia" w:ascii="宋体" w:hAnsi="宋体" w:cs="宋体"/>
                <w:sz w:val="24"/>
              </w:rPr>
              <w:t>10.9.7</w:t>
            </w:r>
          </w:p>
        </w:tc>
        <w:tc>
          <w:tcPr>
            <w:tcW w:w="8106" w:type="dxa"/>
            <w:gridSpan w:val="3"/>
            <w:vAlign w:val="center"/>
          </w:tcPr>
          <w:p>
            <w:pPr>
              <w:spacing w:line="320" w:lineRule="exact"/>
              <w:jc w:val="left"/>
              <w:rPr>
                <w:rFonts w:ascii="宋体" w:hAnsi="宋体" w:cs="宋体"/>
                <w:bCs/>
                <w:sz w:val="22"/>
                <w:szCs w:val="22"/>
              </w:rPr>
            </w:pPr>
            <w:r>
              <w:rPr>
                <w:rFonts w:hint="eastAsia" w:ascii="宋体" w:hAnsi="宋体" w:cs="宋体"/>
                <w:bCs/>
                <w:sz w:val="22"/>
                <w:szCs w:val="22"/>
              </w:rPr>
              <w:t>每次申请付款时开具符合甲方要求的建筑工程增值税专用发票。如未按上述规定开具票据，则招标人有权延期付款。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r>
              <w:rPr>
                <w:rFonts w:hint="eastAsia" w:ascii="宋体" w:hAnsi="宋体" w:cs="宋体"/>
                <w:sz w:val="24"/>
              </w:rPr>
              <w:t>10.9.8</w:t>
            </w:r>
          </w:p>
        </w:tc>
        <w:tc>
          <w:tcPr>
            <w:tcW w:w="8106" w:type="dxa"/>
            <w:gridSpan w:val="3"/>
            <w:vAlign w:val="center"/>
          </w:tcPr>
          <w:p>
            <w:pPr>
              <w:spacing w:line="320" w:lineRule="exact"/>
              <w:jc w:val="left"/>
              <w:rPr>
                <w:rFonts w:ascii="宋体" w:hAnsi="宋体" w:cs="宋体"/>
                <w:bCs/>
                <w:sz w:val="22"/>
                <w:szCs w:val="22"/>
              </w:rPr>
            </w:pPr>
            <w:r>
              <w:rPr>
                <w:rFonts w:hint="eastAsia" w:ascii="宋体" w:hAnsi="宋体" w:cs="宋体"/>
                <w:bCs/>
                <w:sz w:val="22"/>
                <w:szCs w:val="22"/>
              </w:rPr>
              <w:t>投标人要认真勘察现场，实地了解工程项目，投标报价应包括招标文件所确定的招标范围内工程项目的全部内容，以及为完成上述内容所必须的临时工程、材料、劳务及安全防护措施等所需的全部费用。投标人要认真阅读招标文件及各类政策，慎重报价。如有遗漏招标人将视同优惠。本次招标实施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293" w:type="dxa"/>
            <w:gridSpan w:val="2"/>
            <w:vAlign w:val="center"/>
          </w:tcPr>
          <w:p>
            <w:pPr>
              <w:spacing w:line="440" w:lineRule="exact"/>
              <w:jc w:val="left"/>
              <w:rPr>
                <w:rFonts w:hint="default" w:ascii="宋体" w:hAnsi="宋体" w:eastAsia="宋体" w:cs="宋体"/>
                <w:sz w:val="24"/>
                <w:lang w:val="en-US" w:eastAsia="zh-CN"/>
              </w:rPr>
            </w:pPr>
            <w:r>
              <w:rPr>
                <w:rFonts w:hint="eastAsia" w:ascii="宋体" w:hAnsi="宋体" w:cs="宋体"/>
                <w:sz w:val="24"/>
                <w:lang w:val="en-US" w:eastAsia="zh-CN"/>
              </w:rPr>
              <w:t>10.9.9</w:t>
            </w:r>
          </w:p>
        </w:tc>
        <w:tc>
          <w:tcPr>
            <w:tcW w:w="8106" w:type="dxa"/>
            <w:gridSpan w:val="3"/>
            <w:vAlign w:val="center"/>
          </w:tcPr>
          <w:p>
            <w:pPr>
              <w:spacing w:line="320" w:lineRule="exact"/>
              <w:jc w:val="left"/>
              <w:rPr>
                <w:rFonts w:hint="eastAsia" w:ascii="宋体" w:hAnsi="宋体" w:cs="宋体"/>
                <w:bCs/>
                <w:sz w:val="22"/>
                <w:szCs w:val="22"/>
              </w:rPr>
            </w:pPr>
            <w:r>
              <w:rPr>
                <w:rFonts w:hint="eastAsia" w:ascii="宋体" w:hAnsi="宋体" w:eastAsia="宋体" w:cs="宋体"/>
                <w:bCs/>
                <w:sz w:val="22"/>
                <w:szCs w:val="22"/>
                <w:lang w:val="en-US" w:eastAsia="zh-CN"/>
              </w:rPr>
              <w:t>本项目</w:t>
            </w:r>
            <w:r>
              <w:rPr>
                <w:rFonts w:hint="eastAsia" w:ascii="宋体" w:hAnsi="宋体" w:eastAsia="宋体" w:cs="宋体"/>
                <w:bCs/>
                <w:sz w:val="22"/>
                <w:szCs w:val="22"/>
              </w:rPr>
              <w:t>招标代理服务费</w:t>
            </w:r>
            <w:r>
              <w:rPr>
                <w:rFonts w:hint="eastAsia" w:ascii="宋体" w:hAnsi="宋体" w:eastAsia="宋体" w:cs="宋体"/>
                <w:bCs/>
                <w:sz w:val="22"/>
                <w:szCs w:val="22"/>
                <w:lang w:val="en-US" w:eastAsia="zh-CN"/>
              </w:rPr>
              <w:t>叁</w:t>
            </w:r>
            <w:r>
              <w:rPr>
                <w:rFonts w:hint="eastAsia" w:ascii="宋体" w:hAnsi="宋体" w:eastAsia="宋体" w:cs="宋体"/>
                <w:bCs/>
                <w:sz w:val="22"/>
                <w:szCs w:val="22"/>
              </w:rPr>
              <w:t>仟元</w:t>
            </w:r>
            <w:r>
              <w:rPr>
                <w:rFonts w:hint="eastAsia" w:ascii="宋体" w:hAnsi="宋体" w:eastAsia="宋体" w:cs="宋体"/>
                <w:bCs/>
                <w:sz w:val="22"/>
                <w:szCs w:val="22"/>
                <w:lang w:val="en-US" w:eastAsia="zh-CN"/>
              </w:rPr>
              <w:t>整（含评审费）</w:t>
            </w:r>
            <w:r>
              <w:rPr>
                <w:rFonts w:hint="eastAsia" w:ascii="宋体" w:hAnsi="宋体" w:eastAsia="宋体" w:cs="宋体"/>
                <w:bCs/>
                <w:sz w:val="22"/>
                <w:szCs w:val="22"/>
              </w:rPr>
              <w:t>由中标人在领取中标通知书之前一次性付清，投标人应将该费用考虑进投标报价中。</w:t>
            </w:r>
          </w:p>
        </w:tc>
      </w:tr>
    </w:tbl>
    <w:p>
      <w:pPr>
        <w:pStyle w:val="5"/>
        <w:pageBreakBefore/>
      </w:pPr>
      <w:r>
        <w:t>1.</w:t>
      </w:r>
      <w:r>
        <w:rPr>
          <w:rFonts w:hint="eastAsia"/>
        </w:rPr>
        <w:t>总则</w:t>
      </w:r>
      <w:bookmarkEnd w:id="19"/>
      <w:bookmarkEnd w:id="20"/>
    </w:p>
    <w:p>
      <w:pPr>
        <w:pStyle w:val="6"/>
      </w:pPr>
      <w:bookmarkStart w:id="21" w:name="_1.1_项目概况"/>
      <w:bookmarkEnd w:id="21"/>
      <w:bookmarkStart w:id="22" w:name="_Toc266951042"/>
      <w:r>
        <w:t xml:space="preserve">1.1 </w:t>
      </w:r>
      <w:r>
        <w:rPr>
          <w:rFonts w:hint="eastAsia"/>
        </w:rPr>
        <w:t>项目概况</w:t>
      </w:r>
      <w:bookmarkEnd w:id="22"/>
      <w:r>
        <w:rPr>
          <w:rFonts w:hint="eastAsia"/>
        </w:rPr>
        <w:t>及要求</w:t>
      </w:r>
    </w:p>
    <w:p>
      <w:pPr>
        <w:autoSpaceDE w:val="0"/>
        <w:autoSpaceDN w:val="0"/>
        <w:adjustRightInd w:val="0"/>
        <w:ind w:firstLine="420" w:firstLineChars="200"/>
        <w:jc w:val="left"/>
        <w:rPr>
          <w:rFonts w:ascii="宋体" w:cs="仿宋_GB2312"/>
          <w:kern w:val="0"/>
          <w:szCs w:val="21"/>
        </w:rPr>
      </w:pPr>
      <w:r>
        <w:rPr>
          <w:rFonts w:ascii="宋体" w:hAnsi="宋体" w:cs="TimesNewRomanPSMT"/>
          <w:kern w:val="0"/>
          <w:szCs w:val="21"/>
        </w:rPr>
        <w:t xml:space="preserve">1.1.1 </w:t>
      </w:r>
      <w:r>
        <w:rPr>
          <w:rFonts w:hint="eastAsia" w:ascii="宋体" w:hAnsi="宋体" w:cs="仿宋_GB2312"/>
          <w:kern w:val="0"/>
          <w:szCs w:val="21"/>
        </w:rPr>
        <w:t>根据《中华人民共和国招标投标法》等有关法律、法规和规章的规定要求，本招标项目已具备招标条件，现对本标段施工进行招标。</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1.1.2</w:t>
      </w:r>
      <w:r>
        <w:rPr>
          <w:rFonts w:hint="eastAsia" w:ascii="宋体" w:hAnsi="宋体" w:cs="仿宋_GB2312"/>
          <w:kern w:val="0"/>
          <w:szCs w:val="21"/>
        </w:rPr>
        <w:t>本招标项目招标人：见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1.1.3</w:t>
      </w:r>
      <w:r>
        <w:rPr>
          <w:rFonts w:hint="eastAsia" w:ascii="宋体" w:hAnsi="宋体" w:cs="仿宋_GB2312"/>
          <w:kern w:val="0"/>
          <w:szCs w:val="21"/>
        </w:rPr>
        <w:t>本标段：见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1.1.4</w:t>
      </w:r>
      <w:r>
        <w:rPr>
          <w:rFonts w:hint="eastAsia" w:ascii="宋体" w:hAnsi="宋体" w:cs="仿宋_GB2312"/>
          <w:kern w:val="0"/>
          <w:szCs w:val="21"/>
        </w:rPr>
        <w:t>本招标项目名称：见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1.1.5</w:t>
      </w:r>
      <w:r>
        <w:rPr>
          <w:rFonts w:hint="eastAsia" w:ascii="宋体" w:hAnsi="宋体" w:cs="仿宋_GB2312"/>
          <w:kern w:val="0"/>
          <w:szCs w:val="21"/>
        </w:rPr>
        <w:t>本标段建设地点：见</w:t>
      </w:r>
      <w:r>
        <w:fldChar w:fldCharType="begin"/>
      </w:r>
      <w:r>
        <w:instrText xml:space="preserve"> HYPERLINK "file:///H:\\泰州招标文件范本\\泰州市房屋建筑和市政工程施工2016.4.docx" \l "_1.1"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pPr>
      <w:bookmarkStart w:id="23" w:name="_1.2_资金来源和落实情况"/>
      <w:bookmarkEnd w:id="23"/>
      <w:bookmarkStart w:id="24" w:name="_1.2_资金来源和落实情况_详见投标须知表"/>
      <w:bookmarkEnd w:id="24"/>
      <w:bookmarkStart w:id="25" w:name="_Toc266951043"/>
      <w:r>
        <w:t xml:space="preserve">1.2 </w:t>
      </w:r>
      <w:r>
        <w:rPr>
          <w:rFonts w:hint="eastAsia"/>
        </w:rPr>
        <w:t>资金来源和落实情况</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1.2.1</w:t>
      </w:r>
      <w:r>
        <w:rPr>
          <w:rFonts w:hint="eastAsia" w:ascii="宋体" w:hAnsi="宋体" w:cs="仿宋_GB2312"/>
          <w:kern w:val="0"/>
          <w:szCs w:val="21"/>
        </w:rPr>
        <w:t>本招标项目的资金来源</w:t>
      </w:r>
      <w:bookmarkEnd w:id="25"/>
      <w:r>
        <w:rPr>
          <w:rFonts w:hint="eastAsia" w:ascii="宋体" w:hAnsi="宋体" w:cs="仿宋_GB2312"/>
          <w:kern w:val="0"/>
          <w:szCs w:val="21"/>
        </w:rPr>
        <w:t>：见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1.2.2</w:t>
      </w:r>
      <w:r>
        <w:rPr>
          <w:rFonts w:hint="eastAsia" w:ascii="宋体" w:hAnsi="宋体" w:cs="仿宋_GB2312"/>
          <w:kern w:val="0"/>
          <w:szCs w:val="21"/>
        </w:rPr>
        <w:t>本招标项目的出资比例：见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1.2.3</w:t>
      </w:r>
      <w:r>
        <w:rPr>
          <w:rFonts w:hint="eastAsia" w:ascii="宋体" w:hAnsi="宋体" w:cs="仿宋_GB2312"/>
          <w:kern w:val="0"/>
          <w:szCs w:val="21"/>
        </w:rPr>
        <w:t>本招标项目的资金落实情况：见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rPr>
          <w:rFonts w:cs="TimesNewRomanPSMT"/>
        </w:rPr>
      </w:pPr>
      <w:bookmarkStart w:id="26" w:name="_1.3_招标范围、计划工期和质量要求"/>
      <w:bookmarkEnd w:id="26"/>
      <w:bookmarkStart w:id="27" w:name="_1.3_招标范围、计划工期和质量要求_详见投标须知表"/>
      <w:bookmarkEnd w:id="27"/>
      <w:bookmarkStart w:id="28" w:name="_Toc266951044"/>
      <w:r>
        <w:rPr>
          <w:rFonts w:cs="TimesNewRomanPSMT"/>
        </w:rPr>
        <w:t xml:space="preserve">1.3 </w:t>
      </w:r>
      <w:r>
        <w:rPr>
          <w:rFonts w:hint="eastAsia" w:cs="TimesNewRomanPSMT"/>
        </w:rPr>
        <w:t>招标范围、计划工期和质量要求</w:t>
      </w:r>
      <w:bookmarkEnd w:id="28"/>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1.3.1</w:t>
      </w:r>
      <w:r>
        <w:rPr>
          <w:rFonts w:hint="eastAsia" w:ascii="宋体" w:hAnsi="宋体" w:cs="仿宋_GB2312"/>
          <w:kern w:val="0"/>
          <w:szCs w:val="21"/>
        </w:rPr>
        <w:t>本次招标范围：见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1.3.2</w:t>
      </w:r>
      <w:r>
        <w:rPr>
          <w:rFonts w:hint="eastAsia" w:ascii="宋体" w:hAnsi="宋体" w:cs="仿宋_GB2312"/>
          <w:kern w:val="0"/>
          <w:szCs w:val="21"/>
        </w:rPr>
        <w:t>本标段的计划工期：见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1.3.3</w:t>
      </w:r>
      <w:r>
        <w:rPr>
          <w:rFonts w:hint="eastAsia" w:ascii="宋体" w:hAnsi="宋体" w:cs="仿宋_GB2312"/>
          <w:kern w:val="0"/>
          <w:szCs w:val="21"/>
        </w:rPr>
        <w:t>本标段的质量要求：见</w:t>
      </w:r>
      <w:r>
        <w:fldChar w:fldCharType="begin"/>
      </w:r>
      <w:r>
        <w:instrText xml:space="preserve"> HYPERLINK "file:///H:\\泰州招标文件范本\\泰州市房屋建筑和市政工程施工2016.4.docx" \l "_1.2"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32"/>
      </w:pPr>
      <w:bookmarkStart w:id="29" w:name="_1.4_投标人资格要求（适用于已进行资格预审的）"/>
      <w:bookmarkEnd w:id="29"/>
      <w:bookmarkStart w:id="30" w:name="_1.4_投标人资格要求"/>
      <w:bookmarkEnd w:id="30"/>
      <w:bookmarkStart w:id="31" w:name="_Toc179632551"/>
      <w:bookmarkStart w:id="32" w:name="_Toc152045534"/>
      <w:bookmarkStart w:id="33" w:name="_Toc144974502"/>
      <w:bookmarkStart w:id="34" w:name="_Toc152042310"/>
      <w:r>
        <w:t xml:space="preserve">1.4 </w:t>
      </w:r>
      <w:r>
        <w:rPr>
          <w:rFonts w:hint="eastAsia"/>
        </w:rPr>
        <w:t>投标人资格要求</w:t>
      </w:r>
      <w:bookmarkEnd w:id="31"/>
      <w:bookmarkEnd w:id="32"/>
      <w:bookmarkEnd w:id="33"/>
      <w:bookmarkEnd w:id="34"/>
    </w:p>
    <w:p>
      <w:pPr>
        <w:spacing w:line="320" w:lineRule="exact"/>
        <w:ind w:firstLine="420" w:firstLineChars="200"/>
        <w:rPr>
          <w:rFonts w:ascii="宋体"/>
        </w:rPr>
      </w:pPr>
      <w:r>
        <w:rPr>
          <w:rFonts w:ascii="宋体" w:hAnsi="宋体"/>
        </w:rPr>
        <w:t>1.4.1</w:t>
      </w:r>
      <w:r>
        <w:rPr>
          <w:rFonts w:hint="eastAsia" w:ascii="宋体" w:hAnsi="宋体"/>
        </w:rPr>
        <w:t>投标人应具备承担本标段施工的资质条件、能力和信誉。</w:t>
      </w:r>
    </w:p>
    <w:p>
      <w:pPr>
        <w:spacing w:line="320" w:lineRule="exact"/>
        <w:ind w:firstLine="718" w:firstLineChars="342"/>
        <w:rPr>
          <w:rFonts w:ascii="宋体"/>
        </w:rPr>
      </w:pPr>
      <w:r>
        <w:rPr>
          <w:rFonts w:hint="eastAsia" w:ascii="宋体" w:hAnsi="宋体"/>
        </w:rPr>
        <w:t>（</w:t>
      </w:r>
      <w:r>
        <w:rPr>
          <w:rFonts w:ascii="宋体" w:hAnsi="宋体"/>
        </w:rPr>
        <w:t>1</w:t>
      </w:r>
      <w:r>
        <w:rPr>
          <w:rFonts w:hint="eastAsia" w:ascii="宋体" w:hAnsi="宋体"/>
        </w:rPr>
        <w:t>）资质条件：见投标人须知前附表；</w:t>
      </w:r>
    </w:p>
    <w:p>
      <w:pPr>
        <w:spacing w:line="320" w:lineRule="exact"/>
        <w:ind w:firstLine="718" w:firstLineChars="342"/>
        <w:rPr>
          <w:rFonts w:ascii="宋体"/>
        </w:rPr>
      </w:pPr>
      <w:r>
        <w:rPr>
          <w:rFonts w:hint="eastAsia" w:ascii="宋体" w:hAnsi="宋体"/>
        </w:rPr>
        <w:t>（</w:t>
      </w:r>
      <w:r>
        <w:rPr>
          <w:rFonts w:ascii="宋体" w:hAnsi="宋体"/>
        </w:rPr>
        <w:t>2</w:t>
      </w:r>
      <w:r>
        <w:rPr>
          <w:rFonts w:hint="eastAsia" w:ascii="宋体" w:hAnsi="宋体"/>
        </w:rPr>
        <w:t>）财务要求：见投标人须知前附表；</w:t>
      </w:r>
    </w:p>
    <w:p>
      <w:pPr>
        <w:spacing w:line="320" w:lineRule="exact"/>
        <w:ind w:firstLine="718" w:firstLineChars="342"/>
        <w:rPr>
          <w:rFonts w:ascii="宋体"/>
        </w:rPr>
      </w:pPr>
      <w:r>
        <w:rPr>
          <w:rFonts w:hint="eastAsia" w:ascii="宋体" w:hAnsi="宋体"/>
        </w:rPr>
        <w:t>（</w:t>
      </w:r>
      <w:r>
        <w:rPr>
          <w:rFonts w:ascii="宋体" w:hAnsi="宋体"/>
        </w:rPr>
        <w:t>3</w:t>
      </w:r>
      <w:r>
        <w:rPr>
          <w:rFonts w:hint="eastAsia" w:ascii="宋体" w:hAnsi="宋体"/>
        </w:rPr>
        <w:t>）业绩要求：见投标人须知前附表；</w:t>
      </w:r>
    </w:p>
    <w:p>
      <w:pPr>
        <w:spacing w:line="320" w:lineRule="exact"/>
        <w:ind w:firstLine="718" w:firstLineChars="342"/>
        <w:rPr>
          <w:rFonts w:ascii="宋体"/>
        </w:rPr>
      </w:pPr>
      <w:r>
        <w:rPr>
          <w:rFonts w:hint="eastAsia" w:ascii="宋体" w:hAnsi="宋体"/>
        </w:rPr>
        <w:t>（</w:t>
      </w:r>
      <w:r>
        <w:rPr>
          <w:rFonts w:ascii="宋体" w:hAnsi="宋体"/>
        </w:rPr>
        <w:t>4</w:t>
      </w:r>
      <w:r>
        <w:rPr>
          <w:rFonts w:hint="eastAsia" w:ascii="宋体" w:hAnsi="宋体"/>
        </w:rPr>
        <w:t>）信誉要求：见投标人须知前附表</w:t>
      </w:r>
      <w:r>
        <w:rPr>
          <w:rFonts w:ascii="宋体" w:hAnsi="宋体"/>
        </w:rPr>
        <w:t>;</w:t>
      </w:r>
    </w:p>
    <w:p>
      <w:pPr>
        <w:spacing w:line="320" w:lineRule="exact"/>
        <w:ind w:firstLine="735" w:firstLineChars="350"/>
        <w:rPr>
          <w:rFonts w:ascii="宋体"/>
        </w:rPr>
      </w:pPr>
      <w:r>
        <w:rPr>
          <w:rFonts w:hint="eastAsia" w:ascii="宋体" w:hAnsi="宋体"/>
        </w:rPr>
        <w:t>（</w:t>
      </w:r>
      <w:r>
        <w:rPr>
          <w:rFonts w:ascii="宋体" w:hAnsi="宋体"/>
        </w:rPr>
        <w:t>5</w:t>
      </w:r>
      <w:r>
        <w:rPr>
          <w:rFonts w:hint="eastAsia" w:ascii="宋体" w:hAnsi="宋体"/>
        </w:rPr>
        <w:t>）项目经理资格：见投标人须知前附表；</w:t>
      </w:r>
    </w:p>
    <w:p>
      <w:pPr>
        <w:spacing w:line="320" w:lineRule="exact"/>
        <w:ind w:firstLine="735" w:firstLineChars="350"/>
        <w:rPr>
          <w:rFonts w:ascii="宋体"/>
        </w:rPr>
      </w:pPr>
      <w:r>
        <w:rPr>
          <w:rFonts w:hint="eastAsia" w:ascii="宋体" w:hAnsi="宋体"/>
        </w:rPr>
        <w:t>（</w:t>
      </w:r>
      <w:r>
        <w:rPr>
          <w:rFonts w:ascii="宋体" w:hAnsi="宋体"/>
        </w:rPr>
        <w:t>6</w:t>
      </w:r>
      <w:r>
        <w:rPr>
          <w:rFonts w:hint="eastAsia" w:ascii="宋体" w:hAnsi="宋体"/>
        </w:rPr>
        <w:t>）其他要求：见投标人须知前附表。</w:t>
      </w:r>
    </w:p>
    <w:p>
      <w:pPr>
        <w:spacing w:line="320" w:lineRule="exact"/>
        <w:ind w:left="630" w:leftChars="200" w:hanging="210" w:hangingChars="100"/>
        <w:rPr>
          <w:rFonts w:ascii="宋体"/>
        </w:rPr>
      </w:pPr>
      <w:r>
        <w:rPr>
          <w:rFonts w:ascii="宋体" w:hAnsi="宋体"/>
        </w:rPr>
        <w:t xml:space="preserve">1.4.2 </w:t>
      </w:r>
      <w:r>
        <w:rPr>
          <w:rFonts w:hint="eastAsia" w:ascii="宋体" w:hAnsi="宋体"/>
        </w:rPr>
        <w:t>投标人须知前附表规定接受联合体投标的，除应符合本章第</w:t>
      </w:r>
      <w:r>
        <w:rPr>
          <w:rFonts w:ascii="宋体" w:hAnsi="宋体"/>
        </w:rPr>
        <w:t>1.4.1</w:t>
      </w:r>
      <w:r>
        <w:rPr>
          <w:rFonts w:hint="eastAsia" w:ascii="宋体" w:hAnsi="宋体"/>
        </w:rPr>
        <w:t>项和投标人须知前附表的要求外，还应遵守以下规定：</w:t>
      </w:r>
    </w:p>
    <w:p>
      <w:pPr>
        <w:spacing w:line="320" w:lineRule="exact"/>
        <w:ind w:left="630" w:leftChars="300" w:firstLine="86" w:firstLineChars="41"/>
        <w:rPr>
          <w:rFonts w:ascii="宋体"/>
        </w:rPr>
      </w:pPr>
      <w:r>
        <w:rPr>
          <w:rFonts w:hint="eastAsia" w:ascii="宋体" w:hAnsi="宋体"/>
        </w:rPr>
        <w:t>（</w:t>
      </w:r>
      <w:r>
        <w:rPr>
          <w:rFonts w:ascii="宋体" w:hAnsi="宋体"/>
        </w:rPr>
        <w:t>1</w:t>
      </w:r>
      <w:r>
        <w:rPr>
          <w:rFonts w:hint="eastAsia" w:ascii="宋体" w:hAnsi="宋体"/>
        </w:rPr>
        <w:t>）联合体各方应按招标文件提供的格式签订联合体协议书，明确联合体牵头人和各方权利义务；</w:t>
      </w:r>
    </w:p>
    <w:p>
      <w:pPr>
        <w:spacing w:line="320" w:lineRule="exact"/>
        <w:ind w:firstLine="718" w:firstLineChars="342"/>
        <w:rPr>
          <w:rFonts w:ascii="宋体"/>
        </w:rPr>
      </w:pPr>
      <w:r>
        <w:rPr>
          <w:rFonts w:hint="eastAsia" w:ascii="宋体" w:hAnsi="宋体"/>
        </w:rPr>
        <w:t>（</w:t>
      </w:r>
      <w:r>
        <w:rPr>
          <w:rFonts w:ascii="宋体" w:hAnsi="宋体"/>
        </w:rPr>
        <w:t>2</w:t>
      </w:r>
      <w:r>
        <w:rPr>
          <w:rFonts w:hint="eastAsia" w:ascii="宋体" w:hAnsi="宋体"/>
        </w:rPr>
        <w:t>）由同一专业的单位组成的联合体，按照资质等级较低的单位确定资质等级；</w:t>
      </w:r>
    </w:p>
    <w:p>
      <w:pPr>
        <w:spacing w:line="320" w:lineRule="exact"/>
        <w:ind w:firstLine="718" w:firstLineChars="342"/>
        <w:rPr>
          <w:rFonts w:ascii="宋体"/>
        </w:rPr>
      </w:pPr>
      <w:r>
        <w:rPr>
          <w:rFonts w:hint="eastAsia" w:ascii="宋体" w:hAnsi="宋体"/>
        </w:rPr>
        <w:t>（</w:t>
      </w:r>
      <w:r>
        <w:rPr>
          <w:rFonts w:ascii="宋体" w:hAnsi="宋体"/>
        </w:rPr>
        <w:t>3</w:t>
      </w:r>
      <w:r>
        <w:rPr>
          <w:rFonts w:hint="eastAsia" w:ascii="宋体" w:hAnsi="宋体"/>
        </w:rPr>
        <w:t>）联合体各方不得再以自己名义单独或参加其他联合体在同一标段中投标。</w:t>
      </w:r>
    </w:p>
    <w:p>
      <w:pPr>
        <w:spacing w:line="320" w:lineRule="exact"/>
        <w:ind w:firstLine="420" w:firstLineChars="200"/>
        <w:rPr>
          <w:rFonts w:ascii="宋体"/>
        </w:rPr>
      </w:pPr>
      <w:r>
        <w:rPr>
          <w:rFonts w:ascii="宋体" w:hAnsi="宋体"/>
        </w:rPr>
        <w:t xml:space="preserve">1.4.3 </w:t>
      </w:r>
      <w:r>
        <w:rPr>
          <w:rFonts w:hint="eastAsia" w:ascii="宋体" w:hAnsi="宋体"/>
        </w:rPr>
        <w:t>投标人不得存在下列情形之一：</w:t>
      </w:r>
    </w:p>
    <w:p>
      <w:pPr>
        <w:spacing w:line="240" w:lineRule="exact"/>
        <w:ind w:firstLine="718" w:firstLineChars="342"/>
        <w:rPr>
          <w:rFonts w:ascii="宋体"/>
        </w:rPr>
      </w:pPr>
      <w:r>
        <w:rPr>
          <w:rFonts w:hint="eastAsia" w:ascii="宋体" w:hAnsi="宋体"/>
        </w:rPr>
        <w:t>（</w:t>
      </w:r>
      <w:r>
        <w:rPr>
          <w:rFonts w:ascii="宋体" w:hAnsi="宋体"/>
        </w:rPr>
        <w:t>1</w:t>
      </w:r>
      <w:r>
        <w:rPr>
          <w:rFonts w:hint="eastAsia" w:ascii="宋体" w:hAnsi="宋体"/>
        </w:rPr>
        <w:t>）为招标人不具有独立法人资格的附属机构（单位）；</w:t>
      </w:r>
    </w:p>
    <w:p>
      <w:pPr>
        <w:spacing w:line="240" w:lineRule="exact"/>
        <w:ind w:firstLine="718" w:firstLineChars="342"/>
        <w:rPr>
          <w:rFonts w:ascii="宋体"/>
        </w:rPr>
      </w:pPr>
      <w:r>
        <w:rPr>
          <w:rFonts w:hint="eastAsia" w:ascii="宋体" w:hAnsi="宋体"/>
        </w:rPr>
        <w:t>（</w:t>
      </w:r>
      <w:r>
        <w:rPr>
          <w:rFonts w:ascii="宋体" w:hAnsi="宋体"/>
        </w:rPr>
        <w:t>2</w:t>
      </w:r>
      <w:r>
        <w:rPr>
          <w:rFonts w:hint="eastAsia" w:ascii="宋体" w:hAnsi="宋体"/>
        </w:rPr>
        <w:t>）为本标段前期准备提供设计或咨询服务的，但设计施工总承包的除外；</w:t>
      </w:r>
    </w:p>
    <w:p>
      <w:pPr>
        <w:spacing w:line="240" w:lineRule="exact"/>
        <w:ind w:firstLine="718" w:firstLineChars="342"/>
        <w:rPr>
          <w:rFonts w:ascii="宋体"/>
        </w:rPr>
      </w:pPr>
      <w:r>
        <w:rPr>
          <w:rFonts w:hint="eastAsia" w:ascii="宋体" w:hAnsi="宋体"/>
        </w:rPr>
        <w:t>（</w:t>
      </w:r>
      <w:r>
        <w:rPr>
          <w:rFonts w:ascii="宋体" w:hAnsi="宋体"/>
        </w:rPr>
        <w:t>3</w:t>
      </w:r>
      <w:r>
        <w:rPr>
          <w:rFonts w:hint="eastAsia" w:ascii="宋体" w:hAnsi="宋体"/>
        </w:rPr>
        <w:t>）为本标段的监理人；</w:t>
      </w:r>
    </w:p>
    <w:p>
      <w:pPr>
        <w:spacing w:line="240" w:lineRule="exact"/>
        <w:ind w:firstLine="718" w:firstLineChars="342"/>
        <w:rPr>
          <w:rFonts w:ascii="宋体"/>
        </w:rPr>
      </w:pPr>
      <w:r>
        <w:rPr>
          <w:rFonts w:hint="eastAsia" w:ascii="宋体" w:hAnsi="宋体"/>
        </w:rPr>
        <w:t>（</w:t>
      </w:r>
      <w:r>
        <w:rPr>
          <w:rFonts w:ascii="宋体" w:hAnsi="宋体"/>
        </w:rPr>
        <w:t>4</w:t>
      </w:r>
      <w:r>
        <w:rPr>
          <w:rFonts w:hint="eastAsia" w:ascii="宋体" w:hAnsi="宋体"/>
        </w:rPr>
        <w:t>）为本标段的代建人；</w:t>
      </w:r>
    </w:p>
    <w:p>
      <w:pPr>
        <w:spacing w:line="240" w:lineRule="exact"/>
        <w:ind w:firstLine="718" w:firstLineChars="342"/>
        <w:rPr>
          <w:rFonts w:ascii="宋体"/>
        </w:rPr>
      </w:pPr>
      <w:r>
        <w:rPr>
          <w:rFonts w:hint="eastAsia" w:ascii="宋体" w:hAnsi="宋体"/>
        </w:rPr>
        <w:t>（</w:t>
      </w:r>
      <w:r>
        <w:rPr>
          <w:rFonts w:ascii="宋体" w:hAnsi="宋体"/>
        </w:rPr>
        <w:t>5</w:t>
      </w:r>
      <w:r>
        <w:rPr>
          <w:rFonts w:hint="eastAsia" w:ascii="宋体" w:hAnsi="宋体"/>
        </w:rPr>
        <w:t>）为本标段提供招标代理服务的；</w:t>
      </w:r>
    </w:p>
    <w:p>
      <w:pPr>
        <w:spacing w:line="240" w:lineRule="exact"/>
        <w:ind w:firstLine="718" w:firstLineChars="342"/>
        <w:rPr>
          <w:rFonts w:ascii="宋体"/>
        </w:rPr>
      </w:pPr>
      <w:r>
        <w:rPr>
          <w:rFonts w:hint="eastAsia" w:ascii="宋体" w:hAnsi="宋体"/>
        </w:rPr>
        <w:t>（</w:t>
      </w:r>
      <w:r>
        <w:rPr>
          <w:rFonts w:ascii="宋体" w:hAnsi="宋体"/>
        </w:rPr>
        <w:t>6</w:t>
      </w:r>
      <w:r>
        <w:rPr>
          <w:rFonts w:hint="eastAsia" w:ascii="宋体" w:hAnsi="宋体"/>
        </w:rPr>
        <w:t>）与本标段的监理人或代建人或同为一个法定代表人的；</w:t>
      </w:r>
    </w:p>
    <w:p>
      <w:pPr>
        <w:spacing w:line="240" w:lineRule="exact"/>
        <w:ind w:firstLine="718" w:firstLineChars="342"/>
        <w:rPr>
          <w:rFonts w:ascii="宋体"/>
        </w:rPr>
      </w:pPr>
      <w:r>
        <w:rPr>
          <w:rFonts w:hint="eastAsia" w:ascii="宋体" w:hAnsi="宋体"/>
        </w:rPr>
        <w:t>（</w:t>
      </w:r>
      <w:r>
        <w:rPr>
          <w:rFonts w:ascii="宋体" w:hAnsi="宋体"/>
        </w:rPr>
        <w:t>7</w:t>
      </w:r>
      <w:r>
        <w:rPr>
          <w:rFonts w:hint="eastAsia" w:ascii="宋体" w:hAnsi="宋体"/>
        </w:rPr>
        <w:t>）与本标段的监理人或代建人或相互控股或参股的；</w:t>
      </w:r>
    </w:p>
    <w:p>
      <w:pPr>
        <w:spacing w:line="240" w:lineRule="exact"/>
        <w:ind w:firstLine="718" w:firstLineChars="342"/>
        <w:rPr>
          <w:rFonts w:ascii="宋体"/>
        </w:rPr>
      </w:pPr>
      <w:r>
        <w:rPr>
          <w:rFonts w:hint="eastAsia" w:ascii="宋体" w:hAnsi="宋体"/>
        </w:rPr>
        <w:t>（</w:t>
      </w:r>
      <w:r>
        <w:rPr>
          <w:rFonts w:ascii="宋体" w:hAnsi="宋体"/>
        </w:rPr>
        <w:t>8</w:t>
      </w:r>
      <w:r>
        <w:rPr>
          <w:rFonts w:hint="eastAsia" w:ascii="宋体" w:hAnsi="宋体"/>
        </w:rPr>
        <w:t>）与本标段的监理人或代建人或相互任职或工作的；</w:t>
      </w:r>
    </w:p>
    <w:p>
      <w:pPr>
        <w:spacing w:line="240" w:lineRule="exact"/>
        <w:ind w:firstLine="735" w:firstLineChars="350"/>
        <w:rPr>
          <w:rFonts w:ascii="宋体"/>
        </w:rPr>
      </w:pPr>
      <w:r>
        <w:rPr>
          <w:rFonts w:hint="eastAsia" w:ascii="宋体" w:hAnsi="宋体"/>
        </w:rPr>
        <w:t>（</w:t>
      </w:r>
      <w:r>
        <w:rPr>
          <w:rFonts w:ascii="宋体" w:hAnsi="宋体"/>
        </w:rPr>
        <w:t>9</w:t>
      </w:r>
      <w:r>
        <w:rPr>
          <w:rFonts w:hint="eastAsia" w:ascii="宋体" w:hAnsi="宋体"/>
        </w:rPr>
        <w:t>）被责令停业的；</w:t>
      </w:r>
    </w:p>
    <w:p>
      <w:pPr>
        <w:spacing w:line="240" w:lineRule="exact"/>
        <w:ind w:firstLine="718" w:firstLineChars="342"/>
        <w:rPr>
          <w:rFonts w:ascii="宋体"/>
        </w:rPr>
      </w:pPr>
      <w:r>
        <w:rPr>
          <w:rFonts w:hint="eastAsia" w:ascii="宋体" w:hAnsi="宋体"/>
        </w:rPr>
        <w:t>（</w:t>
      </w:r>
      <w:r>
        <w:rPr>
          <w:rFonts w:ascii="宋体" w:hAnsi="宋体"/>
        </w:rPr>
        <w:t>10</w:t>
      </w:r>
      <w:r>
        <w:rPr>
          <w:rFonts w:hint="eastAsia" w:ascii="宋体" w:hAnsi="宋体"/>
        </w:rPr>
        <w:t>）被暂停或取消投标资格的；</w:t>
      </w:r>
    </w:p>
    <w:p>
      <w:pPr>
        <w:spacing w:line="240" w:lineRule="exact"/>
        <w:ind w:firstLine="718" w:firstLineChars="342"/>
        <w:rPr>
          <w:rFonts w:ascii="宋体"/>
        </w:rPr>
      </w:pPr>
      <w:r>
        <w:rPr>
          <w:rFonts w:hint="eastAsia" w:ascii="宋体" w:hAnsi="宋体"/>
        </w:rPr>
        <w:t>（</w:t>
      </w:r>
      <w:r>
        <w:rPr>
          <w:rFonts w:ascii="宋体" w:hAnsi="宋体"/>
        </w:rPr>
        <w:t>11</w:t>
      </w:r>
      <w:r>
        <w:rPr>
          <w:rFonts w:hint="eastAsia" w:ascii="宋体" w:hAnsi="宋体"/>
        </w:rPr>
        <w:t>）财产被接管或冻结的；</w:t>
      </w:r>
    </w:p>
    <w:p>
      <w:pPr>
        <w:spacing w:line="240" w:lineRule="exact"/>
        <w:ind w:firstLine="718" w:firstLineChars="342"/>
        <w:rPr>
          <w:rFonts w:ascii="宋体"/>
        </w:rPr>
      </w:pPr>
      <w:r>
        <w:rPr>
          <w:rFonts w:hint="eastAsia" w:ascii="宋体" w:hAnsi="宋体"/>
        </w:rPr>
        <w:t>（</w:t>
      </w:r>
      <w:r>
        <w:rPr>
          <w:rFonts w:ascii="宋体" w:hAnsi="宋体"/>
        </w:rPr>
        <w:t>12</w:t>
      </w:r>
      <w:r>
        <w:rPr>
          <w:rFonts w:hint="eastAsia" w:ascii="宋体" w:hAnsi="宋体"/>
        </w:rPr>
        <w:t>）在最近三年内有骗取中标或严重违约或严重失信或重大工程质量问题的。</w:t>
      </w:r>
    </w:p>
    <w:p>
      <w:pPr>
        <w:spacing w:line="320" w:lineRule="exact"/>
        <w:ind w:left="630" w:leftChars="200" w:hanging="210" w:hangingChars="100"/>
        <w:rPr>
          <w:rFonts w:ascii="宋体" w:cs="仿宋_GB2312"/>
          <w:kern w:val="0"/>
          <w:szCs w:val="21"/>
        </w:rPr>
      </w:pPr>
      <w:r>
        <w:rPr>
          <w:rFonts w:ascii="宋体" w:hAnsi="宋体"/>
        </w:rPr>
        <w:t xml:space="preserve">1.4.4 </w:t>
      </w:r>
      <w:r>
        <w:rPr>
          <w:rFonts w:hint="eastAsia" w:ascii="宋体" w:hAnsi="宋体"/>
        </w:rPr>
        <w:t>单位负责人为同一人或者存在控股、管理关系的不同单位，不得同时参加本招标项目投标。</w:t>
      </w:r>
    </w:p>
    <w:p>
      <w:pPr>
        <w:pStyle w:val="6"/>
      </w:pPr>
      <w:bookmarkStart w:id="35" w:name="_1.4_投标人资格要求（适用于未进行资格预审的）"/>
      <w:bookmarkEnd w:id="35"/>
      <w:bookmarkStart w:id="36" w:name="_1.5_费用承担"/>
      <w:bookmarkEnd w:id="36"/>
      <w:bookmarkStart w:id="37" w:name="_Toc266951046"/>
      <w:r>
        <w:rPr>
          <w:rFonts w:cs="TimesNewRomanPSMT"/>
        </w:rPr>
        <w:t xml:space="preserve">1.5 </w:t>
      </w:r>
      <w:r>
        <w:rPr>
          <w:rFonts w:hint="eastAsia"/>
        </w:rPr>
        <w:t>费用承担</w:t>
      </w:r>
      <w:bookmarkEnd w:id="37"/>
    </w:p>
    <w:p>
      <w:pPr>
        <w:ind w:firstLine="420" w:firstLineChars="200"/>
      </w:pPr>
      <w:r>
        <w:rPr>
          <w:rFonts w:hint="eastAsia" w:ascii="宋体" w:hAnsi="宋体" w:cs="Arial"/>
          <w:szCs w:val="21"/>
        </w:rPr>
        <w:t>投标人准备和参加投标活动所发生的费用自理。</w:t>
      </w:r>
    </w:p>
    <w:p>
      <w:pPr>
        <w:pStyle w:val="6"/>
        <w:rPr>
          <w:rFonts w:cs="黑体"/>
        </w:rPr>
      </w:pPr>
      <w:bookmarkStart w:id="38" w:name="_1.6_保密"/>
      <w:bookmarkEnd w:id="38"/>
      <w:bookmarkStart w:id="39" w:name="_Toc266951047"/>
      <w:r>
        <w:t xml:space="preserve">1.6 </w:t>
      </w:r>
      <w:r>
        <w:rPr>
          <w:rFonts w:hint="eastAsia" w:cs="黑体"/>
        </w:rPr>
        <w:t>保密</w:t>
      </w:r>
      <w:bookmarkEnd w:id="39"/>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参与招标投标活动的各方应对招标文件和投标文件中的商业和技术等秘密保密，违者应对由此造成的后果承担法律责任。</w:t>
      </w:r>
    </w:p>
    <w:p>
      <w:pPr>
        <w:pStyle w:val="6"/>
      </w:pPr>
      <w:bookmarkStart w:id="40" w:name="_1.7_语言文字"/>
      <w:bookmarkEnd w:id="40"/>
      <w:bookmarkStart w:id="41" w:name="_Toc266951048"/>
      <w:r>
        <w:rPr>
          <w:rFonts w:cs="TimesNewRomanPSMT"/>
        </w:rPr>
        <w:t xml:space="preserve">1.7 </w:t>
      </w:r>
      <w:r>
        <w:rPr>
          <w:rFonts w:hint="eastAsia"/>
        </w:rPr>
        <w:t>语言文字</w:t>
      </w:r>
      <w:bookmarkEnd w:id="41"/>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除专用术语外，与招标投标有关的语言均使用中文。必要时专用术语应附有中文注释。</w:t>
      </w:r>
    </w:p>
    <w:p>
      <w:pPr>
        <w:pStyle w:val="6"/>
      </w:pPr>
      <w:bookmarkStart w:id="42" w:name="_1.8_计量单位"/>
      <w:bookmarkEnd w:id="42"/>
      <w:bookmarkStart w:id="43" w:name="_Toc266951049"/>
      <w:r>
        <w:rPr>
          <w:rFonts w:cs="TimesNewRomanPSMT"/>
        </w:rPr>
        <w:t xml:space="preserve">1.8 </w:t>
      </w:r>
      <w:r>
        <w:rPr>
          <w:rFonts w:hint="eastAsia"/>
        </w:rPr>
        <w:t>计量单位</w:t>
      </w:r>
      <w:bookmarkEnd w:id="43"/>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所有计量均采用中华人民共和国法定计量单位。</w:t>
      </w:r>
    </w:p>
    <w:p>
      <w:pPr>
        <w:pStyle w:val="6"/>
      </w:pPr>
      <w:bookmarkStart w:id="44" w:name="_1.9_踏勘现场"/>
      <w:bookmarkEnd w:id="44"/>
      <w:bookmarkStart w:id="45" w:name="_Toc266951050"/>
      <w:r>
        <w:rPr>
          <w:rFonts w:cs="TimesNewRomanPSMT"/>
        </w:rPr>
        <w:t xml:space="preserve">1.9 </w:t>
      </w:r>
      <w:r>
        <w:rPr>
          <w:rFonts w:hint="eastAsia"/>
        </w:rPr>
        <w:t>踏勘现场</w:t>
      </w:r>
      <w:bookmarkEnd w:id="45"/>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1.9.1 </w:t>
      </w:r>
      <w:r>
        <w:fldChar w:fldCharType="begin"/>
      </w:r>
      <w:r>
        <w:instrText xml:space="preserve"> HYPERLINK "file:///H:\\泰州招标文件范本\\泰州市房屋建筑和市政工程施工2016.4.docx" \l "_踏勘现场"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规定组织踏勘现场的，招标人按</w:t>
      </w:r>
      <w:r>
        <w:fldChar w:fldCharType="begin"/>
      </w:r>
      <w:r>
        <w:instrText xml:space="preserve"> HYPERLINK "file:///H:\\泰州招标文件范本\\泰州市房屋建筑和市政工程施工2016.4.docx" \l "_踏勘现场"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规定的时间、地点组织投标人踏勘项目现场。</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1.9.2 </w:t>
      </w:r>
      <w:r>
        <w:rPr>
          <w:rFonts w:hint="eastAsia" w:ascii="宋体" w:hAnsi="宋体" w:cs="仿宋_GB2312"/>
          <w:kern w:val="0"/>
          <w:szCs w:val="21"/>
        </w:rPr>
        <w:t>投标人踏勘现场发生的费用自理。</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1.9.3 </w:t>
      </w:r>
      <w:r>
        <w:rPr>
          <w:rFonts w:hint="eastAsia" w:ascii="宋体" w:hAnsi="宋体" w:cs="仿宋_GB2312"/>
          <w:kern w:val="0"/>
          <w:szCs w:val="21"/>
        </w:rPr>
        <w:t>除招标人的原因外，投标人自行负责在踏勘现场中所发生的人员伤亡和财产损失。</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1.9.4 </w:t>
      </w:r>
      <w:r>
        <w:rPr>
          <w:rFonts w:hint="eastAsia" w:ascii="宋体" w:hAnsi="宋体" w:cs="仿宋_GB2312"/>
          <w:kern w:val="0"/>
          <w:szCs w:val="21"/>
        </w:rPr>
        <w:t>招标人在踏勘现场中介绍的工程场地和相关的周边环境情况，供投标人在编制投标文件时参考，招标人不对投标人据此做出的判断和决策负责。</w:t>
      </w:r>
    </w:p>
    <w:p>
      <w:pPr>
        <w:pStyle w:val="6"/>
      </w:pPr>
      <w:bookmarkStart w:id="46" w:name="_1.10_投标预备会"/>
      <w:bookmarkEnd w:id="46"/>
      <w:bookmarkStart w:id="47" w:name="_Toc266951051"/>
      <w:r>
        <w:rPr>
          <w:rFonts w:cs="TimesNewRomanPSMT"/>
        </w:rPr>
        <w:t xml:space="preserve">1.10 </w:t>
      </w:r>
      <w:r>
        <w:rPr>
          <w:rFonts w:hint="eastAsia"/>
        </w:rPr>
        <w:t>投标预备会</w:t>
      </w:r>
      <w:bookmarkEnd w:id="47"/>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1.10.1 </w:t>
      </w:r>
      <w:r>
        <w:rPr>
          <w:rFonts w:hint="eastAsia" w:ascii="宋体" w:hAnsi="宋体" w:cs="仿宋_GB2312"/>
          <w:kern w:val="0"/>
          <w:szCs w:val="21"/>
        </w:rPr>
        <w:t>投标人须知前附表规定召开投标预备会的，招标人按</w:t>
      </w:r>
      <w:r>
        <w:fldChar w:fldCharType="begin"/>
      </w:r>
      <w:r>
        <w:instrText xml:space="preserve"> HYPERLINK "file:///H:\\泰州招标文件范本\\泰州市房屋建筑和市政工程施工2016.4.docx" \l "_投标预备会"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规定的时间和地点召开投标预备会，澄清投标人提出的问题。</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1.10.2 </w:t>
      </w:r>
      <w:r>
        <w:fldChar w:fldCharType="begin"/>
      </w:r>
      <w:r>
        <w:instrText xml:space="preserve"> HYPERLINK "file:///H:\\泰州招标文件范本\\泰州市房屋建筑和市政工程施工2016.4.docx" \l "_投标预备会" </w:instrText>
      </w:r>
      <w:r>
        <w:fldChar w:fldCharType="separate"/>
      </w:r>
      <w:r>
        <w:rPr>
          <w:rStyle w:val="21"/>
          <w:rFonts w:hint="eastAsia" w:ascii="宋体" w:hAnsi="宋体" w:cs="仿宋_GB2312"/>
          <w:color w:val="auto"/>
          <w:szCs w:val="21"/>
        </w:rPr>
        <w:t>投标人应在投标人须知前附表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规定的时间前，以书面提问的方式将提出的问题通知招标人，以便招标人在会议期间澄清。</w:t>
      </w:r>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 xml:space="preserve">1.10.3 </w:t>
      </w:r>
      <w:r>
        <w:rPr>
          <w:rFonts w:hint="eastAsia" w:ascii="宋体" w:hAnsi="宋体" w:cs="仿宋_GB2312"/>
          <w:kern w:val="0"/>
          <w:szCs w:val="21"/>
        </w:rPr>
        <w:t>投标预备会后，招标人在投标须知前附表规定的时间内，将对投标人所提问题的澄清，以书面的方式通知所有购买招标文件的投标人。该澄清内容为招标文件的组成部分。</w:t>
      </w:r>
    </w:p>
    <w:p>
      <w:pPr>
        <w:pStyle w:val="6"/>
        <w:rPr>
          <w:rFonts w:cs="黑体"/>
        </w:rPr>
      </w:pPr>
      <w:bookmarkStart w:id="48" w:name="_1.11_分包"/>
      <w:bookmarkEnd w:id="48"/>
      <w:bookmarkStart w:id="49" w:name="_Toc266951052"/>
      <w:r>
        <w:t xml:space="preserve">1.11 </w:t>
      </w:r>
      <w:r>
        <w:rPr>
          <w:rFonts w:hint="eastAsia" w:cs="黑体"/>
        </w:rPr>
        <w:t>分包</w:t>
      </w:r>
      <w:bookmarkEnd w:id="49"/>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1.11.1</w:t>
      </w:r>
      <w:r>
        <w:rPr>
          <w:rFonts w:hint="eastAsia" w:ascii="宋体" w:hAnsi="宋体" w:cs="仿宋_GB2312"/>
          <w:kern w:val="0"/>
          <w:szCs w:val="21"/>
        </w:rPr>
        <w:t>投标人拟在中标后将中标项目的部分非主体、非关键性工作进行分包的，应符合</w:t>
      </w:r>
      <w:r>
        <w:fldChar w:fldCharType="begin"/>
      </w:r>
      <w:r>
        <w:instrText xml:space="preserve"> HYPERLINK "file:///H:\\泰州招标文件范本\\泰州市房屋建筑和市政工程施工2016.4.docx" \l "_分__包"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规定的分包内容、分包金额和接受分包（专业分包）的第三人资质要求等限制性条件。</w:t>
      </w:r>
    </w:p>
    <w:p>
      <w:pPr>
        <w:pStyle w:val="6"/>
        <w:rPr>
          <w:rFonts w:cs="黑体"/>
        </w:rPr>
      </w:pPr>
      <w:bookmarkStart w:id="50" w:name="_1.12_偏离"/>
      <w:bookmarkEnd w:id="50"/>
      <w:bookmarkStart w:id="51" w:name="_Toc266951053"/>
      <w:r>
        <w:t xml:space="preserve">1.12 </w:t>
      </w:r>
      <w:r>
        <w:rPr>
          <w:rFonts w:hint="eastAsia" w:cs="黑体"/>
        </w:rPr>
        <w:t>偏离</w:t>
      </w:r>
      <w:bookmarkEnd w:id="51"/>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 xml:space="preserve">1.12.1 </w:t>
      </w:r>
      <w:r>
        <w:fldChar w:fldCharType="begin"/>
      </w:r>
      <w:r>
        <w:instrText xml:space="preserve"> HYPERLINK "file:///H:\\泰州招标文件范本\\泰州市房屋建筑和市政工程施工2016.4.docx" \l "_偏__离"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允许投标文件偏离招标文件某些要求的，偏离应当符合招标文件规定</w:t>
      </w:r>
      <w:r>
        <w:rPr>
          <w:rFonts w:hint="eastAsia"/>
          <w:kern w:val="0"/>
        </w:rPr>
        <w:t>的偏离范围和幅度。</w:t>
      </w:r>
    </w:p>
    <w:p>
      <w:pPr>
        <w:pStyle w:val="5"/>
        <w:rPr>
          <w:szCs w:val="28"/>
        </w:rPr>
      </w:pPr>
      <w:bookmarkStart w:id="52" w:name="_Toc275956103"/>
      <w:bookmarkStart w:id="53" w:name="_Toc266951054"/>
      <w:r>
        <w:rPr>
          <w:rFonts w:cs="TimesNewRomanPSMT"/>
        </w:rPr>
        <w:t xml:space="preserve">2. </w:t>
      </w:r>
      <w:r>
        <w:rPr>
          <w:rFonts w:hint="eastAsia"/>
        </w:rPr>
        <w:t>招标文件</w:t>
      </w:r>
      <w:bookmarkEnd w:id="52"/>
      <w:bookmarkEnd w:id="53"/>
    </w:p>
    <w:p>
      <w:pPr>
        <w:pStyle w:val="6"/>
      </w:pPr>
      <w:bookmarkStart w:id="54" w:name="_2.1_招标文件的组成"/>
      <w:bookmarkEnd w:id="54"/>
      <w:bookmarkStart w:id="55" w:name="_Toc266951055"/>
      <w:r>
        <w:t xml:space="preserve">2.1 </w:t>
      </w:r>
      <w:r>
        <w:rPr>
          <w:rFonts w:hint="eastAsia"/>
        </w:rPr>
        <w:t>招标文件的组成</w:t>
      </w:r>
      <w:bookmarkEnd w:id="55"/>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本招标文件包括：</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）招标公告；</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）投标人须知；</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）评标办法；</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）合同条款及格式；</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）工程量清单；</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6</w:t>
      </w:r>
      <w:r>
        <w:rPr>
          <w:rFonts w:hint="eastAsia" w:ascii="宋体" w:hAnsi="宋体" w:cs="仿宋_GB2312"/>
          <w:kern w:val="0"/>
          <w:szCs w:val="21"/>
        </w:rPr>
        <w:t>）图纸；</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7</w:t>
      </w:r>
      <w:r>
        <w:rPr>
          <w:rFonts w:hint="eastAsia" w:ascii="宋体" w:hAnsi="宋体" w:cs="仿宋_GB2312"/>
          <w:kern w:val="0"/>
          <w:szCs w:val="21"/>
        </w:rPr>
        <w:t>）投标文件格式；</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hint="eastAsia" w:ascii="宋体" w:hAnsi="宋体" w:cs="TimesNewRomanPSMT"/>
          <w:kern w:val="0"/>
          <w:szCs w:val="21"/>
        </w:rPr>
        <w:t>8</w:t>
      </w:r>
      <w:r>
        <w:rPr>
          <w:rFonts w:hint="eastAsia" w:ascii="宋体" w:hAnsi="宋体" w:cs="仿宋_GB2312"/>
          <w:kern w:val="0"/>
          <w:szCs w:val="21"/>
        </w:rPr>
        <w:t>）</w:t>
      </w:r>
      <w:r>
        <w:fldChar w:fldCharType="begin"/>
      </w:r>
      <w:r>
        <w:instrText xml:space="preserve"> HYPERLINK "file:///H:\\泰州招标文件范本\\泰州市房屋建筑和市政工程施工2016.4.docx" \l "_招标文件的组成"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规定的其他材料。</w:t>
      </w:r>
    </w:p>
    <w:p>
      <w:pPr>
        <w:autoSpaceDE w:val="0"/>
        <w:autoSpaceDN w:val="0"/>
        <w:adjustRightInd w:val="0"/>
        <w:ind w:firstLine="420" w:firstLineChars="200"/>
        <w:jc w:val="left"/>
        <w:rPr>
          <w:rFonts w:ascii="宋体"/>
        </w:rPr>
      </w:pPr>
      <w:r>
        <w:rPr>
          <w:rFonts w:hint="eastAsia" w:ascii="宋体" w:hAnsi="宋体" w:cs="仿宋_GB2312"/>
          <w:kern w:val="0"/>
          <w:szCs w:val="21"/>
        </w:rPr>
        <w:t>根据本章</w:t>
      </w:r>
      <w:r>
        <w:fldChar w:fldCharType="begin"/>
      </w:r>
      <w:r>
        <w:instrText xml:space="preserve"> HYPERLINK "file:///H:\\泰州招标文件范本\\泰州市房屋建筑和市政工程施工2016.4.docx" \l "_1.10_投标预备会" </w:instrText>
      </w:r>
      <w:r>
        <w:fldChar w:fldCharType="separate"/>
      </w:r>
      <w:r>
        <w:rPr>
          <w:rStyle w:val="21"/>
          <w:rFonts w:hint="eastAsia" w:ascii="宋体" w:hAnsi="宋体" w:cs="仿宋_GB2312"/>
          <w:color w:val="auto"/>
          <w:szCs w:val="21"/>
        </w:rPr>
        <w:t>第</w:t>
      </w:r>
      <w:r>
        <w:rPr>
          <w:rStyle w:val="21"/>
          <w:rFonts w:ascii="宋体" w:hAnsi="宋体" w:cs="TimesNewRomanPSMT"/>
          <w:color w:val="auto"/>
          <w:szCs w:val="21"/>
        </w:rPr>
        <w:t>1.10</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w:t>
      </w:r>
      <w:r>
        <w:fldChar w:fldCharType="begin"/>
      </w:r>
      <w:r>
        <w:instrText xml:space="preserve"> HYPERLINK "file:///H:\\泰州招标文件范本\\泰州市房屋建筑和市政工程施工2016.4.docx" \l "_2.2_招标文件的澄清（适用于纸质招标文件）" </w:instrText>
      </w:r>
      <w:r>
        <w:fldChar w:fldCharType="separate"/>
      </w:r>
      <w:r>
        <w:rPr>
          <w:rStyle w:val="21"/>
          <w:rFonts w:hint="eastAsia" w:ascii="宋体" w:hAnsi="宋体" w:cs="仿宋_GB2312"/>
          <w:color w:val="auto"/>
          <w:szCs w:val="21"/>
        </w:rPr>
        <w:t>第</w:t>
      </w:r>
      <w:r>
        <w:rPr>
          <w:rStyle w:val="21"/>
          <w:rFonts w:ascii="宋体" w:hAnsi="宋体" w:cs="TimesNewRomanPSMT"/>
          <w:color w:val="auto"/>
          <w:szCs w:val="21"/>
        </w:rPr>
        <w:t>2.2</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和</w:t>
      </w:r>
      <w:r>
        <w:fldChar w:fldCharType="begin"/>
      </w:r>
      <w:r>
        <w:instrText xml:space="preserve"> HYPERLINK "file:///H:\\泰州招标文件范本\\泰州市房屋建筑和市政工程施工2016.4.docx" \l "_2.3_招标文件的修改" </w:instrText>
      </w:r>
      <w:r>
        <w:fldChar w:fldCharType="separate"/>
      </w:r>
      <w:r>
        <w:rPr>
          <w:rStyle w:val="21"/>
          <w:rFonts w:hint="eastAsia" w:ascii="宋体" w:hAnsi="宋体" w:cs="仿宋_GB2312"/>
          <w:color w:val="auto"/>
          <w:szCs w:val="21"/>
        </w:rPr>
        <w:t>第</w:t>
      </w:r>
      <w:r>
        <w:rPr>
          <w:rStyle w:val="21"/>
          <w:rFonts w:ascii="宋体" w:hAnsi="宋体" w:cs="TimesNewRomanPSMT"/>
          <w:color w:val="auto"/>
          <w:szCs w:val="21"/>
        </w:rPr>
        <w:t>2.3</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对招标文件所作的澄清、修改，构成招标文件的组成部分。</w:t>
      </w:r>
      <w:r>
        <w:rPr>
          <w:rFonts w:hint="eastAsia" w:ascii="宋体" w:hAnsi="宋体"/>
        </w:rPr>
        <w:t>当招标文件、招标文件的</w:t>
      </w:r>
      <w:r>
        <w:rPr>
          <w:rFonts w:hint="eastAsia"/>
        </w:rPr>
        <w:t>澄清、</w:t>
      </w:r>
      <w:r>
        <w:rPr>
          <w:rFonts w:hint="eastAsia" w:ascii="宋体" w:hAnsi="宋体"/>
        </w:rPr>
        <w:t>修改在同一内容表述不一致时，以最后发出的内容为准。</w:t>
      </w:r>
    </w:p>
    <w:p>
      <w:pPr>
        <w:pStyle w:val="6"/>
      </w:pPr>
      <w:bookmarkStart w:id="56" w:name="_2.2_招标文件的澄清（适用于纸质招标文件）"/>
      <w:bookmarkEnd w:id="56"/>
      <w:bookmarkStart w:id="57" w:name="_2.2_招标文件的澄清"/>
      <w:bookmarkEnd w:id="57"/>
      <w:bookmarkStart w:id="58" w:name="_Toc266951056"/>
      <w:r>
        <w:t xml:space="preserve">2.2 </w:t>
      </w:r>
      <w:r>
        <w:rPr>
          <w:rFonts w:hint="eastAsia"/>
        </w:rPr>
        <w:t>招标文件的澄清</w:t>
      </w:r>
      <w:bookmarkEnd w:id="58"/>
    </w:p>
    <w:p>
      <w:pPr>
        <w:autoSpaceDE w:val="0"/>
        <w:autoSpaceDN w:val="0"/>
        <w:adjustRightInd w:val="0"/>
        <w:spacing w:line="320" w:lineRule="exact"/>
        <w:ind w:firstLine="462" w:firstLineChars="220"/>
        <w:jc w:val="left"/>
        <w:rPr>
          <w:rFonts w:ascii="宋体" w:cs="仿宋_GB2312"/>
          <w:kern w:val="0"/>
          <w:szCs w:val="21"/>
        </w:rPr>
      </w:pPr>
      <w:r>
        <w:rPr>
          <w:rFonts w:ascii="宋体" w:hAnsi="宋体" w:cs="仿宋_GB2312"/>
          <w:kern w:val="0"/>
          <w:szCs w:val="21"/>
        </w:rPr>
        <w:t>2.2.1</w:t>
      </w:r>
      <w:r>
        <w:rPr>
          <w:rFonts w:hint="eastAsia" w:hAnsi="宋体"/>
          <w:szCs w:val="21"/>
        </w:rPr>
        <w:t>投标人应仔细阅读和检查招标文件的全部内容，如有疑问，应在投标人须知前附表规定的时间前通过书面形式要求招标人（招标代理）对招标文件予以澄清。</w:t>
      </w:r>
    </w:p>
    <w:p>
      <w:pPr>
        <w:autoSpaceDE w:val="0"/>
        <w:autoSpaceDN w:val="0"/>
        <w:adjustRightInd w:val="0"/>
        <w:spacing w:line="320" w:lineRule="exact"/>
        <w:ind w:firstLine="462" w:firstLineChars="220"/>
        <w:jc w:val="left"/>
        <w:rPr>
          <w:rFonts w:ascii="宋体" w:cs="仿宋_GB2312"/>
          <w:kern w:val="0"/>
          <w:szCs w:val="21"/>
        </w:rPr>
      </w:pPr>
      <w:r>
        <w:rPr>
          <w:rFonts w:ascii="宋体" w:hAnsi="宋体" w:cs="仿宋_GB2312"/>
          <w:kern w:val="0"/>
          <w:szCs w:val="21"/>
        </w:rPr>
        <w:t>2.2.2</w:t>
      </w:r>
      <w:r>
        <w:rPr>
          <w:rFonts w:hint="eastAsia" w:hAnsi="宋体"/>
          <w:szCs w:val="21"/>
        </w:rPr>
        <w:t>招标文件的澄清将在投标人须知前附表规定的投标截止时间</w:t>
      </w:r>
      <w:r>
        <w:rPr>
          <w:rFonts w:hint="eastAsia"/>
          <w:szCs w:val="21"/>
        </w:rPr>
        <w:t>3</w:t>
      </w:r>
      <w:r>
        <w:rPr>
          <w:rFonts w:hint="eastAsia" w:hAnsi="宋体"/>
          <w:szCs w:val="21"/>
        </w:rPr>
        <w:t>天前通过书面发布给所有购买招标文件的投标人。</w:t>
      </w:r>
      <w:r>
        <w:rPr>
          <w:rFonts w:hint="eastAsia" w:ascii="宋体" w:hAnsi="宋体" w:cs="仿宋_GB2312"/>
          <w:kern w:val="0"/>
          <w:szCs w:val="21"/>
        </w:rPr>
        <w:t>如果澄清文件发出的时间距投标截止时间不足3天，并且澄清内容影响投标文件编制的，将相应延长投标截止时间。</w:t>
      </w:r>
    </w:p>
    <w:p>
      <w:pPr>
        <w:pStyle w:val="6"/>
      </w:pPr>
      <w:bookmarkStart w:id="59" w:name="_2.3_招标文件的修改（适用于纸质招标文件）"/>
      <w:bookmarkEnd w:id="59"/>
      <w:bookmarkStart w:id="60" w:name="_2.3_招标文件的修改"/>
      <w:bookmarkEnd w:id="60"/>
      <w:bookmarkStart w:id="61" w:name="_Toc266951057"/>
      <w:r>
        <w:rPr>
          <w:rFonts w:cs="TimesNewRomanPSMT"/>
        </w:rPr>
        <w:t xml:space="preserve">2.3 </w:t>
      </w:r>
      <w:r>
        <w:rPr>
          <w:rFonts w:hint="eastAsia"/>
        </w:rPr>
        <w:t>招标文件的修改</w:t>
      </w:r>
      <w:bookmarkEnd w:id="61"/>
    </w:p>
    <w:p>
      <w:pPr>
        <w:spacing w:line="320" w:lineRule="exact"/>
        <w:ind w:firstLine="420" w:firstLineChars="200"/>
        <w:rPr>
          <w:rFonts w:ascii="宋体"/>
        </w:rPr>
      </w:pPr>
      <w:r>
        <w:rPr>
          <w:rFonts w:hint="eastAsia" w:ascii="宋体" w:hAnsi="宋体"/>
        </w:rPr>
        <w:t>2.3.1在投标截止时间 3天前，招标人可以对招标文件进行修改，同时将修改内容通过书面形式发布给所有购买招标文件的投标人。如果修改招标文件的时间距投标截止时间不足3天，并且修改内容影响投标文件编制的，将相应延长投标截止时间。</w:t>
      </w:r>
    </w:p>
    <w:p>
      <w:pPr>
        <w:pStyle w:val="5"/>
        <w:rPr>
          <w:szCs w:val="28"/>
        </w:rPr>
      </w:pPr>
      <w:bookmarkStart w:id="62" w:name="_3._投标文件"/>
      <w:bookmarkEnd w:id="62"/>
      <w:bookmarkStart w:id="63" w:name="_Toc266951058"/>
      <w:bookmarkStart w:id="64" w:name="_Toc275956104"/>
      <w:r>
        <w:rPr>
          <w:rFonts w:cs="TimesNewRomanPSMT"/>
        </w:rPr>
        <w:t xml:space="preserve">3. </w:t>
      </w:r>
      <w:r>
        <w:rPr>
          <w:rFonts w:hint="eastAsia"/>
        </w:rPr>
        <w:t>投标文件</w:t>
      </w:r>
      <w:bookmarkEnd w:id="63"/>
      <w:bookmarkEnd w:id="64"/>
    </w:p>
    <w:p>
      <w:pPr>
        <w:pStyle w:val="6"/>
      </w:pPr>
      <w:bookmarkStart w:id="65" w:name="_3.1_投标文件的组成"/>
      <w:bookmarkEnd w:id="65"/>
      <w:bookmarkStart w:id="66" w:name="_Toc266951059"/>
      <w:r>
        <w:rPr>
          <w:rFonts w:cs="TimesNewRomanPSMT"/>
        </w:rPr>
        <w:t xml:space="preserve">3.1 </w:t>
      </w:r>
      <w:r>
        <w:rPr>
          <w:rFonts w:hint="eastAsia"/>
        </w:rPr>
        <w:t>投标文件的组成</w:t>
      </w:r>
      <w:bookmarkEnd w:id="66"/>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投标文件的组成见投标人须知前附表。</w:t>
      </w:r>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七章“投标文件格式”要求提供相关证明材料的复印件作为附件的，投标人应按要求在投标文件中提供相应材料，否则不予认可。</w:t>
      </w:r>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投标人应按投标人须知前附表的规定提供相关证明材料的原件，用于现场核验，否则不予认可。</w:t>
      </w:r>
    </w:p>
    <w:p>
      <w:pPr>
        <w:pStyle w:val="6"/>
      </w:pPr>
      <w:bookmarkStart w:id="67" w:name="_3.2_投标报价"/>
      <w:bookmarkEnd w:id="67"/>
      <w:bookmarkStart w:id="68" w:name="_Toc266951060"/>
      <w:r>
        <w:rPr>
          <w:rFonts w:cs="TimesNewRomanPSMT"/>
        </w:rPr>
        <w:t xml:space="preserve">3.2 </w:t>
      </w:r>
      <w:r>
        <w:rPr>
          <w:rFonts w:hint="eastAsia"/>
        </w:rPr>
        <w:t>投标报价</w:t>
      </w:r>
      <w:bookmarkEnd w:id="68"/>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3.2.1 </w:t>
      </w:r>
      <w:r>
        <w:rPr>
          <w:rFonts w:hint="eastAsia" w:ascii="宋体" w:hAnsi="宋体" w:cs="仿宋_GB2312"/>
          <w:kern w:val="0"/>
          <w:szCs w:val="21"/>
        </w:rPr>
        <w:t>投标人应按第五章“工程量清单”的要求填写相应表格。</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3.2.2 </w:t>
      </w:r>
      <w:r>
        <w:rPr>
          <w:rFonts w:hint="eastAsia" w:ascii="宋体" w:hAnsi="宋体" w:cs="仿宋_GB2312"/>
          <w:kern w:val="0"/>
          <w:szCs w:val="21"/>
        </w:rPr>
        <w:t>投标人在投标截止时间前，若修改投标函中的投标总报价，应同时修改第五章“工程量清单”中的相应报价。此修改须符合</w:t>
      </w:r>
      <w:r>
        <w:fldChar w:fldCharType="begin"/>
      </w:r>
      <w:r>
        <w:instrText xml:space="preserve"> HYPERLINK "file:///H:\\泰州招标文件范本\\泰州市房屋建筑和市政工程施工2016.4.docx" \l "_4.3_投标文件的修改与撤回（适用于电子招标文件）" </w:instrText>
      </w:r>
      <w:r>
        <w:fldChar w:fldCharType="separate"/>
      </w:r>
      <w:r>
        <w:rPr>
          <w:rStyle w:val="21"/>
          <w:rFonts w:hint="eastAsia" w:ascii="宋体" w:hAnsi="宋体" w:cs="仿宋_GB2312"/>
          <w:color w:val="auto"/>
          <w:szCs w:val="21"/>
        </w:rPr>
        <w:t>本章第</w:t>
      </w:r>
      <w:r>
        <w:rPr>
          <w:rStyle w:val="21"/>
          <w:rFonts w:ascii="宋体" w:hAnsi="宋体" w:cs="TimesNewRomanPSMT"/>
          <w:color w:val="auto"/>
          <w:szCs w:val="21"/>
        </w:rPr>
        <w:t>4.3</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的有关要求。</w:t>
      </w:r>
    </w:p>
    <w:p>
      <w:pPr>
        <w:pStyle w:val="6"/>
      </w:pPr>
      <w:bookmarkStart w:id="69" w:name="_3.3_投标有效期"/>
      <w:bookmarkEnd w:id="69"/>
      <w:bookmarkStart w:id="70" w:name="_Toc266951061"/>
      <w:r>
        <w:rPr>
          <w:rFonts w:cs="TimesNewRomanPSMT"/>
        </w:rPr>
        <w:t xml:space="preserve">3.3 </w:t>
      </w:r>
      <w:r>
        <w:rPr>
          <w:rFonts w:hint="eastAsia"/>
        </w:rPr>
        <w:t>投标有效期</w:t>
      </w:r>
      <w:bookmarkEnd w:id="70"/>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在</w:t>
      </w:r>
      <w:r>
        <w:fldChar w:fldCharType="begin"/>
      </w:r>
      <w:r>
        <w:instrText xml:space="preserve"> HYPERLINK "file:///H:\\泰州招标文件范本\\泰州市房屋建筑和市政工程施工2016.4.docx" \l "_投标有效期"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规定的投标有效期内，投标人不得要求撤销或修改其投标文件。</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出现特殊情况需要延长投标有效期的，</w:t>
      </w:r>
      <w:r>
        <w:rPr>
          <w:rFonts w:hint="eastAsia" w:hAnsi="宋体"/>
          <w:szCs w:val="21"/>
        </w:rPr>
        <w:t>招标人通过书面形式通知所有投标人延长投标有效期</w:t>
      </w:r>
      <w:r>
        <w:rPr>
          <w:rFonts w:hint="eastAsia" w:ascii="宋体" w:hAnsi="宋体" w:cs="仿宋_GB2312"/>
          <w:kern w:val="0"/>
          <w:szCs w:val="21"/>
        </w:rPr>
        <w:t>。投标人同意延长的，应相应延长其投标保证金的有效期，但不得要求或被允许修改或撤销其投标文件；投标人拒绝延长的，其投标失效，但投标人有权收回其投标保证金及利息。</w:t>
      </w:r>
    </w:p>
    <w:p>
      <w:pPr>
        <w:pStyle w:val="6"/>
      </w:pPr>
      <w:bookmarkStart w:id="71" w:name="_3.4_投标担保"/>
      <w:bookmarkEnd w:id="71"/>
      <w:bookmarkStart w:id="72" w:name="_Toc266951062"/>
      <w:r>
        <w:rPr>
          <w:rFonts w:cs="TimesNewRomanPSMT"/>
        </w:rPr>
        <w:t xml:space="preserve">3.4 </w:t>
      </w:r>
      <w:bookmarkEnd w:id="72"/>
      <w:r>
        <w:rPr>
          <w:rFonts w:hint="eastAsia"/>
        </w:rPr>
        <w:t>投标保证金</w:t>
      </w:r>
    </w:p>
    <w:p>
      <w:r>
        <w:rPr>
          <w:rFonts w:ascii="宋体"/>
        </w:rPr>
        <w:t>3.4.1</w:t>
      </w:r>
      <w:r>
        <w:rPr>
          <w:rFonts w:hint="eastAsia"/>
        </w:rPr>
        <w:t>投标人应按投标人须知前附表规定的金额、缴纳账号、担保形式和第七章</w:t>
      </w:r>
      <w:r>
        <w:t>“</w:t>
      </w:r>
      <w:r>
        <w:rPr>
          <w:rFonts w:hint="eastAsia"/>
        </w:rPr>
        <w:t>投标文件格式</w:t>
      </w:r>
      <w:r>
        <w:t>”</w:t>
      </w:r>
      <w:r>
        <w:rPr>
          <w:rFonts w:hint="eastAsia"/>
        </w:rPr>
        <w:t>规定的投标保证金格式递交投标保证金，并作为其投标文件的组成部分。投标人应充分考虑投标保证金在途时间，确保投标保证金在投标截止时间前到达负责受理投标保证金的单位帐户（采用银行保函和保证保险的除外）。联合体投标的，其投标保证金由牵头人递交，并应符合投标人须知前附表的规定。</w:t>
      </w:r>
    </w:p>
    <w:p>
      <w:pPr>
        <w:ind w:firstLine="420" w:firstLineChars="200"/>
        <w:rPr>
          <w:rFonts w:ascii="宋体"/>
          <w:szCs w:val="21"/>
        </w:rPr>
      </w:pPr>
      <w:r>
        <w:rPr>
          <w:rFonts w:hint="eastAsia"/>
        </w:rPr>
        <w:t>投标保证金（银行电汇或网上银行支付形式）必须从投标</w:t>
      </w:r>
      <w:r>
        <w:rPr>
          <w:rFonts w:hint="eastAsia" w:ascii="宋体" w:hAnsi="宋体"/>
          <w:szCs w:val="21"/>
        </w:rPr>
        <w:t>人的基本账户转出。</w:t>
      </w:r>
    </w:p>
    <w:p>
      <w:pPr>
        <w:spacing w:line="320" w:lineRule="exact"/>
        <w:ind w:firstLine="420" w:firstLineChars="200"/>
        <w:rPr>
          <w:rFonts w:ascii="宋体"/>
          <w:szCs w:val="21"/>
        </w:rPr>
      </w:pPr>
      <w:r>
        <w:rPr>
          <w:rFonts w:ascii="宋体" w:hAnsi="宋体"/>
          <w:szCs w:val="21"/>
        </w:rPr>
        <w:t>3.4.2</w:t>
      </w:r>
      <w:r>
        <w:rPr>
          <w:rFonts w:hint="eastAsia" w:ascii="宋体" w:hAnsi="宋体"/>
          <w:szCs w:val="21"/>
        </w:rPr>
        <w:t>投标人不按本章</w:t>
      </w:r>
      <w:r>
        <w:rPr>
          <w:rFonts w:ascii="宋体" w:hAnsi="宋体"/>
          <w:szCs w:val="21"/>
        </w:rPr>
        <w:t>3.4.1</w:t>
      </w:r>
      <w:r>
        <w:rPr>
          <w:rFonts w:hint="eastAsia" w:ascii="宋体" w:hAnsi="宋体"/>
          <w:szCs w:val="21"/>
        </w:rPr>
        <w:t>项要求提交投标保证金的，评标委员会应当否决其投标。</w:t>
      </w:r>
    </w:p>
    <w:p>
      <w:pPr>
        <w:spacing w:line="320" w:lineRule="exact"/>
        <w:ind w:firstLine="420" w:firstLineChars="200"/>
      </w:pPr>
      <w:r>
        <w:rPr>
          <w:rFonts w:ascii="宋体" w:hAnsi="宋体"/>
          <w:szCs w:val="21"/>
        </w:rPr>
        <w:t>3.4.3</w:t>
      </w:r>
      <w:r>
        <w:rPr>
          <w:rFonts w:hint="eastAsia"/>
        </w:rPr>
        <w:t>对投标人交纳的投标保证金应按投标人须知前附表。</w:t>
      </w:r>
    </w:p>
    <w:p>
      <w:pPr>
        <w:spacing w:line="320" w:lineRule="exact"/>
        <w:ind w:firstLine="420" w:firstLineChars="200"/>
        <w:rPr>
          <w:rFonts w:ascii="宋体"/>
          <w:szCs w:val="21"/>
        </w:rPr>
      </w:pPr>
      <w:r>
        <w:rPr>
          <w:rFonts w:ascii="宋体" w:hAnsi="宋体"/>
          <w:szCs w:val="21"/>
        </w:rPr>
        <w:t>3.4.4</w:t>
      </w:r>
      <w:r>
        <w:rPr>
          <w:rFonts w:hint="eastAsia" w:ascii="宋体" w:hAnsi="宋体"/>
          <w:szCs w:val="21"/>
        </w:rPr>
        <w:t>有下列情况之一的，投标保证金及利息将不予退还：</w:t>
      </w:r>
    </w:p>
    <w:p>
      <w:pPr>
        <w:spacing w:line="240" w:lineRule="exac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）投标人在投标有效期内撤销或修改其投标文件的；</w:t>
      </w:r>
    </w:p>
    <w:p>
      <w:pPr>
        <w:spacing w:line="240" w:lineRule="exac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）中标人在中标通知书发出</w:t>
      </w:r>
      <w:r>
        <w:rPr>
          <w:rFonts w:ascii="宋体" w:hAnsi="宋体" w:cs="宋体"/>
          <w:szCs w:val="21"/>
        </w:rPr>
        <w:t>30</w:t>
      </w:r>
      <w:r>
        <w:rPr>
          <w:rFonts w:hint="eastAsia" w:ascii="宋体" w:hAnsi="宋体" w:cs="宋体"/>
          <w:szCs w:val="21"/>
        </w:rPr>
        <w:t>日内，无正当理由拒签合同协议书的；</w:t>
      </w:r>
    </w:p>
    <w:p>
      <w:pPr>
        <w:spacing w:line="240" w:lineRule="exac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）未按招标文件规定提交履约担保的；</w:t>
      </w:r>
    </w:p>
    <w:p>
      <w:pPr>
        <w:spacing w:line="240" w:lineRule="exac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）经核查，存在弄虚作假、借资质、挂靠、围标、串标等违法违规行为的；</w:t>
      </w:r>
    </w:p>
    <w:p>
      <w:pPr>
        <w:spacing w:line="240" w:lineRule="exac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）投标人进行虚假、恶意投诉，阻碍招投标活动的正常进行的；</w:t>
      </w:r>
    </w:p>
    <w:p>
      <w:pPr>
        <w:spacing w:line="240" w:lineRule="exac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）法律法规规定的其他情形。</w:t>
      </w:r>
    </w:p>
    <w:p>
      <w:pPr>
        <w:pStyle w:val="6"/>
        <w:rPr>
          <w:rFonts w:cs="TimesNewRomanPSMT"/>
        </w:rPr>
      </w:pPr>
      <w:bookmarkStart w:id="73" w:name="_3.5_资格审查资料（适用于已进行资格预审的）"/>
      <w:bookmarkEnd w:id="73"/>
      <w:bookmarkStart w:id="74" w:name="_3.5_资格审查资料（适用于未进行资格预审的）"/>
      <w:bookmarkEnd w:id="74"/>
      <w:r>
        <w:rPr>
          <w:rFonts w:cs="TimesNewRomanPSMT"/>
        </w:rPr>
        <w:t xml:space="preserve">3.5 </w:t>
      </w:r>
      <w:r>
        <w:rPr>
          <w:rFonts w:hint="eastAsia" w:cs="TimesNewRomanPSMT"/>
        </w:rPr>
        <w:t>资格审查资料（适用于未进行资格预审的）</w:t>
      </w:r>
    </w:p>
    <w:p>
      <w:pPr>
        <w:autoSpaceDE w:val="0"/>
        <w:autoSpaceDN w:val="0"/>
        <w:adjustRightInd w:val="0"/>
        <w:ind w:firstLine="420" w:firstLineChars="200"/>
        <w:jc w:val="left"/>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“投标人基本情况表”应附投标人营业执照副本、资质证书副本、安全生产许可证、企业基本存款账户开户许可证及年检合格的证明材料等原件的复印件。</w:t>
      </w:r>
    </w:p>
    <w:p>
      <w:pPr>
        <w:autoSpaceDE w:val="0"/>
        <w:autoSpaceDN w:val="0"/>
        <w:adjustRightInd w:val="0"/>
        <w:ind w:firstLine="420" w:firstLineChars="200"/>
        <w:jc w:val="left"/>
        <w:rPr>
          <w:rFonts w:ascii="宋体" w:cs="TimesNewRomanPSMT"/>
          <w:kern w:val="0"/>
          <w:szCs w:val="21"/>
        </w:rPr>
      </w:pPr>
      <w:r>
        <w:rPr>
          <w:rFonts w:ascii="宋体" w:hAnsi="宋体" w:cs="TimesNewRomanPSMT"/>
          <w:kern w:val="0"/>
          <w:szCs w:val="21"/>
        </w:rPr>
        <w:t xml:space="preserve">3.5.2 </w:t>
      </w:r>
      <w:r>
        <w:rPr>
          <w:rFonts w:hint="eastAsia" w:ascii="宋体" w:hAnsi="宋体" w:cs="TimesNewRomanPSMT"/>
          <w:kern w:val="0"/>
          <w:szCs w:val="21"/>
        </w:rPr>
        <w:t>“项目经理简历表”</w:t>
      </w:r>
      <w:r>
        <w:rPr>
          <w:rFonts w:hint="eastAsia" w:ascii="宋体" w:hAnsi="宋体" w:cs="仿宋_GB2312"/>
          <w:kern w:val="0"/>
          <w:szCs w:val="21"/>
        </w:rPr>
        <w:t>应附建造师注册执业资格证书、安全考核合格证书</w:t>
      </w:r>
      <w:r>
        <w:rPr>
          <w:rFonts w:ascii="宋体" w:hAnsi="宋体" w:cs="仿宋_GB2312"/>
          <w:kern w:val="0"/>
          <w:szCs w:val="21"/>
        </w:rPr>
        <w:t>(B</w:t>
      </w:r>
      <w:r>
        <w:rPr>
          <w:rFonts w:hint="eastAsia" w:ascii="宋体" w:hAnsi="宋体" w:cs="仿宋_GB2312"/>
          <w:kern w:val="0"/>
          <w:szCs w:val="21"/>
        </w:rPr>
        <w:t>证</w:t>
      </w:r>
      <w:r>
        <w:rPr>
          <w:rFonts w:ascii="宋体" w:hAnsi="宋体" w:cs="仿宋_GB2312"/>
          <w:kern w:val="0"/>
          <w:szCs w:val="21"/>
        </w:rPr>
        <w:t xml:space="preserve">) </w:t>
      </w:r>
      <w:r>
        <w:rPr>
          <w:rFonts w:hint="eastAsia" w:ascii="宋体" w:hAnsi="宋体" w:cs="仿宋_GB2312"/>
          <w:kern w:val="0"/>
          <w:szCs w:val="21"/>
        </w:rPr>
        <w:t>及年检合格的证明材料等原件的复印件。</w:t>
      </w:r>
    </w:p>
    <w:p>
      <w:pPr>
        <w:pStyle w:val="6"/>
      </w:pPr>
      <w:bookmarkStart w:id="75" w:name="_3.6_备选投标方案"/>
      <w:bookmarkEnd w:id="75"/>
      <w:bookmarkStart w:id="76" w:name="_Toc266951064"/>
      <w:r>
        <w:rPr>
          <w:rFonts w:cs="TimesNewRomanPSMT"/>
        </w:rPr>
        <w:t xml:space="preserve">3.6 </w:t>
      </w:r>
      <w:r>
        <w:rPr>
          <w:rFonts w:hint="eastAsia"/>
        </w:rPr>
        <w:t>备选投标方案</w:t>
      </w:r>
      <w:bookmarkEnd w:id="76"/>
    </w:p>
    <w:p>
      <w:pPr>
        <w:autoSpaceDE w:val="0"/>
        <w:autoSpaceDN w:val="0"/>
        <w:adjustRightInd w:val="0"/>
        <w:ind w:firstLine="420" w:firstLineChars="200"/>
        <w:jc w:val="left"/>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"_备选投标方案"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pPr>
      <w:bookmarkStart w:id="77" w:name="_3.7_投标文件的编制（适用于纸质招标文件）"/>
      <w:bookmarkEnd w:id="77"/>
      <w:bookmarkStart w:id="78" w:name="_3.7_投标文件的编制"/>
      <w:bookmarkEnd w:id="78"/>
      <w:bookmarkStart w:id="79" w:name="_Toc266951065"/>
      <w:r>
        <w:rPr>
          <w:rFonts w:cs="TimesNewRomanPSMT"/>
        </w:rPr>
        <w:t xml:space="preserve">3.7 </w:t>
      </w:r>
      <w:r>
        <w:rPr>
          <w:rFonts w:hint="eastAsia"/>
        </w:rPr>
        <w:t>投标文件的编制</w:t>
      </w:r>
      <w:bookmarkEnd w:id="79"/>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3.7.1 </w:t>
      </w:r>
      <w:r>
        <w:rPr>
          <w:rFonts w:hint="eastAsia" w:ascii="宋体" w:hAnsi="宋体" w:cs="仿宋_GB2312"/>
          <w:kern w:val="0"/>
          <w:szCs w:val="21"/>
        </w:rPr>
        <w:t>投标文件应按第五章“</w:t>
      </w:r>
      <w:r>
        <w:fldChar w:fldCharType="begin"/>
      </w:r>
      <w:r>
        <w:instrText xml:space="preserve"> HYPERLINK "file:///H:\\泰州招标文件范本\\泰州市房屋建筑和市政工程施工2016.4.docx" \l "_第八章__投标文件格式" </w:instrText>
      </w:r>
      <w:r>
        <w:fldChar w:fldCharType="separate"/>
      </w:r>
      <w:r>
        <w:rPr>
          <w:rStyle w:val="21"/>
          <w:rFonts w:hint="eastAsia" w:ascii="宋体" w:hAnsi="宋体" w:cs="仿宋_GB2312"/>
          <w:color w:val="auto"/>
          <w:szCs w:val="21"/>
        </w:rPr>
        <w:t>投标文件格式</w:t>
      </w:r>
      <w:r>
        <w:rPr>
          <w:rStyle w:val="21"/>
          <w:rFonts w:hint="eastAsia" w:ascii="宋体" w:hAnsi="宋体" w:cs="仿宋_GB2312"/>
          <w:color w:val="auto"/>
          <w:szCs w:val="21"/>
        </w:rPr>
        <w:fldChar w:fldCharType="end"/>
      </w:r>
      <w:r>
        <w:rPr>
          <w:rFonts w:hint="eastAsia" w:ascii="宋体" w:hAnsi="宋体" w:cs="仿宋_GB2312"/>
          <w:kern w:val="0"/>
          <w:szCs w:val="21"/>
        </w:rPr>
        <w:t>”进行编写，如有必要，可以增加附页，作为投标文件的组成部分。其中，投标函附录在满足招标文件实质性要求的基础上，可以提出比招标文件要求更有利于招标人的承诺。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3.7.2 </w:t>
      </w:r>
      <w:r>
        <w:rPr>
          <w:rFonts w:hint="eastAsia" w:ascii="宋体" w:hAnsi="宋体" w:cs="仿宋_GB2312"/>
          <w:kern w:val="0"/>
          <w:szCs w:val="21"/>
        </w:rPr>
        <w:t>投标文件必须对招标文件有关工期、投标有效期、质量要求、技术标准和要求、招标范围等实质性内容作出响应。</w:t>
      </w:r>
    </w:p>
    <w:p>
      <w:pPr>
        <w:autoSpaceDE w:val="0"/>
        <w:autoSpaceDN w:val="0"/>
        <w:adjustRightInd w:val="0"/>
        <w:spacing w:line="320" w:lineRule="exact"/>
        <w:ind w:firstLine="420" w:firstLineChars="200"/>
        <w:jc w:val="left"/>
        <w:rPr>
          <w:rFonts w:ascii="宋体" w:hAnsi="宋体" w:cs="仿宋_GB2312"/>
          <w:kern w:val="0"/>
          <w:szCs w:val="21"/>
        </w:rPr>
      </w:pPr>
      <w:r>
        <w:rPr>
          <w:rFonts w:hint="eastAsia" w:ascii="宋体" w:hAnsi="宋体" w:cs="仿宋_GB2312"/>
          <w:kern w:val="0"/>
          <w:szCs w:val="21"/>
        </w:rPr>
        <w:t>3.7.3 投标文件必须编制一份“正本”和“二份”副本，并在投标文件封面上应清楚的标记“正本”或“副本”的字样。正本和副本如有不一致之处，以正本为准。</w:t>
      </w:r>
    </w:p>
    <w:p>
      <w:pPr>
        <w:autoSpaceDE w:val="0"/>
        <w:autoSpaceDN w:val="0"/>
        <w:adjustRightInd w:val="0"/>
        <w:spacing w:line="320" w:lineRule="exact"/>
        <w:ind w:firstLine="420" w:firstLineChars="200"/>
        <w:jc w:val="left"/>
        <w:rPr>
          <w:rFonts w:hAnsi="宋体"/>
          <w:szCs w:val="21"/>
        </w:rPr>
      </w:pPr>
      <w:r>
        <w:rPr>
          <w:rFonts w:hint="eastAsia" w:ascii="宋体" w:hAnsi="宋体" w:cs="仿宋_GB2312"/>
          <w:kern w:val="0"/>
          <w:szCs w:val="21"/>
        </w:rPr>
        <w:t>3.7.4 全套投标文件应无修改和行间插字。如有修改，必须保证文件清晰整洁，并在修改处加盖投标人法定代表人或其委托代理人的印章。</w:t>
      </w:r>
      <w:r>
        <w:rPr>
          <w:rFonts w:hint="eastAsia" w:hAnsi="宋体"/>
          <w:szCs w:val="21"/>
        </w:rPr>
        <w:t>委托代理人签字的，投标文件应附法定代表人签署的授权委托书。签字或盖章的具体要求见</w:t>
      </w:r>
      <w:r>
        <w:fldChar w:fldCharType="begin"/>
      </w:r>
      <w:r>
        <w:instrText xml:space="preserve"> HYPERLINK \l "_投标文件的编制" </w:instrText>
      </w:r>
      <w:r>
        <w:fldChar w:fldCharType="separate"/>
      </w:r>
      <w:r>
        <w:rPr>
          <w:rFonts w:hint="eastAsia"/>
          <w:szCs w:val="21"/>
        </w:rPr>
        <w:t>投标人须知前附表</w:t>
      </w:r>
      <w:r>
        <w:rPr>
          <w:rFonts w:hint="eastAsia"/>
          <w:szCs w:val="21"/>
        </w:rPr>
        <w:fldChar w:fldCharType="end"/>
      </w:r>
      <w:r>
        <w:rPr>
          <w:rFonts w:hint="eastAsia" w:hAnsi="宋体"/>
          <w:szCs w:val="21"/>
        </w:rPr>
        <w:t>。</w:t>
      </w:r>
    </w:p>
    <w:p>
      <w:pPr>
        <w:pStyle w:val="5"/>
        <w:spacing w:line="320" w:lineRule="exact"/>
        <w:rPr>
          <w:rFonts w:cs="黑体"/>
        </w:rPr>
      </w:pPr>
      <w:bookmarkStart w:id="80" w:name="_4._投标"/>
      <w:bookmarkEnd w:id="80"/>
      <w:bookmarkStart w:id="81" w:name="_Toc266951066"/>
      <w:bookmarkStart w:id="82" w:name="_Toc275956105"/>
      <w:r>
        <w:t xml:space="preserve">4. </w:t>
      </w:r>
      <w:r>
        <w:rPr>
          <w:rFonts w:hint="eastAsia" w:cs="黑体"/>
        </w:rPr>
        <w:t>投标</w:t>
      </w:r>
      <w:bookmarkEnd w:id="81"/>
      <w:bookmarkEnd w:id="82"/>
    </w:p>
    <w:p>
      <w:pPr>
        <w:pStyle w:val="6"/>
      </w:pPr>
      <w:bookmarkStart w:id="83" w:name="_4.1_投标文件的密封和标记（适用于电子投标文件）"/>
      <w:bookmarkEnd w:id="83"/>
      <w:bookmarkStart w:id="84" w:name="_4.1_投标文件的密封和标记（适用于纸质投标文件）"/>
      <w:bookmarkEnd w:id="84"/>
      <w:bookmarkStart w:id="85" w:name="_Toc266951068"/>
      <w:r>
        <w:rPr>
          <w:rFonts w:cs="TimesNewRomanPSMT"/>
        </w:rPr>
        <w:t xml:space="preserve">4.1 </w:t>
      </w:r>
      <w:r>
        <w:rPr>
          <w:rFonts w:hint="eastAsia"/>
        </w:rPr>
        <w:t>投标文件的密封和标记</w:t>
      </w:r>
      <w:bookmarkEnd w:id="85"/>
    </w:p>
    <w:p>
      <w:pPr>
        <w:autoSpaceDE w:val="0"/>
        <w:autoSpaceDN w:val="0"/>
        <w:adjustRightInd w:val="0"/>
        <w:ind w:firstLine="315" w:firstLineChars="150"/>
        <w:jc w:val="left"/>
        <w:rPr>
          <w:rFonts w:ascii="宋体" w:hAnsi="宋体" w:cs="仿宋_GB2312"/>
          <w:kern w:val="0"/>
          <w:szCs w:val="21"/>
        </w:rPr>
      </w:pPr>
      <w:r>
        <w:rPr>
          <w:rFonts w:ascii="宋体" w:hAnsi="宋体" w:cs="仿宋_GB2312"/>
          <w:kern w:val="0"/>
          <w:szCs w:val="21"/>
        </w:rPr>
        <w:t xml:space="preserve">4.1.1 </w:t>
      </w:r>
      <w:r>
        <w:rPr>
          <w:rFonts w:hint="eastAsia" w:ascii="宋体" w:hAnsi="宋体" w:cs="仿宋_GB2312"/>
          <w:kern w:val="0"/>
          <w:szCs w:val="21"/>
        </w:rPr>
        <w:t>投标文件必须密封封装，并在封袋上注明投标人名称、工程名称及袋内所装材料目录。封袋上必须加盖投标人法人章及其法定代表人或其委托的代理人的印章。</w:t>
      </w:r>
    </w:p>
    <w:p>
      <w:pPr>
        <w:pStyle w:val="6"/>
      </w:pPr>
      <w:bookmarkStart w:id="86" w:name="_4.2_投标文件的递交（适用于纸质投标文件）"/>
      <w:bookmarkEnd w:id="86"/>
      <w:bookmarkStart w:id="87" w:name="_Toc266951070"/>
      <w:r>
        <w:rPr>
          <w:rFonts w:cs="TimesNewRomanPSMT"/>
        </w:rPr>
        <w:t xml:space="preserve">4.2 </w:t>
      </w:r>
      <w:r>
        <w:rPr>
          <w:rFonts w:hint="eastAsia"/>
        </w:rPr>
        <w:t>投标文件的递交</w:t>
      </w:r>
      <w:bookmarkEnd w:id="87"/>
    </w:p>
    <w:p>
      <w:pPr>
        <w:ind w:firstLine="315" w:firstLineChars="150"/>
        <w:rPr>
          <w:rFonts w:ascii="宋体"/>
        </w:rPr>
      </w:pPr>
      <w:r>
        <w:rPr>
          <w:rFonts w:ascii="宋体" w:hAnsi="宋体"/>
        </w:rPr>
        <w:t>4.2.1</w:t>
      </w:r>
      <w:r>
        <w:rPr>
          <w:rFonts w:hint="eastAsia" w:hAnsi="宋体"/>
          <w:szCs w:val="21"/>
        </w:rPr>
        <w:t>投标人应在本章第</w:t>
      </w:r>
      <w:r>
        <w:rPr>
          <w:rFonts w:hAnsi="宋体"/>
          <w:szCs w:val="21"/>
        </w:rPr>
        <w:t xml:space="preserve">2.2.2 </w:t>
      </w:r>
      <w:r>
        <w:rPr>
          <w:rFonts w:hint="eastAsia" w:hAnsi="宋体"/>
          <w:szCs w:val="21"/>
        </w:rPr>
        <w:t>项规定的投标截止时间前，递交投标文件</w:t>
      </w:r>
      <w:r>
        <w:rPr>
          <w:rFonts w:hint="eastAsia" w:ascii="宋体" w:hAnsi="宋体"/>
        </w:rPr>
        <w:t>；未在投标截止时间前送达的投标文件视为逾期送达。</w:t>
      </w:r>
    </w:p>
    <w:p>
      <w:pPr>
        <w:ind w:firstLine="315" w:firstLineChars="150"/>
        <w:rPr>
          <w:rFonts w:ascii="宋体"/>
        </w:rPr>
      </w:pPr>
      <w:r>
        <w:rPr>
          <w:rFonts w:ascii="宋体" w:hAnsi="宋体"/>
        </w:rPr>
        <w:t xml:space="preserve">4.2.2 </w:t>
      </w:r>
      <w:r>
        <w:rPr>
          <w:rFonts w:hint="eastAsia" w:ascii="宋体" w:hAnsi="宋体"/>
        </w:rPr>
        <w:t>投标人递交投标文件的形式及地点：见</w:t>
      </w:r>
      <w:r>
        <w:fldChar w:fldCharType="begin"/>
      </w:r>
      <w:r>
        <w:instrText xml:space="preserve"> HYPERLINK "file:///H:\\泰州招标文件范本\\泰州市房屋建筑和市政工程施工2016.4.docx" \l "_投标文件的递交" </w:instrText>
      </w:r>
      <w:r>
        <w:fldChar w:fldCharType="separate"/>
      </w:r>
      <w:r>
        <w:rPr>
          <w:rStyle w:val="21"/>
          <w:rFonts w:hint="eastAsia" w:ascii="宋体" w:hAnsi="宋体"/>
          <w:color w:val="auto"/>
        </w:rPr>
        <w:t>投标人须知前附表</w:t>
      </w:r>
      <w:r>
        <w:rPr>
          <w:rStyle w:val="21"/>
          <w:rFonts w:hint="eastAsia" w:ascii="宋体" w:hAnsi="宋体"/>
          <w:color w:val="auto"/>
        </w:rPr>
        <w:fldChar w:fldCharType="end"/>
      </w:r>
      <w:r>
        <w:rPr>
          <w:rFonts w:hint="eastAsia" w:ascii="宋体" w:hAnsi="宋体"/>
        </w:rPr>
        <w:t>。</w:t>
      </w:r>
    </w:p>
    <w:p>
      <w:pPr>
        <w:ind w:firstLine="315" w:firstLineChars="150"/>
        <w:rPr>
          <w:rFonts w:ascii="宋体"/>
        </w:rPr>
      </w:pPr>
      <w:r>
        <w:rPr>
          <w:rFonts w:ascii="宋体" w:hAnsi="宋体"/>
        </w:rPr>
        <w:t>4.2.</w:t>
      </w:r>
      <w:r>
        <w:rPr>
          <w:rFonts w:hint="eastAsia" w:ascii="宋体" w:hAnsi="宋体"/>
        </w:rPr>
        <w:t>3逾期或未按规定方式递交的投标文件，招标人不予受理或作无效投标文件处理。</w:t>
      </w:r>
    </w:p>
    <w:p>
      <w:pPr>
        <w:pStyle w:val="6"/>
      </w:pPr>
      <w:bookmarkStart w:id="88" w:name="_4.3_投标文件的修改与撤回（适用于电子招标文件）"/>
      <w:bookmarkEnd w:id="88"/>
      <w:bookmarkStart w:id="89" w:name="_4.3_投标文件的修改与撤回（适用于纸质投标文件）"/>
      <w:bookmarkEnd w:id="89"/>
      <w:bookmarkStart w:id="90" w:name="_Toc266951072"/>
      <w:r>
        <w:rPr>
          <w:rFonts w:cs="TimesNewRomanPSMT"/>
        </w:rPr>
        <w:t xml:space="preserve">4.3 </w:t>
      </w:r>
      <w:r>
        <w:rPr>
          <w:rFonts w:hint="eastAsia"/>
        </w:rPr>
        <w:t>投标文件的修改与撤回</w:t>
      </w:r>
      <w:bookmarkEnd w:id="90"/>
    </w:p>
    <w:p>
      <w:pPr>
        <w:spacing w:line="360" w:lineRule="exact"/>
        <w:ind w:firstLine="210" w:firstLineChars="100"/>
        <w:rPr>
          <w:rFonts w:ascii="宋体"/>
        </w:rPr>
      </w:pPr>
      <w:r>
        <w:rPr>
          <w:rFonts w:ascii="宋体" w:hAnsi="宋体"/>
        </w:rPr>
        <w:t xml:space="preserve"> 4.3.1 </w:t>
      </w:r>
      <w:r>
        <w:rPr>
          <w:rFonts w:hint="eastAsia" w:ascii="宋体" w:hAnsi="宋体"/>
        </w:rPr>
        <w:t>在本章第</w:t>
      </w:r>
      <w:r>
        <w:rPr>
          <w:rFonts w:ascii="宋体" w:hAnsi="宋体"/>
        </w:rPr>
        <w:t xml:space="preserve">2.2.2 </w:t>
      </w:r>
      <w:r>
        <w:rPr>
          <w:rFonts w:hint="eastAsia" w:ascii="宋体" w:hAnsi="宋体"/>
        </w:rPr>
        <w:t>项规定的投标截止时间前，投标人可以修改或撤回已递交的投标文件，最终投标文件以投标截止时间前递交的最后一份投标文件为准。</w:t>
      </w:r>
    </w:p>
    <w:p>
      <w:pPr>
        <w:spacing w:line="360" w:lineRule="exact"/>
        <w:ind w:firstLine="315" w:firstLineChars="150"/>
        <w:rPr>
          <w:rFonts w:ascii="宋体"/>
        </w:rPr>
      </w:pPr>
      <w:r>
        <w:rPr>
          <w:rFonts w:ascii="宋体" w:hAnsi="宋体"/>
        </w:rPr>
        <w:t xml:space="preserve">4.3.2 </w:t>
      </w:r>
      <w:r>
        <w:rPr>
          <w:rFonts w:hint="eastAsia" w:ascii="宋体" w:hAnsi="宋体"/>
        </w:rPr>
        <w:t>修改的内容为投标文件的组成部分。</w:t>
      </w:r>
    </w:p>
    <w:p>
      <w:pPr>
        <w:pStyle w:val="5"/>
        <w:rPr>
          <w:rFonts w:cs="黑体"/>
        </w:rPr>
      </w:pPr>
      <w:bookmarkStart w:id="91" w:name="_Toc275956106"/>
      <w:bookmarkStart w:id="92" w:name="_Toc266951073"/>
      <w:r>
        <w:t xml:space="preserve">5. </w:t>
      </w:r>
      <w:r>
        <w:rPr>
          <w:rFonts w:hint="eastAsia" w:cs="黑体"/>
        </w:rPr>
        <w:t>开标</w:t>
      </w:r>
      <w:bookmarkEnd w:id="91"/>
      <w:bookmarkEnd w:id="92"/>
    </w:p>
    <w:p>
      <w:pPr>
        <w:pStyle w:val="6"/>
        <w:rPr>
          <w:rFonts w:ascii="黑体" w:hAnsi="黑体" w:cs="黑体"/>
        </w:rPr>
      </w:pPr>
      <w:r>
        <w:rPr>
          <w:rFonts w:hint="eastAsia" w:ascii="黑体" w:hAnsi="黑体" w:cs="黑体"/>
        </w:rPr>
        <w:t>5.1 开标时间和地点</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招标人应按照</w:t>
      </w:r>
      <w:r>
        <w:fldChar w:fldCharType="begin"/>
      </w:r>
      <w:r>
        <w:instrText xml:space="preserve"> HYPERLINK "file:///H:\\泰州招标文件范本\\泰州市房屋建筑和市政工程施工2016.4.docx" \l "_2.2_1" </w:instrText>
      </w:r>
      <w:r>
        <w:fldChar w:fldCharType="separate"/>
      </w:r>
      <w:r>
        <w:rPr>
          <w:rStyle w:val="21"/>
          <w:rFonts w:hint="eastAsia" w:ascii="宋体" w:hAnsi="宋体"/>
          <w:color w:val="auto"/>
        </w:rPr>
        <w:t>本章第</w:t>
      </w:r>
      <w:r>
        <w:rPr>
          <w:rStyle w:val="21"/>
          <w:rFonts w:ascii="宋体" w:hAnsi="宋体"/>
          <w:color w:val="auto"/>
        </w:rPr>
        <w:t>2.2.2</w:t>
      </w:r>
      <w:r>
        <w:rPr>
          <w:rStyle w:val="21"/>
          <w:rFonts w:hint="eastAsia" w:ascii="宋体" w:hAnsi="宋体"/>
          <w:color w:val="auto"/>
        </w:rPr>
        <w:t>项</w:t>
      </w:r>
      <w:r>
        <w:rPr>
          <w:rStyle w:val="21"/>
          <w:rFonts w:hint="eastAsia" w:ascii="宋体" w:hAnsi="宋体"/>
          <w:color w:val="auto"/>
        </w:rPr>
        <w:fldChar w:fldCharType="end"/>
      </w:r>
      <w:r>
        <w:rPr>
          <w:rFonts w:hint="eastAsia" w:ascii="宋体" w:hAnsi="宋体"/>
        </w:rPr>
        <w:t>规定的投标截止时间（开标时间）和</w:t>
      </w:r>
      <w:r>
        <w:fldChar w:fldCharType="begin"/>
      </w:r>
      <w:r>
        <w:instrText xml:space="preserve"> HYPERLINK "file:///H:\\泰州招标文件范本\\泰州市房屋建筑和市政工程施工2016.4.docx" \l "_开标时间和地点"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规定的地点公开开标，并邀请所有投标人准时参加。</w:t>
      </w:r>
    </w:p>
    <w:p>
      <w:pPr>
        <w:spacing w:line="360" w:lineRule="exact"/>
      </w:pPr>
      <w:r>
        <w:t xml:space="preserve">5.1.1 </w:t>
      </w:r>
      <w:r>
        <w:rPr>
          <w:rFonts w:hint="eastAsia"/>
          <w:b/>
          <w:bCs/>
        </w:rPr>
        <w:t>投标人参加开标会的要求</w:t>
      </w:r>
      <w:r>
        <w:rPr>
          <w:rFonts w:hint="eastAsia"/>
        </w:rPr>
        <w:t>：</w:t>
      </w:r>
    </w:p>
    <w:p>
      <w:pPr>
        <w:spacing w:line="360" w:lineRule="exact"/>
        <w:ind w:firstLine="420" w:firstLineChars="200"/>
      </w:pPr>
      <w:r>
        <w:rPr>
          <w:rFonts w:hint="eastAsia"/>
        </w:rPr>
        <w:t>详见</w:t>
      </w:r>
      <w:r>
        <w:t>投标人</w:t>
      </w:r>
      <w:r>
        <w:rPr>
          <w:rFonts w:hint="eastAsia"/>
        </w:rPr>
        <w:t>须知</w:t>
      </w:r>
      <w:r>
        <w:t>前附表。</w:t>
      </w:r>
    </w:p>
    <w:p>
      <w:pPr>
        <w:pStyle w:val="6"/>
        <w:rPr>
          <w:rFonts w:ascii="黑体" w:hAnsi="黑体" w:cs="黑体"/>
          <w:szCs w:val="24"/>
        </w:rPr>
      </w:pPr>
      <w:bookmarkStart w:id="93" w:name="_5.2_开标程序（适用于纸质招标文件）"/>
      <w:bookmarkEnd w:id="93"/>
      <w:bookmarkStart w:id="94" w:name="_5.2_开标程序（适用于网络开标）"/>
      <w:bookmarkEnd w:id="94"/>
      <w:bookmarkStart w:id="95" w:name="_Toc226189901"/>
      <w:bookmarkStart w:id="96" w:name="_Toc152045561"/>
      <w:bookmarkStart w:id="97" w:name="_Toc144974529"/>
      <w:bookmarkStart w:id="98" w:name="_Toc266951076"/>
      <w:bookmarkStart w:id="99" w:name="_Toc152042337"/>
      <w:r>
        <w:rPr>
          <w:rFonts w:hint="eastAsia" w:ascii="黑体" w:hAnsi="黑体" w:cs="黑体"/>
          <w:szCs w:val="24"/>
        </w:rPr>
        <w:t>5.2开标程序</w:t>
      </w:r>
      <w:bookmarkEnd w:id="95"/>
      <w:bookmarkEnd w:id="96"/>
      <w:bookmarkEnd w:id="97"/>
      <w:bookmarkEnd w:id="98"/>
      <w:bookmarkEnd w:id="99"/>
    </w:p>
    <w:p>
      <w:pPr>
        <w:spacing w:line="320" w:lineRule="exact"/>
        <w:ind w:firstLine="420" w:firstLineChars="200"/>
      </w:pPr>
      <w:r>
        <w:t>5.2.1</w:t>
      </w:r>
      <w:r>
        <w:rPr>
          <w:rFonts w:hint="eastAsia"/>
        </w:rPr>
        <w:t>招标人在规定的时间内，按下列程序进行开标：</w:t>
      </w:r>
    </w:p>
    <w:p>
      <w:pPr>
        <w:spacing w:line="320" w:lineRule="exact"/>
        <w:ind w:firstLine="315" w:firstLineChars="150"/>
      </w:pPr>
      <w:r>
        <w:rPr>
          <w:rFonts w:hint="eastAsia"/>
        </w:rPr>
        <w:t>（</w:t>
      </w:r>
      <w:r>
        <w:t>1</w:t>
      </w:r>
      <w:r>
        <w:rPr>
          <w:rFonts w:hint="eastAsia"/>
        </w:rPr>
        <w:t>）宣布开标纪律；</w:t>
      </w:r>
    </w:p>
    <w:p>
      <w:pPr>
        <w:spacing w:line="320" w:lineRule="exact"/>
        <w:ind w:firstLine="315" w:firstLineChars="150"/>
      </w:pPr>
      <w:r>
        <w:rPr>
          <w:rFonts w:hint="eastAsia"/>
        </w:rPr>
        <w:t>（</w:t>
      </w:r>
      <w:r>
        <w:t>2</w:t>
      </w:r>
      <w:r>
        <w:rPr>
          <w:rFonts w:hint="eastAsia"/>
        </w:rPr>
        <w:t>）宣布开标人、唱标人、记录人、监标人等有关人员姓名；</w:t>
      </w:r>
    </w:p>
    <w:p>
      <w:pPr>
        <w:spacing w:line="320" w:lineRule="exact"/>
        <w:ind w:firstLine="315" w:firstLineChars="150"/>
      </w:pPr>
      <w:r>
        <w:rPr>
          <w:rFonts w:hint="eastAsia"/>
        </w:rPr>
        <w:t>（</w:t>
      </w:r>
      <w:r>
        <w:t>3</w:t>
      </w:r>
      <w:r>
        <w:rPr>
          <w:rFonts w:hint="eastAsia"/>
        </w:rPr>
        <w:t>）核验投标人代表的身份后，公布投标人名称及</w:t>
      </w:r>
      <w:r>
        <w:rPr>
          <w:rFonts w:hint="eastAsia" w:hAnsi="宋体"/>
          <w:szCs w:val="21"/>
        </w:rPr>
        <w:t>投标人代表参加开标会签到情况</w:t>
      </w:r>
      <w:r>
        <w:rPr>
          <w:rFonts w:hint="eastAsia"/>
        </w:rPr>
        <w:t>；</w:t>
      </w:r>
    </w:p>
    <w:p>
      <w:pPr>
        <w:spacing w:line="320" w:lineRule="exact"/>
        <w:ind w:firstLine="315" w:firstLineChars="150"/>
        <w:rPr>
          <w:rFonts w:hAnsi="宋体"/>
          <w:szCs w:val="21"/>
        </w:rPr>
      </w:pPr>
      <w:r>
        <w:rPr>
          <w:rFonts w:hint="eastAsia"/>
          <w:szCs w:val="21"/>
        </w:rPr>
        <w:t>（</w:t>
      </w:r>
      <w:r>
        <w:rPr>
          <w:szCs w:val="21"/>
        </w:rPr>
        <w:t>4</w:t>
      </w:r>
      <w:r>
        <w:rPr>
          <w:rFonts w:hint="eastAsia"/>
          <w:szCs w:val="21"/>
        </w:rPr>
        <w:t>）</w:t>
      </w:r>
      <w:r>
        <w:rPr>
          <w:rFonts w:hint="eastAsia" w:hAnsi="宋体"/>
          <w:szCs w:val="21"/>
        </w:rPr>
        <w:t>检查并确认投标文件的密封是否完好并符合招标文件的要求；</w:t>
      </w:r>
    </w:p>
    <w:p>
      <w:pPr>
        <w:spacing w:line="320" w:lineRule="exact"/>
        <w:ind w:left="525" w:leftChars="200" w:hanging="105" w:hangingChars="50"/>
        <w:rPr>
          <w:rFonts w:ascii="宋体"/>
        </w:rPr>
      </w:pPr>
      <w:r>
        <w:rPr>
          <w:rFonts w:hint="eastAsia" w:ascii="宋体" w:hAnsi="宋体"/>
          <w:szCs w:val="21"/>
        </w:rPr>
        <w:t>（5）</w:t>
      </w:r>
      <w:r>
        <w:rPr>
          <w:rFonts w:hint="eastAsia" w:ascii="宋体" w:hAnsi="宋体"/>
        </w:rPr>
        <w:t>公布投标人名称、标段名称、投标保证金的递交情况、投标报价、质量目标、工期及其他内容；</w:t>
      </w:r>
    </w:p>
    <w:p>
      <w:pPr>
        <w:spacing w:line="320" w:lineRule="exact"/>
        <w:ind w:firstLine="315" w:firstLineChars="150"/>
        <w:rPr>
          <w:rFonts w:hAnsi="宋体"/>
          <w:szCs w:val="21"/>
        </w:rPr>
      </w:pPr>
      <w:r>
        <w:rPr>
          <w:rFonts w:hint="eastAsia"/>
          <w:szCs w:val="21"/>
        </w:rPr>
        <w:t>（6</w:t>
      </w:r>
      <w:r>
        <w:rPr>
          <w:rFonts w:hint="eastAsia" w:hAnsi="宋体"/>
          <w:szCs w:val="21"/>
        </w:rPr>
        <w:t>）开标现场异议处理并制作记录；</w:t>
      </w:r>
    </w:p>
    <w:p>
      <w:pPr>
        <w:spacing w:line="320" w:lineRule="exact"/>
        <w:ind w:firstLine="315" w:firstLineChars="150"/>
      </w:pPr>
      <w:r>
        <w:rPr>
          <w:rFonts w:hint="eastAsia" w:hAnsi="宋体"/>
          <w:szCs w:val="21"/>
        </w:rPr>
        <w:t>（7）开标结束。</w:t>
      </w:r>
    </w:p>
    <w:p>
      <w:pPr>
        <w:pStyle w:val="6"/>
        <w:spacing w:line="320" w:lineRule="exact"/>
        <w:rPr>
          <w:rFonts w:ascii="黑体" w:hAnsi="黑体" w:cs="黑体"/>
        </w:rPr>
      </w:pPr>
      <w:bookmarkStart w:id="100" w:name="_5.3_应急措施"/>
      <w:bookmarkEnd w:id="100"/>
      <w:bookmarkStart w:id="101" w:name="_5.3_开标时出现下列情况的，招标人将拒绝其投标。"/>
      <w:bookmarkEnd w:id="101"/>
      <w:r>
        <w:rPr>
          <w:rFonts w:hint="eastAsia" w:ascii="黑体" w:hAnsi="黑体" w:cs="黑体"/>
        </w:rPr>
        <w:t>5.3开标异议</w:t>
      </w:r>
    </w:p>
    <w:p>
      <w:pPr>
        <w:spacing w:line="320" w:lineRule="exact"/>
        <w:ind w:firstLine="315" w:firstLineChars="150"/>
      </w:pPr>
      <w:r>
        <w:rPr>
          <w:rFonts w:hint="eastAsia"/>
        </w:rPr>
        <w:t>5.3.1投标人对开标有异议的，应当在开标现场提出，招标人当场作出答复，并制作记录。</w:t>
      </w:r>
    </w:p>
    <w:p>
      <w:pPr>
        <w:spacing w:line="320" w:lineRule="exact"/>
        <w:ind w:firstLine="315" w:firstLineChars="150"/>
      </w:pPr>
      <w:r>
        <w:rPr>
          <w:rFonts w:hint="eastAsia"/>
        </w:rPr>
        <w:t>本处所称异议是指投标人在开标过程中对投标文件提交、投标截止时间、开标程序、开标记录以及投标人和招标人或者投标人相互之间存在利益冲突的情形等提出的质疑。</w:t>
      </w:r>
    </w:p>
    <w:p>
      <w:pPr>
        <w:spacing w:line="320" w:lineRule="exact"/>
        <w:ind w:firstLine="315" w:firstLineChars="150"/>
      </w:pPr>
      <w:r>
        <w:rPr>
          <w:rFonts w:hint="eastAsia"/>
        </w:rPr>
        <w:t xml:space="preserve">5.3.2 </w:t>
      </w:r>
      <w:r>
        <w:t>投标人异议成立的，招标人将及时采取纠正措施，或者提交评标委员会评审确认；投标人异议不成立的，招标人将当场给予解释说明。</w:t>
      </w:r>
    </w:p>
    <w:p>
      <w:pPr>
        <w:pStyle w:val="5"/>
        <w:spacing w:line="320" w:lineRule="exact"/>
        <w:rPr>
          <w:rFonts w:cs="黑体"/>
        </w:rPr>
      </w:pPr>
      <w:bookmarkStart w:id="102" w:name="_5.4_开标时出现下列情况的，招标人将拒绝其投标。"/>
      <w:bookmarkEnd w:id="102"/>
      <w:bookmarkStart w:id="103" w:name="_Toc275956107"/>
      <w:bookmarkStart w:id="104" w:name="_Toc266951079"/>
      <w:r>
        <w:t xml:space="preserve">6. </w:t>
      </w:r>
      <w:r>
        <w:rPr>
          <w:rFonts w:hint="eastAsia" w:cs="黑体"/>
        </w:rPr>
        <w:t>评标</w:t>
      </w:r>
      <w:bookmarkEnd w:id="103"/>
      <w:bookmarkEnd w:id="104"/>
    </w:p>
    <w:p>
      <w:pPr>
        <w:pStyle w:val="6"/>
        <w:spacing w:line="320" w:lineRule="exact"/>
      </w:pPr>
      <w:bookmarkStart w:id="105" w:name="_6.1_评标委员会"/>
      <w:bookmarkEnd w:id="105"/>
      <w:bookmarkStart w:id="106" w:name="_Toc266951080"/>
      <w:r>
        <w:rPr>
          <w:rFonts w:cs="TimesNewRomanPSMT"/>
        </w:rPr>
        <w:t xml:space="preserve">6.1 </w:t>
      </w:r>
      <w:r>
        <w:rPr>
          <w:rFonts w:hint="eastAsia"/>
        </w:rPr>
        <w:t>评标委员会</w:t>
      </w:r>
      <w:bookmarkEnd w:id="106"/>
    </w:p>
    <w:p>
      <w:pPr>
        <w:spacing w:line="420" w:lineRule="exact"/>
        <w:ind w:firstLine="210" w:firstLineChars="100"/>
        <w:rPr>
          <w:szCs w:val="21"/>
        </w:rPr>
      </w:pPr>
      <w:r>
        <w:rPr>
          <w:rFonts w:ascii="宋体" w:hAnsi="宋体" w:cs="TimesNewRomanPSMT"/>
          <w:kern w:val="0"/>
          <w:szCs w:val="21"/>
        </w:rPr>
        <w:t xml:space="preserve">6.1.1 </w:t>
      </w:r>
      <w:r>
        <w:rPr>
          <w:rFonts w:hint="eastAsia" w:ascii="宋体" w:hAnsi="宋体" w:cs="仿宋_GB2312"/>
          <w:kern w:val="0"/>
          <w:szCs w:val="21"/>
        </w:rPr>
        <w:t>评标由招标人依法组建的评标委员会负责。</w:t>
      </w:r>
      <w:r>
        <w:rPr>
          <w:rFonts w:hint="eastAsia" w:hAnsi="宋体"/>
          <w:szCs w:val="21"/>
        </w:rPr>
        <w:t>评标委员会成员人数以及技术、经济等方面专家的确定方式见投标人须知前附表。</w:t>
      </w:r>
    </w:p>
    <w:p>
      <w:pPr>
        <w:autoSpaceDE w:val="0"/>
        <w:autoSpaceDN w:val="0"/>
        <w:adjustRightInd w:val="0"/>
        <w:spacing w:line="320" w:lineRule="exact"/>
        <w:ind w:firstLine="315" w:firstLineChars="150"/>
        <w:jc w:val="left"/>
        <w:rPr>
          <w:rFonts w:ascii="宋体" w:cs="仿宋_GB2312"/>
          <w:kern w:val="0"/>
          <w:szCs w:val="21"/>
        </w:rPr>
      </w:pPr>
      <w:r>
        <w:rPr>
          <w:rFonts w:ascii="宋体" w:hAnsi="宋体" w:cs="TimesNewRomanPSMT"/>
          <w:kern w:val="0"/>
          <w:szCs w:val="21"/>
        </w:rPr>
        <w:t xml:space="preserve">6.1.2 </w:t>
      </w:r>
      <w:r>
        <w:rPr>
          <w:rFonts w:hint="eastAsia" w:ascii="宋体" w:hAnsi="宋体" w:cs="仿宋_GB2312"/>
          <w:kern w:val="0"/>
          <w:szCs w:val="21"/>
        </w:rPr>
        <w:t>评标委员会成员有下列情形之一的，应当回避：</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）招标人或投标人的主要负责人的近亲属；</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）项目主管部门或者行政监督部门的人员；</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）与投标人有经济利益关系；</w:t>
      </w:r>
    </w:p>
    <w:p>
      <w:pPr>
        <w:autoSpaceDE w:val="0"/>
        <w:autoSpaceDN w:val="0"/>
        <w:adjustRightInd w:val="0"/>
        <w:spacing w:line="320" w:lineRule="exact"/>
        <w:ind w:firstLine="315" w:firstLineChars="150"/>
        <w:jc w:val="left"/>
        <w:rPr>
          <w:rFonts w:ascii="宋体" w:hAns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）曾因在招标、评标以及其他与招标投标有关活动中从事违法行为而受过行政处罚或刑事处罚的；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）与投标人有其他利害关系。</w:t>
      </w:r>
    </w:p>
    <w:p>
      <w:pPr>
        <w:pStyle w:val="6"/>
        <w:spacing w:line="320" w:lineRule="exact"/>
      </w:pPr>
      <w:bookmarkStart w:id="107" w:name="_6.2_评标原则"/>
      <w:bookmarkEnd w:id="107"/>
      <w:bookmarkStart w:id="108" w:name="_Toc266951081"/>
      <w:r>
        <w:rPr>
          <w:rFonts w:cs="TimesNewRomanPSMT"/>
        </w:rPr>
        <w:t xml:space="preserve">6.2 </w:t>
      </w:r>
      <w:r>
        <w:rPr>
          <w:rFonts w:hint="eastAsia"/>
        </w:rPr>
        <w:t>评标原则</w:t>
      </w:r>
      <w:bookmarkEnd w:id="108"/>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评标活动遵循公平、公正、科学和择优的原则。</w:t>
      </w:r>
    </w:p>
    <w:p>
      <w:pPr>
        <w:pStyle w:val="6"/>
        <w:spacing w:line="320" w:lineRule="exact"/>
        <w:rPr>
          <w:rFonts w:cs="黑体"/>
        </w:rPr>
      </w:pPr>
      <w:bookmarkStart w:id="109" w:name="_6.3_评标"/>
      <w:bookmarkEnd w:id="109"/>
      <w:bookmarkStart w:id="110" w:name="_Toc266951082"/>
      <w:r>
        <w:t>6.3</w:t>
      </w:r>
      <w:r>
        <w:rPr>
          <w:rFonts w:hint="eastAsia" w:cs="黑体"/>
        </w:rPr>
        <w:t>评标</w:t>
      </w:r>
      <w:bookmarkEnd w:id="110"/>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6.3.1</w:t>
      </w:r>
      <w:r>
        <w:rPr>
          <w:rFonts w:hint="eastAsia" w:ascii="宋体" w:hAnsi="宋体" w:cs="仿宋_GB2312"/>
          <w:kern w:val="0"/>
          <w:szCs w:val="21"/>
        </w:rPr>
        <w:t>评标委员会按照第三章“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1"/>
          <w:rFonts w:hint="eastAsia" w:ascii="宋体" w:hAnsi="宋体" w:cs="仿宋_GB2312"/>
          <w:color w:val="auto"/>
          <w:szCs w:val="21"/>
        </w:rPr>
        <w:t>评标办法</w:t>
      </w:r>
      <w:r>
        <w:rPr>
          <w:rStyle w:val="21"/>
          <w:rFonts w:hint="eastAsia" w:ascii="宋体" w:hAnsi="宋体" w:cs="仿宋_GB2312"/>
          <w:color w:val="auto"/>
          <w:szCs w:val="21"/>
        </w:rPr>
        <w:fldChar w:fldCharType="end"/>
      </w:r>
      <w:r>
        <w:rPr>
          <w:rFonts w:hint="eastAsia" w:ascii="宋体" w:hAnsi="宋体" w:cs="仿宋_GB2312"/>
          <w:kern w:val="0"/>
          <w:szCs w:val="21"/>
        </w:rPr>
        <w:t>”规定的方法、评审因素、标准和程序对投标文件进行评审。第三章“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1"/>
          <w:rFonts w:hint="eastAsia" w:ascii="宋体" w:hAnsi="宋体" w:cs="仿宋_GB2312"/>
          <w:color w:val="auto"/>
          <w:szCs w:val="21"/>
        </w:rPr>
        <w:t>评标办法</w:t>
      </w:r>
      <w:r>
        <w:rPr>
          <w:rStyle w:val="21"/>
          <w:rFonts w:hint="eastAsia" w:ascii="宋体" w:hAnsi="宋体" w:cs="仿宋_GB2312"/>
          <w:color w:val="auto"/>
          <w:szCs w:val="21"/>
        </w:rPr>
        <w:fldChar w:fldCharType="end"/>
      </w:r>
      <w:r>
        <w:rPr>
          <w:rFonts w:hint="eastAsia" w:ascii="宋体" w:hAnsi="宋体" w:cs="仿宋_GB2312"/>
          <w:kern w:val="0"/>
          <w:szCs w:val="21"/>
        </w:rPr>
        <w:t>”没有规定的评标方法、评审因素和标准，不作为评标依据。招标文件未列明的否决性条款，不得作为否决投标、判定无效标的依据。</w:t>
      </w:r>
    </w:p>
    <w:p>
      <w:pPr>
        <w:spacing w:line="320" w:lineRule="exact"/>
        <w:ind w:firstLine="420" w:firstLineChars="200"/>
        <w:rPr>
          <w:rFonts w:ascii="宋体" w:cs="仿宋_GB2312"/>
          <w:kern w:val="0"/>
          <w:szCs w:val="21"/>
        </w:rPr>
      </w:pPr>
      <w:r>
        <w:rPr>
          <w:rFonts w:ascii="宋体" w:hAnsi="宋体" w:cs="仿宋_GB2312"/>
          <w:kern w:val="0"/>
          <w:szCs w:val="21"/>
        </w:rPr>
        <w:t>6.3.2</w:t>
      </w:r>
      <w:r>
        <w:rPr>
          <w:rFonts w:hint="eastAsia" w:ascii="宋体" w:hAnsi="宋体" w:cs="仿宋_GB2312"/>
          <w:kern w:val="0"/>
          <w:szCs w:val="21"/>
        </w:rPr>
        <w:t>本次招标所采用的评标方法见</w:t>
      </w:r>
      <w:r>
        <w:fldChar w:fldCharType="begin"/>
      </w:r>
      <w:r>
        <w:instrText xml:space="preserve"> HYPERLINK "file:///H:\\泰州招标文件范本\\泰州市房屋建筑和市政工程施工2016.4.docx" \l "_评标"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spacing w:line="320" w:lineRule="exact"/>
      </w:pPr>
      <w:bookmarkStart w:id="111" w:name="_Toc10791"/>
      <w:bookmarkStart w:id="112" w:name="_Toc16425"/>
      <w:bookmarkStart w:id="113" w:name="_Toc3926"/>
      <w:r>
        <w:t xml:space="preserve">6.4 </w:t>
      </w:r>
      <w:r>
        <w:rPr>
          <w:rFonts w:hint="eastAsia"/>
        </w:rPr>
        <w:t>中标候选人公示</w:t>
      </w:r>
    </w:p>
    <w:p>
      <w:pPr>
        <w:spacing w:line="400" w:lineRule="exact"/>
        <w:ind w:firstLine="420" w:firstLineChars="200"/>
      </w:pPr>
      <w:r>
        <w:t xml:space="preserve">6.4.1 </w:t>
      </w:r>
      <w:r>
        <w:rPr>
          <w:rFonts w:hint="eastAsia"/>
        </w:rPr>
        <w:t>公示时间和方式：</w:t>
      </w:r>
      <w:r>
        <w:rPr>
          <w:rFonts w:hint="eastAsia" w:ascii="宋体" w:hAnsi="宋体"/>
          <w:szCs w:val="21"/>
        </w:rPr>
        <w:t>招标人在收到评标报告之日起</w:t>
      </w:r>
      <w:r>
        <w:rPr>
          <w:rFonts w:ascii="宋体" w:hAnsi="宋体"/>
          <w:szCs w:val="21"/>
        </w:rPr>
        <w:t>3</w:t>
      </w:r>
      <w:r>
        <w:rPr>
          <w:rFonts w:hint="eastAsia" w:ascii="宋体" w:hAnsi="宋体"/>
          <w:szCs w:val="21"/>
        </w:rPr>
        <w:t>日内应当在招标公告发布媒介上公示如下中标候选人情况、评标结果及拟定中标人名称，公示期不少于</w:t>
      </w:r>
      <w:r>
        <w:rPr>
          <w:rFonts w:ascii="宋体" w:hAnsi="宋体"/>
          <w:szCs w:val="21"/>
        </w:rPr>
        <w:t>3</w:t>
      </w:r>
      <w:r>
        <w:rPr>
          <w:rFonts w:hint="eastAsia" w:ascii="宋体" w:hAnsi="宋体"/>
          <w:szCs w:val="21"/>
        </w:rPr>
        <w:t>日。</w:t>
      </w:r>
    </w:p>
    <w:p>
      <w:pPr>
        <w:rPr>
          <w:rFonts w:ascii="宋体"/>
          <w:szCs w:val="21"/>
        </w:rPr>
      </w:pPr>
      <w:r>
        <w:t xml:space="preserve">    6.4.</w:t>
      </w:r>
      <w:r>
        <w:rPr>
          <w:rFonts w:hint="eastAsia"/>
        </w:rPr>
        <w:t>2</w:t>
      </w:r>
      <w:r>
        <w:rPr>
          <w:rFonts w:hint="eastAsia" w:ascii="宋体" w:hAnsi="宋体"/>
          <w:szCs w:val="21"/>
        </w:rPr>
        <w:t>投标人或者其他利害关系人对依法必须进行招标的项目的评标结果有异议的，应当在中标候选人公示期间提出。招标人应当自收到异议之日起</w:t>
      </w:r>
      <w:r>
        <w:rPr>
          <w:rFonts w:ascii="宋体" w:hAnsi="宋体"/>
          <w:szCs w:val="21"/>
        </w:rPr>
        <w:t xml:space="preserve">3 </w:t>
      </w:r>
      <w:r>
        <w:rPr>
          <w:rFonts w:hint="eastAsia" w:ascii="宋体" w:hAnsi="宋体"/>
          <w:szCs w:val="21"/>
        </w:rPr>
        <w:t>日内作出答复；作出答复前，应当暂停招标投标活动。</w:t>
      </w:r>
    </w:p>
    <w:bookmarkEnd w:id="111"/>
    <w:bookmarkEnd w:id="112"/>
    <w:bookmarkEnd w:id="113"/>
    <w:p>
      <w:pPr>
        <w:pStyle w:val="5"/>
        <w:spacing w:line="320" w:lineRule="exact"/>
      </w:pPr>
      <w:bookmarkStart w:id="114" w:name="_Toc275956108"/>
      <w:bookmarkStart w:id="115" w:name="_Toc266951083"/>
      <w:r>
        <w:rPr>
          <w:rFonts w:cs="TimesNewRomanPSMT"/>
        </w:rPr>
        <w:t xml:space="preserve">7. </w:t>
      </w:r>
      <w:r>
        <w:rPr>
          <w:rFonts w:hint="eastAsia"/>
        </w:rPr>
        <w:t>合同授予</w:t>
      </w:r>
      <w:bookmarkEnd w:id="114"/>
      <w:bookmarkEnd w:id="115"/>
    </w:p>
    <w:p>
      <w:pPr>
        <w:pStyle w:val="6"/>
        <w:spacing w:line="320" w:lineRule="exact"/>
      </w:pPr>
      <w:bookmarkStart w:id="116" w:name="_7.1_中标公示"/>
      <w:bookmarkEnd w:id="116"/>
      <w:bookmarkStart w:id="117" w:name="_Toc266951085"/>
      <w:r>
        <w:rPr>
          <w:rFonts w:cs="TimesNewRomanPSMT"/>
        </w:rPr>
        <w:t xml:space="preserve">7.1 </w:t>
      </w:r>
      <w:r>
        <w:rPr>
          <w:rFonts w:hint="eastAsia"/>
        </w:rPr>
        <w:t>定标方式</w:t>
      </w:r>
      <w:bookmarkEnd w:id="117"/>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"_定标方式"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规定评标委员会直接确定中标人外，招标人依据评标委员会推荐的中标候选人确定中标人。评标委员会推荐中标候选人的人数见</w:t>
      </w:r>
      <w:r>
        <w:fldChar w:fldCharType="begin"/>
      </w:r>
      <w:r>
        <w:instrText xml:space="preserve"> HYPERLINK "file:///H:\\泰州招标文件范本\\泰州市房屋建筑和市政工程施工2016.4.docx" \l "_定标方式"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w:t>
      </w:r>
    </w:p>
    <w:p>
      <w:pPr>
        <w:rPr>
          <w:b/>
          <w:bCs/>
        </w:rPr>
      </w:pPr>
      <w:bookmarkStart w:id="118" w:name="_Toc266951084"/>
      <w:r>
        <w:rPr>
          <w:b/>
          <w:bCs/>
        </w:rPr>
        <w:t>7.2</w:t>
      </w:r>
      <w:bookmarkEnd w:id="118"/>
      <w:r>
        <w:rPr>
          <w:rFonts w:hint="eastAsia"/>
          <w:b/>
          <w:bCs/>
        </w:rPr>
        <w:t>中标候选人考察</w:t>
      </w:r>
    </w:p>
    <w:p>
      <w:r>
        <w:t xml:space="preserve">    7.2.1 </w:t>
      </w:r>
      <w:r>
        <w:rPr>
          <w:rFonts w:hint="eastAsia"/>
        </w:rPr>
        <w:t>投标人或项目负责人承担过类似工程的业绩作为评审条件时，招标人可对中标候选人的业绩进行实地考察。</w:t>
      </w:r>
    </w:p>
    <w:p>
      <w:r>
        <w:t xml:space="preserve">    7.2.2 </w:t>
      </w:r>
      <w:r>
        <w:rPr>
          <w:rFonts w:hint="eastAsia"/>
        </w:rPr>
        <w:t>第一中标候选人提供的业绩经招标人考察属实的，招标人将不再对其他中标候选人进行考察；如第一中标候选人提供的业绩不属实，招标人将依次考察其他中标候选人业绩。</w:t>
      </w:r>
    </w:p>
    <w:p>
      <w:r>
        <w:t xml:space="preserve">    7.2.3 </w:t>
      </w:r>
      <w:r>
        <w:rPr>
          <w:rFonts w:hint="eastAsia"/>
        </w:rPr>
        <w:t>考察费用由招标人承担，投标人有义务配合。</w:t>
      </w:r>
    </w:p>
    <w:p>
      <w:pPr>
        <w:rPr>
          <w:b/>
          <w:bCs/>
        </w:rPr>
      </w:pPr>
      <w:r>
        <w:rPr>
          <w:b/>
          <w:bCs/>
        </w:rPr>
        <w:t xml:space="preserve">7.3 </w:t>
      </w:r>
      <w:r>
        <w:rPr>
          <w:rFonts w:hint="eastAsia"/>
          <w:b/>
          <w:bCs/>
        </w:rPr>
        <w:t>确定中标人</w:t>
      </w:r>
    </w:p>
    <w:p>
      <w:pPr>
        <w:ind w:firstLine="420" w:firstLineChars="200"/>
      </w:pPr>
      <w:r>
        <w:rPr>
          <w:rFonts w:hint="eastAsia"/>
        </w:rPr>
        <w:t>招标人确定排名第一的中标候选人为中标人。排名第一的中标候选人出现下列情形之一的，招标人将按照评标委员会提出的中标候选人名单排序依次确定其他中标候选人为中标人。如其他中标候选人与采购预期差距较大，或者依次选择中标人对招标人明显不利时，招标人可重新招标：</w:t>
      </w:r>
    </w:p>
    <w:p>
      <w:pPr>
        <w:ind w:firstLine="420" w:firstLineChars="200"/>
      </w:pPr>
      <w:r>
        <w:rPr>
          <w:rFonts w:hint="eastAsia"/>
        </w:rPr>
        <w:t>（</w:t>
      </w:r>
      <w:r>
        <w:t>1</w:t>
      </w:r>
      <w:r>
        <w:rPr>
          <w:rFonts w:hint="eastAsia"/>
        </w:rPr>
        <w:t>）业绩经考察不属实的，或因不可抗力不能履行合同的，或被查实存在影响中标结果的违法行为等情形，不符合中标条件的；</w:t>
      </w:r>
    </w:p>
    <w:p>
      <w:pPr>
        <w:ind w:firstLine="420" w:firstLineChars="200"/>
      </w:pPr>
      <w:r>
        <w:rPr>
          <w:rFonts w:hint="eastAsia"/>
        </w:rPr>
        <w:t>（</w:t>
      </w:r>
      <w:r>
        <w:t>2</w:t>
      </w:r>
      <w:r>
        <w:rPr>
          <w:rFonts w:hint="eastAsia"/>
        </w:rPr>
        <w:t>）评标结束后，中标候选人的经营、财务状况发生较大变化或者存在违法行为，招标人认为可能影响其履约能力，经评标委员会按招标文件规定的办法重新审查，确认其不符合招标文件规定的标准，取消其候选人资格的。</w:t>
      </w:r>
    </w:p>
    <w:p>
      <w:pPr>
        <w:ind w:firstLine="420" w:firstLineChars="200"/>
      </w:pPr>
      <w:r>
        <w:rPr>
          <w:rFonts w:hint="eastAsia"/>
        </w:rPr>
        <w:t>（</w:t>
      </w:r>
      <w:r>
        <w:t>3</w:t>
      </w:r>
      <w:r>
        <w:rPr>
          <w:rFonts w:hint="eastAsia"/>
        </w:rPr>
        <w:t>）被确定为中标人后，放弃中标的，或不按照招标文件要求提交履约保证金的；</w:t>
      </w:r>
    </w:p>
    <w:p>
      <w:pPr>
        <w:ind w:firstLine="420" w:firstLineChars="200"/>
      </w:pPr>
      <w:r>
        <w:rPr>
          <w:rFonts w:hint="eastAsia"/>
        </w:rPr>
        <w:t>（</w:t>
      </w:r>
      <w:r>
        <w:t>4</w:t>
      </w:r>
      <w:r>
        <w:rPr>
          <w:rFonts w:hint="eastAsia"/>
        </w:rPr>
        <w:t>）被确定为中标人并与招标人签订合同后，因不可抗力不能履行合同的；</w:t>
      </w:r>
    </w:p>
    <w:p>
      <w:pPr>
        <w:pStyle w:val="6"/>
        <w:spacing w:line="320" w:lineRule="exact"/>
        <w:rPr>
          <w:rFonts w:cs="仿宋_GB2312"/>
          <w:szCs w:val="21"/>
        </w:rPr>
      </w:pPr>
      <w:bookmarkStart w:id="119" w:name="_7.2_定标方式"/>
      <w:bookmarkEnd w:id="119"/>
      <w:bookmarkStart w:id="120" w:name="_7.3_中标通知"/>
      <w:bookmarkEnd w:id="120"/>
      <w:bookmarkStart w:id="121" w:name="_Toc266951086"/>
      <w:r>
        <w:t>7.4</w:t>
      </w:r>
      <w:r>
        <w:rPr>
          <w:rFonts w:hint="eastAsia" w:cs="黑体"/>
        </w:rPr>
        <w:t>中标通知</w:t>
      </w:r>
      <w:bookmarkEnd w:id="121"/>
    </w:p>
    <w:p>
      <w:p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在本章第</w:t>
      </w:r>
      <w:r>
        <w:rPr>
          <w:rFonts w:ascii="宋体" w:hAnsi="宋体" w:cs="TimesNewRomanPSMT"/>
          <w:kern w:val="0"/>
          <w:szCs w:val="21"/>
        </w:rPr>
        <w:t>3.3</w:t>
      </w:r>
      <w:r>
        <w:rPr>
          <w:rFonts w:hint="eastAsia" w:ascii="宋体" w:hAnsi="宋体" w:cs="仿宋_GB2312"/>
          <w:kern w:val="0"/>
          <w:szCs w:val="21"/>
        </w:rPr>
        <w:t>款规定的投标有效期内，</w:t>
      </w:r>
      <w:r>
        <w:rPr>
          <w:rFonts w:hint="eastAsia" w:ascii="宋体" w:hAnsi="宋体" w:cs="TimesNewRomanPSMT"/>
          <w:kern w:val="0"/>
          <w:szCs w:val="21"/>
        </w:rPr>
        <w:t>招标人</w:t>
      </w:r>
      <w:r>
        <w:rPr>
          <w:rFonts w:hint="eastAsia" w:ascii="宋体" w:hAnsi="宋体" w:cs="仿宋_GB2312"/>
          <w:kern w:val="0"/>
          <w:szCs w:val="21"/>
        </w:rPr>
        <w:t>以书面形式向中标人发出中标通知书，同时将中标结果通知未中标的投标人。</w:t>
      </w:r>
    </w:p>
    <w:p>
      <w:pPr>
        <w:pStyle w:val="6"/>
        <w:spacing w:line="320" w:lineRule="exact"/>
      </w:pPr>
      <w:bookmarkStart w:id="122" w:name="_7.4_履约担保"/>
      <w:bookmarkEnd w:id="122"/>
      <w:bookmarkStart w:id="123" w:name="_Toc266951087"/>
      <w:r>
        <w:rPr>
          <w:rFonts w:cs="TimesNewRomanPSMT"/>
        </w:rPr>
        <w:t xml:space="preserve">7.5 </w:t>
      </w:r>
      <w:r>
        <w:rPr>
          <w:rFonts w:hint="eastAsia"/>
        </w:rPr>
        <w:t>履约担保</w:t>
      </w:r>
      <w:bookmarkEnd w:id="123"/>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7.5.1 </w:t>
      </w:r>
      <w:r>
        <w:rPr>
          <w:rFonts w:hint="eastAsia" w:ascii="宋体" w:hAnsi="宋体" w:cs="仿宋_GB2312"/>
          <w:kern w:val="0"/>
          <w:szCs w:val="21"/>
        </w:rPr>
        <w:t>在签订合同前，中标人应按</w:t>
      </w:r>
      <w:r>
        <w:fldChar w:fldCharType="begin"/>
      </w:r>
      <w:r>
        <w:instrText xml:space="preserve"> HYPERLINK "file:///H:\\泰州招标文件范本\\泰州市房屋建筑和市政工程施工2016.4.docx" \l "_履约担保"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规定的金额、担保形式向招标人提交履约担保。联合体中标的，其履约担保由牵头人递交，并应符合</w:t>
      </w:r>
      <w:r>
        <w:fldChar w:fldCharType="begin"/>
      </w:r>
      <w:r>
        <w:instrText xml:space="preserve"> HYPERLINK "file:///H:\\泰州招标文件范本\\泰州市房屋建筑和市政工程施工2016.4.docx" \l "_履约担保" </w:instrText>
      </w:r>
      <w:r>
        <w:fldChar w:fldCharType="separate"/>
      </w:r>
      <w:r>
        <w:rPr>
          <w:rStyle w:val="21"/>
          <w:rFonts w:hint="eastAsia" w:ascii="宋体" w:hAnsi="宋体" w:cs="仿宋_GB2312"/>
          <w:color w:val="auto"/>
          <w:szCs w:val="21"/>
        </w:rPr>
        <w:t>投标人须知前附表</w:t>
      </w:r>
      <w:r>
        <w:rPr>
          <w:rStyle w:val="21"/>
          <w:rFonts w:hint="eastAsia" w:ascii="宋体" w:hAnsi="宋体" w:cs="仿宋_GB2312"/>
          <w:color w:val="auto"/>
          <w:szCs w:val="21"/>
        </w:rPr>
        <w:fldChar w:fldCharType="end"/>
      </w:r>
      <w:r>
        <w:rPr>
          <w:rFonts w:hint="eastAsia" w:ascii="宋体" w:hAnsi="宋体" w:cs="仿宋_GB2312"/>
          <w:kern w:val="0"/>
          <w:szCs w:val="21"/>
        </w:rPr>
        <w:t>规定的金额、担保形式要求。</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7.5.2 </w:t>
      </w:r>
      <w:r>
        <w:rPr>
          <w:rFonts w:hint="eastAsia" w:ascii="宋体" w:hAnsi="宋体" w:cs="仿宋_GB2312"/>
          <w:kern w:val="0"/>
          <w:szCs w:val="21"/>
        </w:rPr>
        <w:t>中标人不能在规定的时间内按</w:t>
      </w:r>
      <w:r>
        <w:fldChar w:fldCharType="begin"/>
      </w:r>
      <w:r>
        <w:instrText xml:space="preserve"> HYPERLINK "file:///H:\\泰州招标文件范本\\泰州市房屋建筑和市政工程施工2016.4.docx" \l "_7.3_中标通知" </w:instrText>
      </w:r>
      <w:r>
        <w:fldChar w:fldCharType="separate"/>
      </w:r>
      <w:r>
        <w:rPr>
          <w:rStyle w:val="21"/>
          <w:rFonts w:hint="eastAsia" w:ascii="宋体" w:hAnsi="宋体" w:cs="仿宋_GB2312"/>
          <w:color w:val="auto"/>
          <w:szCs w:val="21"/>
        </w:rPr>
        <w:t>本章第</w:t>
      </w:r>
      <w:r>
        <w:rPr>
          <w:rStyle w:val="21"/>
          <w:rFonts w:ascii="宋体" w:hAnsi="宋体" w:cs="TimesNewRomanPSMT"/>
          <w:color w:val="auto"/>
          <w:szCs w:val="21"/>
        </w:rPr>
        <w:t>7.</w:t>
      </w:r>
      <w:r>
        <w:rPr>
          <w:rStyle w:val="21"/>
          <w:rFonts w:hint="eastAsia" w:ascii="宋体" w:hAnsi="宋体" w:cs="TimesNewRomanPSMT"/>
          <w:color w:val="auto"/>
          <w:szCs w:val="21"/>
        </w:rPr>
        <w:t>5</w:t>
      </w:r>
      <w:r>
        <w:rPr>
          <w:rStyle w:val="21"/>
          <w:rFonts w:ascii="宋体" w:hAnsi="宋体" w:cs="TimesNewRomanPSMT"/>
          <w:color w:val="auto"/>
          <w:szCs w:val="21"/>
        </w:rPr>
        <w:t xml:space="preserve">.1 </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要求如数提交履约担保的，视为放弃中标，其投标保证金及利息不予退还，给招标人造成的损失超过投标保证金数额的，中标人还应当对超过部分予以赔偿。</w:t>
      </w:r>
    </w:p>
    <w:p>
      <w:pPr>
        <w:pStyle w:val="6"/>
        <w:spacing w:line="320" w:lineRule="exact"/>
      </w:pPr>
      <w:bookmarkStart w:id="124" w:name="_7.5_签订合同"/>
      <w:bookmarkEnd w:id="124"/>
      <w:bookmarkStart w:id="125" w:name="_Toc266951088"/>
      <w:r>
        <w:rPr>
          <w:rFonts w:cs="TimesNewRomanPSMT"/>
        </w:rPr>
        <w:t xml:space="preserve">7.6 </w:t>
      </w:r>
      <w:r>
        <w:rPr>
          <w:rFonts w:hint="eastAsia"/>
        </w:rPr>
        <w:t>签订合同</w:t>
      </w:r>
      <w:bookmarkEnd w:id="125"/>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7.6.1 </w:t>
      </w:r>
      <w:r>
        <w:rPr>
          <w:rFonts w:hint="eastAsia" w:ascii="宋体" w:hAnsi="宋体" w:cs="仿宋_GB2312"/>
          <w:kern w:val="0"/>
          <w:szCs w:val="21"/>
        </w:rPr>
        <w:t>招标人和中标人应当在投标有效期内并在自中标通知书发出之日起</w:t>
      </w:r>
      <w:r>
        <w:rPr>
          <w:rFonts w:ascii="宋体" w:hAnsi="宋体" w:cs="TimesNewRomanPSMT"/>
          <w:kern w:val="0"/>
          <w:szCs w:val="21"/>
        </w:rPr>
        <w:t>30</w:t>
      </w:r>
      <w:r>
        <w:rPr>
          <w:rFonts w:hint="eastAsia" w:ascii="宋体" w:hAnsi="宋体" w:cs="仿宋_GB2312"/>
          <w:kern w:val="0"/>
          <w:szCs w:val="21"/>
        </w:rPr>
        <w:t>日内，按照招标文件和中标人的投标文件订立书面合同。中标人无正当理由拒绝签订合同的，招标人取消其中标资格，其投标保证金及利息不予退还；给招标人造成的损失超过投标保证金数额的，中标人还应当对超过部分予以赔偿。</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7.6.2 </w:t>
      </w:r>
      <w:r>
        <w:rPr>
          <w:rFonts w:hint="eastAsia" w:ascii="宋体" w:hAnsi="宋体" w:cs="仿宋_GB2312"/>
          <w:kern w:val="0"/>
          <w:szCs w:val="21"/>
        </w:rPr>
        <w:t>发出中标通知后，招标人无正当理由拒签合同的，招标人向中标人退还投标保证金及利息，给中标人造成损失的，还应当赔偿损失。</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7.6.3 </w:t>
      </w:r>
      <w:r>
        <w:rPr>
          <w:rFonts w:hint="eastAsia" w:ascii="宋体" w:hAnsi="宋体" w:cs="仿宋_GB2312"/>
          <w:kern w:val="0"/>
          <w:szCs w:val="21"/>
        </w:rPr>
        <w:t>本工程合同价格形式见投标须知前附表。</w:t>
      </w:r>
    </w:p>
    <w:p>
      <w:pPr>
        <w:pStyle w:val="5"/>
        <w:spacing w:line="320" w:lineRule="exact"/>
      </w:pPr>
      <w:bookmarkStart w:id="126" w:name="_Toc266951089"/>
      <w:bookmarkStart w:id="127" w:name="_Toc275956109"/>
      <w:r>
        <w:rPr>
          <w:rFonts w:cs="TimesNewRomanPSMT"/>
        </w:rPr>
        <w:t xml:space="preserve">8. </w:t>
      </w:r>
      <w:r>
        <w:rPr>
          <w:rFonts w:hint="eastAsia"/>
        </w:rPr>
        <w:t>重新招标和不再招标</w:t>
      </w:r>
      <w:bookmarkEnd w:id="126"/>
      <w:bookmarkEnd w:id="127"/>
    </w:p>
    <w:p>
      <w:pPr>
        <w:pStyle w:val="6"/>
        <w:spacing w:line="320" w:lineRule="exact"/>
      </w:pPr>
      <w:bookmarkStart w:id="128" w:name="_8.1_重新招标"/>
      <w:bookmarkEnd w:id="128"/>
      <w:bookmarkStart w:id="129" w:name="_Toc266951090"/>
      <w:r>
        <w:rPr>
          <w:rFonts w:cs="TimesNewRomanPSMT"/>
        </w:rPr>
        <w:t xml:space="preserve">8.1 </w:t>
      </w:r>
      <w:r>
        <w:rPr>
          <w:rFonts w:hint="eastAsia"/>
        </w:rPr>
        <w:t>重新招标</w:t>
      </w:r>
      <w:bookmarkEnd w:id="129"/>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有下列情形之一的，招标人将重新招标：</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）投标截止时间止，投标人数量少于</w:t>
      </w:r>
      <w:r>
        <w:rPr>
          <w:rFonts w:ascii="宋体" w:hAnsi="宋体" w:cs="TimesNewRomanPSMT"/>
          <w:kern w:val="0"/>
          <w:szCs w:val="21"/>
        </w:rPr>
        <w:t>3</w:t>
      </w:r>
      <w:r>
        <w:rPr>
          <w:rFonts w:hint="eastAsia" w:ascii="宋体" w:hAnsi="宋体" w:cs="TimesNewRomanPSMT"/>
          <w:kern w:val="0"/>
          <w:szCs w:val="21"/>
        </w:rPr>
        <w:t>个</w:t>
      </w:r>
      <w:r>
        <w:rPr>
          <w:rFonts w:hint="eastAsia" w:ascii="宋体" w:hAnsi="宋体" w:cs="仿宋_GB2312"/>
          <w:kern w:val="0"/>
          <w:szCs w:val="21"/>
        </w:rPr>
        <w:t>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）经评标委员会评审后否决所有投标的；</w:t>
      </w:r>
    </w:p>
    <w:p>
      <w:pPr>
        <w:autoSpaceDE w:val="0"/>
        <w:autoSpaceDN w:val="0"/>
        <w:adjustRightInd w:val="0"/>
        <w:spacing w:line="320" w:lineRule="exact"/>
        <w:ind w:firstLine="315" w:firstLineChars="150"/>
        <w:jc w:val="left"/>
        <w:rPr>
          <w:rFonts w:ascii="宋体" w:cs="仿宋_GB2312"/>
          <w:kern w:val="0"/>
          <w:szCs w:val="21"/>
        </w:rPr>
      </w:pPr>
      <w:bookmarkStart w:id="130" w:name="_8.2_不再招标"/>
      <w:bookmarkEnd w:id="130"/>
      <w:bookmarkStart w:id="131" w:name="_Toc266951091"/>
      <w:r>
        <w:rPr>
          <w:rFonts w:hint="eastAsia" w:ascii="宋体" w:hAnsi="宋体" w:cs="仿宋_GB2312"/>
          <w:kern w:val="0"/>
          <w:szCs w:val="21"/>
        </w:rPr>
        <w:t>（</w:t>
      </w:r>
      <w:r>
        <w:rPr>
          <w:rFonts w:ascii="宋体" w:hAnsi="宋体" w:cs="仿宋_GB2312"/>
          <w:kern w:val="0"/>
          <w:szCs w:val="21"/>
        </w:rPr>
        <w:t>3</w:t>
      </w:r>
      <w:r>
        <w:rPr>
          <w:rFonts w:hint="eastAsia" w:ascii="宋体" w:hAnsi="宋体" w:cs="仿宋_GB2312"/>
          <w:kern w:val="0"/>
          <w:szCs w:val="21"/>
        </w:rPr>
        <w:t>）在投标有效期内同意延长有效期的投标人少于</w:t>
      </w:r>
      <w:r>
        <w:rPr>
          <w:rFonts w:ascii="宋体" w:hAnsi="宋体" w:cs="仿宋_GB2312"/>
          <w:kern w:val="0"/>
          <w:szCs w:val="21"/>
        </w:rPr>
        <w:t>3</w:t>
      </w:r>
      <w:r>
        <w:rPr>
          <w:rFonts w:hint="eastAsia" w:ascii="宋体" w:hAnsi="宋体" w:cs="仿宋_GB2312"/>
          <w:kern w:val="0"/>
          <w:szCs w:val="21"/>
        </w:rPr>
        <w:t>个的；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4</w:t>
      </w:r>
      <w:r>
        <w:rPr>
          <w:rFonts w:hint="eastAsia" w:ascii="宋体" w:hAnsi="宋体" w:cs="仿宋_GB2312"/>
          <w:kern w:val="0"/>
          <w:szCs w:val="21"/>
        </w:rPr>
        <w:t>）法律规定的其他情况。</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投标人存在串通投标、弄虚作假等违法违规行为，或者撤销投标、或资格预审合格的投标人放弃投标、放弃中标资格的，不得参加本项目重新招标的投标，并依法予以处理。</w:t>
      </w:r>
    </w:p>
    <w:p>
      <w:pPr>
        <w:pStyle w:val="6"/>
        <w:spacing w:line="320" w:lineRule="exact"/>
      </w:pPr>
      <w:r>
        <w:rPr>
          <w:rFonts w:cs="TimesNewRomanPSMT"/>
        </w:rPr>
        <w:t xml:space="preserve">8.2 </w:t>
      </w:r>
      <w:r>
        <w:rPr>
          <w:rFonts w:hint="eastAsia"/>
        </w:rPr>
        <w:t>不再招标</w:t>
      </w:r>
      <w:bookmarkEnd w:id="131"/>
    </w:p>
    <w:p>
      <w:pPr>
        <w:spacing w:line="320" w:lineRule="exact"/>
        <w:ind w:firstLine="420" w:firstLineChars="200"/>
        <w:rPr>
          <w:szCs w:val="21"/>
        </w:rPr>
      </w:pPr>
      <w:r>
        <w:rPr>
          <w:rFonts w:hint="eastAsia" w:hAnsi="宋体"/>
          <w:szCs w:val="21"/>
        </w:rPr>
        <w:t>重新招标后投标人仍少于</w:t>
      </w:r>
      <w:r>
        <w:rPr>
          <w:szCs w:val="21"/>
        </w:rPr>
        <w:t xml:space="preserve">3 </w:t>
      </w:r>
      <w:r>
        <w:rPr>
          <w:rFonts w:hint="eastAsia" w:hAnsi="宋体"/>
          <w:szCs w:val="21"/>
        </w:rPr>
        <w:t>个或者所有投标被否决的，属于必须审批或核准的工程建设项目，经原审批或核准部门批准后可不再进行招标。</w:t>
      </w:r>
    </w:p>
    <w:p>
      <w:pPr>
        <w:pStyle w:val="5"/>
        <w:spacing w:line="320" w:lineRule="exact"/>
      </w:pPr>
      <w:bookmarkStart w:id="132" w:name="_Toc275956110"/>
      <w:bookmarkStart w:id="133" w:name="_Toc266951092"/>
      <w:r>
        <w:rPr>
          <w:rFonts w:cs="TimesNewRomanPSMT"/>
        </w:rPr>
        <w:t xml:space="preserve">9. </w:t>
      </w:r>
      <w:r>
        <w:rPr>
          <w:rFonts w:hint="eastAsia"/>
        </w:rPr>
        <w:t>纪律和监督</w:t>
      </w:r>
      <w:bookmarkEnd w:id="132"/>
      <w:bookmarkEnd w:id="133"/>
    </w:p>
    <w:p>
      <w:pPr>
        <w:pStyle w:val="6"/>
        <w:spacing w:line="320" w:lineRule="exact"/>
      </w:pPr>
      <w:bookmarkStart w:id="134" w:name="_9.1_对招标人的纪律要求"/>
      <w:bookmarkEnd w:id="134"/>
      <w:bookmarkStart w:id="135" w:name="_Toc266951093"/>
      <w:r>
        <w:rPr>
          <w:rFonts w:cs="TimesNewRomanPSMT"/>
        </w:rPr>
        <w:t xml:space="preserve">9.1 </w:t>
      </w:r>
      <w:r>
        <w:rPr>
          <w:rFonts w:hint="eastAsia"/>
        </w:rPr>
        <w:t>对招标人的纪律要求</w:t>
      </w:r>
      <w:bookmarkEnd w:id="135"/>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招标人不得泄漏招标投标活动中应当保密的情况和资料，不得与投标人串通损害国家利益、社会公共利益或者他人合法权益。</w:t>
      </w:r>
    </w:p>
    <w:p>
      <w:pPr>
        <w:pStyle w:val="6"/>
        <w:spacing w:line="320" w:lineRule="exact"/>
      </w:pPr>
      <w:bookmarkStart w:id="136" w:name="_9.2_对投标人的纪律要求"/>
      <w:bookmarkEnd w:id="136"/>
      <w:bookmarkStart w:id="137" w:name="_Toc266951094"/>
      <w:r>
        <w:rPr>
          <w:rFonts w:cs="TimesNewRomanPSMT"/>
        </w:rPr>
        <w:t xml:space="preserve">9.2 </w:t>
      </w:r>
      <w:r>
        <w:rPr>
          <w:rFonts w:hint="eastAsia"/>
        </w:rPr>
        <w:t>对投标人的纪律要求</w:t>
      </w:r>
      <w:bookmarkEnd w:id="137"/>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340" w:lineRule="exact"/>
      </w:pPr>
      <w:bookmarkStart w:id="138" w:name="_9.3_对评标委员会成员的纪律要求"/>
      <w:bookmarkEnd w:id="138"/>
      <w:bookmarkStart w:id="139" w:name="_Toc266951095"/>
      <w:r>
        <w:rPr>
          <w:rFonts w:cs="TimesNewRomanPSMT"/>
        </w:rPr>
        <w:t xml:space="preserve">9.3 </w:t>
      </w:r>
      <w:r>
        <w:rPr>
          <w:rFonts w:hint="eastAsia"/>
        </w:rPr>
        <w:t>对评标委员会成员的纪律要求</w:t>
      </w:r>
      <w:bookmarkEnd w:id="139"/>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1"/>
          <w:rFonts w:hint="eastAsia" w:ascii="宋体" w:hAnsi="宋体" w:cs="仿宋_GB2312"/>
          <w:color w:val="auto"/>
          <w:szCs w:val="21"/>
        </w:rPr>
        <w:t>评标办法</w:t>
      </w:r>
      <w:r>
        <w:rPr>
          <w:rStyle w:val="21"/>
          <w:rFonts w:hint="eastAsia" w:ascii="宋体" w:hAnsi="宋体" w:cs="仿宋_GB2312"/>
          <w:color w:val="auto"/>
          <w:szCs w:val="21"/>
        </w:rPr>
        <w:fldChar w:fldCharType="end"/>
      </w:r>
      <w:r>
        <w:rPr>
          <w:rFonts w:hint="eastAsia" w:ascii="宋体" w:hAnsi="宋体" w:cs="仿宋_GB2312"/>
          <w:kern w:val="0"/>
          <w:szCs w:val="21"/>
        </w:rPr>
        <w:t>”没有规定的评审因素和标准进行评标。</w:t>
      </w:r>
    </w:p>
    <w:p>
      <w:pPr>
        <w:pStyle w:val="6"/>
        <w:spacing w:line="340" w:lineRule="exact"/>
      </w:pPr>
      <w:bookmarkStart w:id="140" w:name="_9.4_对与评标活动有关的工作人员的纪律要求"/>
      <w:bookmarkEnd w:id="140"/>
      <w:bookmarkStart w:id="141" w:name="_Toc266951096"/>
      <w:r>
        <w:rPr>
          <w:rFonts w:cs="TimesNewRomanPSMT"/>
        </w:rPr>
        <w:t xml:space="preserve">9.4 </w:t>
      </w:r>
      <w:r>
        <w:rPr>
          <w:rFonts w:hint="eastAsia"/>
        </w:rPr>
        <w:t>对与评标活动有关的工作人员纪律要求</w:t>
      </w:r>
      <w:bookmarkEnd w:id="141"/>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不得利用职务之便，干扰评标活动，影响评标程序正常进行。</w:t>
      </w:r>
    </w:p>
    <w:p>
      <w:pPr>
        <w:pStyle w:val="6"/>
        <w:spacing w:line="320" w:lineRule="exact"/>
        <w:rPr>
          <w:rFonts w:cs="黑体"/>
        </w:rPr>
      </w:pPr>
      <w:bookmarkStart w:id="142" w:name="_9.5_投诉"/>
      <w:bookmarkEnd w:id="142"/>
      <w:bookmarkStart w:id="143" w:name="_Toc266951097"/>
      <w:r>
        <w:t xml:space="preserve">9.5 </w:t>
      </w:r>
      <w:r>
        <w:rPr>
          <w:rFonts w:hint="eastAsia" w:cs="黑体"/>
        </w:rPr>
        <w:t>投诉</w:t>
      </w:r>
      <w:bookmarkEnd w:id="143"/>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投标人和其他利害关系人认为本次招标活动违反法律、法规和规章规定的，有权向有关</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行政监督部门投诉。</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9.5.1</w:t>
      </w:r>
      <w:r>
        <w:rPr>
          <w:rFonts w:hint="eastAsia" w:ascii="宋体" w:hAnsi="宋体" w:cs="仿宋_GB2312"/>
          <w:kern w:val="0"/>
          <w:szCs w:val="21"/>
        </w:rPr>
        <w:t>投标人或者其他利害关系人认为招标投标活动不符合法律、行政法规规定的，可以自知道或者应当知道之日起</w:t>
      </w:r>
      <w:r>
        <w:rPr>
          <w:rFonts w:ascii="宋体" w:hAnsi="宋体" w:cs="仿宋_GB2312"/>
          <w:kern w:val="0"/>
          <w:szCs w:val="21"/>
        </w:rPr>
        <w:t>10</w:t>
      </w:r>
      <w:r>
        <w:rPr>
          <w:rFonts w:hint="eastAsia" w:ascii="宋体" w:hAnsi="宋体" w:cs="仿宋_GB2312"/>
          <w:kern w:val="0"/>
          <w:szCs w:val="21"/>
        </w:rPr>
        <w:t>日内向有关行政监督部门投诉。投诉应当有明确的请求和必要的证明材料。</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    9.5.2</w:t>
      </w:r>
      <w:r>
        <w:rPr>
          <w:rFonts w:hint="eastAsia" w:ascii="宋体" w:hAnsi="宋体" w:cs="仿宋_GB2312"/>
          <w:kern w:val="0"/>
          <w:szCs w:val="21"/>
        </w:rPr>
        <w:t>就《中华人民共和国招标投标法实施条例》第二十二条、第四十四条、第五十四条规定事项投诉的，应当先向招标人提出异议，异议答复期间不计算在前款规定的期限内。未按上述规定向招标人提出异议的，行政监督部门将不予受理其投诉。</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    9.5.3</w:t>
      </w:r>
      <w:r>
        <w:rPr>
          <w:rFonts w:hint="eastAsia" w:ascii="宋体" w:hAnsi="宋体" w:cs="仿宋_GB2312"/>
          <w:kern w:val="0"/>
          <w:szCs w:val="21"/>
        </w:rPr>
        <w:t>投诉人捏造事实、伪造材料或者以非法手段取得证明材料进行投诉的，行政监督部门应当予以驳回，并作为不良行为予以公示。</w:t>
      </w:r>
    </w:p>
    <w:p>
      <w:pPr>
        <w:pStyle w:val="5"/>
        <w:spacing w:line="320" w:lineRule="exact"/>
        <w:rPr>
          <w:rFonts w:ascii="宋体" w:eastAsia="宋体" w:cs="Arial"/>
          <w:b/>
          <w:sz w:val="24"/>
        </w:rPr>
      </w:pPr>
      <w:bookmarkStart w:id="144" w:name="_Toc275956111"/>
      <w:bookmarkStart w:id="145" w:name="_Toc266951098"/>
      <w:r>
        <w:t xml:space="preserve">10. </w:t>
      </w:r>
      <w:r>
        <w:rPr>
          <w:rFonts w:hint="eastAsia" w:ascii="宋体" w:hAnsi="宋体" w:cs="Arial"/>
          <w:b/>
          <w:sz w:val="24"/>
        </w:rPr>
        <w:t>需要补充的其他内容</w:t>
      </w:r>
      <w:bookmarkEnd w:id="144"/>
      <w:bookmarkEnd w:id="145"/>
    </w:p>
    <w:p>
      <w:pPr>
        <w:spacing w:line="320" w:lineRule="exact"/>
        <w:ind w:firstLine="420" w:firstLineChars="200"/>
      </w:pPr>
      <w:r>
        <w:rPr>
          <w:rFonts w:hint="eastAsia"/>
        </w:rPr>
        <w:t>1、需要补充的其他内容：见投标人须知前附表。</w:t>
      </w:r>
    </w:p>
    <w:p>
      <w:pPr>
        <w:snapToGrid w:val="0"/>
        <w:ind w:firstLine="420" w:firstLineChars="200"/>
        <w:jc w:val="left"/>
        <w:rPr>
          <w:rFonts w:ascii="华文宋体" w:hAnsi="华文宋体" w:eastAsia="华文宋体"/>
          <w:b/>
          <w:color w:val="000000"/>
          <w:sz w:val="24"/>
        </w:rPr>
      </w:pPr>
      <w:r>
        <w:rPr>
          <w:rFonts w:hint="eastAsia"/>
        </w:rPr>
        <w:t>2、</w:t>
      </w:r>
      <w:r>
        <w:rPr>
          <w:rFonts w:hint="eastAsia" w:ascii="华文宋体" w:hAnsi="华文宋体" w:eastAsia="华文宋体"/>
          <w:b/>
          <w:color w:val="000000"/>
          <w:sz w:val="24"/>
        </w:rPr>
        <w:t>投标确认函</w:t>
      </w:r>
    </w:p>
    <w:p>
      <w:pPr>
        <w:snapToGrid w:val="0"/>
        <w:ind w:firstLine="480" w:firstLineChars="200"/>
        <w:jc w:val="center"/>
        <w:rPr>
          <w:rFonts w:ascii="华文宋体" w:hAnsi="华文宋体" w:eastAsia="华文宋体"/>
          <w:b/>
          <w:color w:val="000000"/>
          <w:sz w:val="24"/>
        </w:rPr>
      </w:pPr>
    </w:p>
    <w:p>
      <w:pPr>
        <w:autoSpaceDE w:val="0"/>
        <w:autoSpaceDN w:val="0"/>
        <w:adjustRightInd w:val="0"/>
        <w:spacing w:line="320" w:lineRule="exact"/>
        <w:jc w:val="left"/>
        <w:rPr>
          <w:rFonts w:hint="eastAsia" w:ascii="宋体" w:hAnsi="宋体" w:eastAsia="宋体" w:cs="仿宋_GB2312"/>
          <w:kern w:val="0"/>
          <w:szCs w:val="21"/>
        </w:rPr>
      </w:pPr>
      <w:r>
        <w:rPr>
          <w:rFonts w:hint="eastAsia" w:ascii="宋体" w:hAnsi="宋体" w:eastAsia="宋体" w:cs="仿宋_GB2312"/>
          <w:kern w:val="0"/>
          <w:szCs w:val="21"/>
        </w:rPr>
        <w:t>泰州职业技术学院：</w:t>
      </w:r>
    </w:p>
    <w:p>
      <w:pPr>
        <w:autoSpaceDE w:val="0"/>
        <w:autoSpaceDN w:val="0"/>
        <w:adjustRightInd w:val="0"/>
        <w:spacing w:line="320" w:lineRule="exact"/>
        <w:ind w:firstLine="420" w:firstLineChars="200"/>
        <w:jc w:val="left"/>
        <w:rPr>
          <w:rFonts w:hint="eastAsia" w:ascii="宋体" w:hAnsi="宋体" w:eastAsia="宋体" w:cs="仿宋_GB2312"/>
          <w:kern w:val="0"/>
          <w:szCs w:val="21"/>
        </w:rPr>
      </w:pPr>
    </w:p>
    <w:p>
      <w:pPr>
        <w:autoSpaceDE w:val="0"/>
        <w:autoSpaceDN w:val="0"/>
        <w:adjustRightInd w:val="0"/>
        <w:spacing w:line="320" w:lineRule="exact"/>
        <w:ind w:firstLine="420" w:firstLineChars="200"/>
        <w:jc w:val="left"/>
        <w:rPr>
          <w:rFonts w:hint="eastAsia" w:ascii="宋体" w:hAnsi="宋体" w:eastAsia="宋体" w:cs="仿宋_GB2312"/>
          <w:kern w:val="0"/>
          <w:szCs w:val="21"/>
        </w:rPr>
      </w:pPr>
      <w:r>
        <w:rPr>
          <w:rFonts w:hint="eastAsia" w:ascii="宋体" w:hAnsi="宋体" w:eastAsia="宋体" w:cs="仿宋_GB2312"/>
          <w:kern w:val="0"/>
          <w:szCs w:val="21"/>
        </w:rPr>
        <w:t>我单位已下载了贵单位项目的招标文件，经我单位研究，决定准时参加本项目的</w:t>
      </w:r>
      <w:r>
        <w:rPr>
          <w:rFonts w:hint="eastAsia" w:ascii="宋体" w:hAnsi="宋体" w:eastAsia="宋体" w:cs="仿宋_GB2312"/>
          <w:kern w:val="0"/>
          <w:szCs w:val="21"/>
          <w:lang w:val="en-US" w:eastAsia="zh-CN"/>
        </w:rPr>
        <w:t>投标</w:t>
      </w:r>
      <w:r>
        <w:rPr>
          <w:rFonts w:hint="eastAsia" w:ascii="宋体" w:hAnsi="宋体" w:eastAsia="宋体" w:cs="仿宋_GB2312"/>
          <w:kern w:val="0"/>
          <w:szCs w:val="21"/>
        </w:rPr>
        <w:t>活动。</w:t>
      </w:r>
    </w:p>
    <w:p>
      <w:pPr>
        <w:autoSpaceDE w:val="0"/>
        <w:autoSpaceDN w:val="0"/>
        <w:adjustRightInd w:val="0"/>
        <w:spacing w:line="320" w:lineRule="exact"/>
        <w:jc w:val="left"/>
        <w:rPr>
          <w:rFonts w:hint="eastAsia" w:ascii="宋体" w:hAnsi="宋体" w:eastAsia="宋体" w:cs="仿宋_GB2312"/>
          <w:kern w:val="0"/>
          <w:szCs w:val="21"/>
        </w:rPr>
      </w:pPr>
    </w:p>
    <w:p>
      <w:pPr>
        <w:autoSpaceDE w:val="0"/>
        <w:autoSpaceDN w:val="0"/>
        <w:adjustRightInd w:val="0"/>
        <w:spacing w:line="320" w:lineRule="exact"/>
        <w:jc w:val="left"/>
        <w:rPr>
          <w:rFonts w:hint="eastAsia" w:ascii="宋体" w:hAnsi="宋体" w:eastAsia="宋体" w:cs="仿宋_GB2312"/>
          <w:kern w:val="0"/>
          <w:szCs w:val="21"/>
        </w:rPr>
      </w:pPr>
    </w:p>
    <w:p>
      <w:pPr>
        <w:autoSpaceDE w:val="0"/>
        <w:autoSpaceDN w:val="0"/>
        <w:adjustRightInd w:val="0"/>
        <w:spacing w:line="320" w:lineRule="exact"/>
        <w:jc w:val="left"/>
        <w:rPr>
          <w:rFonts w:hint="eastAsia" w:ascii="宋体" w:hAnsi="宋体" w:eastAsia="宋体" w:cs="仿宋_GB2312"/>
          <w:kern w:val="0"/>
          <w:szCs w:val="21"/>
        </w:rPr>
      </w:pPr>
    </w:p>
    <w:p>
      <w:pPr>
        <w:autoSpaceDE w:val="0"/>
        <w:autoSpaceDN w:val="0"/>
        <w:adjustRightInd w:val="0"/>
        <w:spacing w:line="320" w:lineRule="exact"/>
        <w:jc w:val="left"/>
        <w:rPr>
          <w:rFonts w:hint="eastAsia" w:ascii="宋体" w:hAnsi="宋体" w:eastAsia="宋体" w:cs="仿宋_GB2312"/>
          <w:kern w:val="0"/>
          <w:szCs w:val="21"/>
        </w:rPr>
      </w:pPr>
      <w:r>
        <w:rPr>
          <w:rFonts w:hint="eastAsia" w:ascii="宋体" w:hAnsi="宋体" w:eastAsia="宋体" w:cs="仿宋_GB2312"/>
          <w:kern w:val="0"/>
          <w:szCs w:val="21"/>
        </w:rPr>
        <w:t>单位名称（盖章）：</w:t>
      </w:r>
    </w:p>
    <w:p>
      <w:pPr>
        <w:autoSpaceDE w:val="0"/>
        <w:autoSpaceDN w:val="0"/>
        <w:adjustRightInd w:val="0"/>
        <w:spacing w:line="320" w:lineRule="exact"/>
        <w:jc w:val="left"/>
        <w:rPr>
          <w:rFonts w:hint="eastAsia" w:ascii="宋体" w:hAnsi="宋体" w:eastAsia="宋体" w:cs="仿宋_GB2312"/>
          <w:kern w:val="0"/>
          <w:szCs w:val="21"/>
        </w:rPr>
      </w:pPr>
      <w:r>
        <w:rPr>
          <w:rFonts w:hint="eastAsia" w:ascii="宋体" w:hAnsi="宋体" w:eastAsia="宋体" w:cs="仿宋_GB2312"/>
          <w:kern w:val="0"/>
          <w:szCs w:val="21"/>
        </w:rPr>
        <w:t>联 系 人：</w:t>
      </w:r>
    </w:p>
    <w:p>
      <w:pPr>
        <w:autoSpaceDE w:val="0"/>
        <w:autoSpaceDN w:val="0"/>
        <w:adjustRightInd w:val="0"/>
        <w:spacing w:line="320" w:lineRule="exact"/>
        <w:jc w:val="left"/>
        <w:rPr>
          <w:rFonts w:hint="eastAsia" w:ascii="宋体" w:hAnsi="宋体" w:eastAsia="宋体" w:cs="仿宋_GB2312"/>
          <w:kern w:val="0"/>
          <w:szCs w:val="21"/>
        </w:rPr>
      </w:pPr>
      <w:r>
        <w:rPr>
          <w:rFonts w:hint="eastAsia" w:ascii="宋体" w:hAnsi="宋体" w:eastAsia="宋体" w:cs="仿宋_GB2312"/>
          <w:kern w:val="0"/>
          <w:szCs w:val="21"/>
        </w:rPr>
        <w:t>手 机：</w:t>
      </w:r>
    </w:p>
    <w:p>
      <w:pPr>
        <w:autoSpaceDE w:val="0"/>
        <w:autoSpaceDN w:val="0"/>
        <w:adjustRightInd w:val="0"/>
        <w:spacing w:line="320" w:lineRule="exact"/>
        <w:jc w:val="left"/>
        <w:rPr>
          <w:rFonts w:hint="eastAsia" w:ascii="宋体" w:hAnsi="宋体" w:eastAsia="宋体" w:cs="仿宋_GB2312"/>
          <w:kern w:val="0"/>
          <w:szCs w:val="21"/>
        </w:rPr>
      </w:pPr>
      <w:r>
        <w:rPr>
          <w:rFonts w:hint="eastAsia" w:ascii="宋体" w:hAnsi="宋体" w:eastAsia="宋体" w:cs="仿宋_GB2312"/>
          <w:kern w:val="0"/>
          <w:szCs w:val="21"/>
        </w:rPr>
        <w:t>邮  箱：</w:t>
      </w:r>
    </w:p>
    <w:p>
      <w:pPr>
        <w:autoSpaceDE w:val="0"/>
        <w:autoSpaceDN w:val="0"/>
        <w:adjustRightInd w:val="0"/>
        <w:spacing w:line="320" w:lineRule="exact"/>
        <w:jc w:val="left"/>
        <w:rPr>
          <w:rFonts w:hint="eastAsia" w:ascii="宋体" w:hAnsi="宋体" w:eastAsia="宋体" w:cs="仿宋_GB2312"/>
          <w:kern w:val="0"/>
          <w:szCs w:val="21"/>
        </w:rPr>
      </w:pPr>
      <w:r>
        <w:rPr>
          <w:rFonts w:hint="eastAsia" w:ascii="宋体" w:hAnsi="宋体" w:eastAsia="宋体" w:cs="仿宋_GB2312"/>
          <w:kern w:val="0"/>
          <w:szCs w:val="21"/>
        </w:rPr>
        <w:t>年月日</w:t>
      </w:r>
    </w:p>
    <w:p>
      <w:pPr>
        <w:pStyle w:val="36"/>
        <w:spacing w:before="0"/>
        <w:jc w:val="both"/>
        <w:outlineLvl w:val="0"/>
      </w:pPr>
    </w:p>
    <w:p>
      <w:pPr>
        <w:pStyle w:val="2"/>
      </w:pPr>
    </w:p>
    <w:p>
      <w:bookmarkStart w:id="146" w:name="_Toc275956121"/>
      <w:bookmarkStart w:id="147" w:name="_Toc275956132"/>
    </w:p>
    <w:p/>
    <w:p/>
    <w:p/>
    <w:bookmarkEnd w:id="146"/>
    <w:p>
      <w:pPr>
        <w:tabs>
          <w:tab w:val="left" w:pos="10953"/>
        </w:tabs>
        <w:spacing w:line="288" w:lineRule="auto"/>
        <w:ind w:firstLine="643" w:firstLineChars="200"/>
        <w:jc w:val="center"/>
        <w:textAlignment w:val="baseline"/>
        <w:rPr>
          <w:rStyle w:val="42"/>
          <w:rFonts w:ascii="宋体" w:hAnsi="宋体"/>
          <w:b/>
          <w:bCs/>
          <w:sz w:val="32"/>
          <w:szCs w:val="32"/>
        </w:rPr>
      </w:pPr>
      <w:bookmarkStart w:id="148" w:name="_Toc241459646"/>
      <w:bookmarkStart w:id="149" w:name="_Toc241484542"/>
    </w:p>
    <w:p>
      <w:pPr>
        <w:tabs>
          <w:tab w:val="left" w:pos="10953"/>
        </w:tabs>
        <w:spacing w:line="288" w:lineRule="auto"/>
        <w:ind w:firstLine="643" w:firstLineChars="200"/>
        <w:jc w:val="center"/>
        <w:textAlignment w:val="baseline"/>
        <w:rPr>
          <w:rStyle w:val="42"/>
          <w:rFonts w:ascii="宋体" w:hAnsi="宋体"/>
          <w:b/>
          <w:bCs/>
          <w:sz w:val="32"/>
          <w:szCs w:val="32"/>
        </w:rPr>
      </w:pPr>
    </w:p>
    <w:p>
      <w:pPr>
        <w:tabs>
          <w:tab w:val="left" w:pos="10953"/>
        </w:tabs>
        <w:spacing w:line="288" w:lineRule="auto"/>
        <w:ind w:firstLine="643" w:firstLineChars="200"/>
        <w:jc w:val="center"/>
        <w:textAlignment w:val="baseline"/>
        <w:rPr>
          <w:rStyle w:val="42"/>
          <w:rFonts w:ascii="宋体" w:hAnsi="宋体"/>
          <w:b/>
          <w:bCs/>
          <w:sz w:val="32"/>
          <w:szCs w:val="32"/>
        </w:rPr>
      </w:pPr>
    </w:p>
    <w:bookmarkEnd w:id="147"/>
    <w:bookmarkEnd w:id="148"/>
    <w:bookmarkEnd w:id="149"/>
    <w:p>
      <w:pPr>
        <w:pStyle w:val="4"/>
        <w:pageBreakBefore/>
      </w:pPr>
      <w:bookmarkStart w:id="150" w:name="_Toc275956142"/>
      <w:r>
        <w:rPr>
          <w:rFonts w:hint="eastAsia"/>
        </w:rPr>
        <w:t>第三章评标办法（经评审的最低投标价法）</w:t>
      </w:r>
    </w:p>
    <w:p>
      <w:pPr>
        <w:pStyle w:val="5"/>
        <w:spacing w:line="320" w:lineRule="exact"/>
      </w:pPr>
      <w:bookmarkStart w:id="151" w:name="_评标办法前附表"/>
      <w:bookmarkEnd w:id="151"/>
      <w:bookmarkStart w:id="152" w:name="_Toc275956122"/>
      <w:bookmarkStart w:id="153" w:name="_Toc241484536"/>
      <w:bookmarkStart w:id="154" w:name="_Toc179632606"/>
      <w:bookmarkStart w:id="155" w:name="_Toc144974555"/>
      <w:bookmarkStart w:id="156" w:name="_Toc152042365"/>
      <w:bookmarkStart w:id="157" w:name="_Toc241459640"/>
      <w:bookmarkStart w:id="158" w:name="_Toc152045588"/>
      <w:r>
        <w:rPr>
          <w:rFonts w:hint="eastAsia"/>
        </w:rPr>
        <w:t>评标办法前附表</w:t>
      </w:r>
      <w:bookmarkEnd w:id="152"/>
      <w:bookmarkEnd w:id="153"/>
      <w:bookmarkEnd w:id="154"/>
      <w:bookmarkEnd w:id="155"/>
      <w:bookmarkEnd w:id="156"/>
      <w:bookmarkEnd w:id="157"/>
      <w:bookmarkEnd w:id="158"/>
    </w:p>
    <w:p/>
    <w:tbl>
      <w:tblPr>
        <w:tblStyle w:val="18"/>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4"/>
        <w:gridCol w:w="982"/>
        <w:gridCol w:w="816"/>
        <w:gridCol w:w="1260"/>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813" w:type="dxa"/>
            <w:gridSpan w:val="3"/>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评审因素</w:t>
            </w:r>
          </w:p>
        </w:tc>
        <w:tc>
          <w:tcPr>
            <w:tcW w:w="4815" w:type="dxa"/>
            <w:vAlign w:val="center"/>
          </w:tcPr>
          <w:p>
            <w:pPr>
              <w:jc w:val="center"/>
              <w:rPr>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59" w:name="_2.1.1_1"/>
            <w:bookmarkEnd w:id="159"/>
            <w:r>
              <w:t>2.1.1</w:t>
            </w:r>
          </w:p>
        </w:tc>
        <w:tc>
          <w:tcPr>
            <w:tcW w:w="1066" w:type="dxa"/>
            <w:gridSpan w:val="2"/>
            <w:vMerge w:val="restart"/>
            <w:vAlign w:val="center"/>
          </w:tcPr>
          <w:p>
            <w:pPr>
              <w:rPr>
                <w:b/>
              </w:rPr>
            </w:pPr>
            <w:r>
              <w:rPr>
                <w:rFonts w:hint="eastAsia"/>
                <w:b/>
              </w:rPr>
              <w:t>形式评审标准</w:t>
            </w:r>
          </w:p>
        </w:tc>
        <w:tc>
          <w:tcPr>
            <w:tcW w:w="2076" w:type="dxa"/>
            <w:gridSpan w:val="2"/>
            <w:vAlign w:val="center"/>
          </w:tcPr>
          <w:p>
            <w:r>
              <w:rPr>
                <w:rFonts w:hint="eastAsia"/>
              </w:rPr>
              <w:t>投标人名称</w:t>
            </w:r>
          </w:p>
        </w:tc>
        <w:tc>
          <w:tcPr>
            <w:tcW w:w="4815" w:type="dxa"/>
            <w:vAlign w:val="center"/>
          </w:tcPr>
          <w:p>
            <w:r>
              <w:rPr>
                <w:rFonts w:hint="eastAsia"/>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投标文件签字盖章</w:t>
            </w:r>
          </w:p>
        </w:tc>
        <w:tc>
          <w:tcPr>
            <w:tcW w:w="4815" w:type="dxa"/>
            <w:vAlign w:val="center"/>
          </w:tcPr>
          <w:p>
            <w:r>
              <w:rPr>
                <w:rFonts w:hint="eastAsia" w:ascii="宋体" w:hAnsi="宋体" w:cs="Arial"/>
                <w:szCs w:val="21"/>
              </w:rPr>
              <w:t>符合</w:t>
            </w:r>
            <w:r>
              <w:rPr>
                <w:rFonts w:hint="eastAsia"/>
              </w:rPr>
              <w:t>第二章</w:t>
            </w:r>
            <w:r>
              <w:rPr>
                <w:rFonts w:hint="eastAsia" w:ascii="宋体" w:hAnsi="宋体" w:cs="Arial"/>
                <w:szCs w:val="21"/>
                <w:u w:val="single"/>
              </w:rPr>
              <w:t>投标人须知前附表</w:t>
            </w:r>
            <w:r>
              <w:rPr>
                <w:rFonts w:ascii="宋体" w:hAnsi="宋体" w:cs="Arial"/>
                <w:szCs w:val="21"/>
                <w:u w:val="single"/>
              </w:rPr>
              <w:t>3.7.3</w:t>
            </w:r>
            <w:r>
              <w:rPr>
                <w:rFonts w:hint="eastAsia" w:ascii="宋体" w:hAnsi="宋体" w:cs="Arial"/>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投标文件格式</w:t>
            </w:r>
          </w:p>
        </w:tc>
        <w:tc>
          <w:tcPr>
            <w:tcW w:w="4815" w:type="dxa"/>
            <w:vAlign w:val="center"/>
          </w:tcPr>
          <w:p>
            <w:r>
              <w:rPr>
                <w:rFonts w:hint="eastAsia"/>
              </w:rPr>
              <w:t>符合第五章</w:t>
            </w:r>
            <w:r>
              <w:t>“</w:t>
            </w:r>
            <w:r>
              <w:fldChar w:fldCharType="begin"/>
            </w:r>
            <w:r>
              <w:instrText xml:space="preserve"> HYPERLINK "file:///H:\\泰州招标文件范本\\泰州市房屋建筑和市政工程施工2016.4.docx" \l "_第八章__投标文件格式" </w:instrText>
            </w:r>
            <w:r>
              <w:fldChar w:fldCharType="separate"/>
            </w:r>
            <w:r>
              <w:rPr>
                <w:rStyle w:val="21"/>
                <w:rFonts w:hint="eastAsia"/>
                <w:color w:val="auto"/>
              </w:rPr>
              <w:t>投标文件格式</w:t>
            </w:r>
            <w:r>
              <w:rPr>
                <w:rStyle w:val="21"/>
                <w:rFonts w:hint="eastAsia"/>
                <w:color w:val="auto"/>
              </w:rPr>
              <w:fldChar w:fldCharType="end"/>
            </w:r>
            <w:r>
              <w:t>”</w:t>
            </w:r>
            <w:r>
              <w:rPr>
                <w:rFonts w:hint="eastAsia"/>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报价唯一</w:t>
            </w:r>
          </w:p>
        </w:tc>
        <w:tc>
          <w:tcPr>
            <w:tcW w:w="4815" w:type="dxa"/>
            <w:vAlign w:val="center"/>
          </w:tcPr>
          <w:p>
            <w:r>
              <w:rPr>
                <w:rFonts w:hint="eastAsia"/>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60" w:name="_2.1.2_1"/>
            <w:bookmarkEnd w:id="160"/>
            <w:r>
              <w:t>2.1.2</w:t>
            </w:r>
          </w:p>
        </w:tc>
        <w:tc>
          <w:tcPr>
            <w:tcW w:w="1066" w:type="dxa"/>
            <w:gridSpan w:val="2"/>
            <w:vMerge w:val="restart"/>
            <w:vAlign w:val="center"/>
          </w:tcPr>
          <w:p>
            <w:pPr>
              <w:rPr>
                <w:b/>
              </w:rPr>
            </w:pPr>
            <w:r>
              <w:rPr>
                <w:rFonts w:hint="eastAsia"/>
                <w:b/>
              </w:rPr>
              <w:t>资格评审标准及资格后审</w:t>
            </w:r>
          </w:p>
        </w:tc>
        <w:tc>
          <w:tcPr>
            <w:tcW w:w="2076" w:type="dxa"/>
            <w:gridSpan w:val="2"/>
            <w:vAlign w:val="center"/>
          </w:tcPr>
          <w:p>
            <w:r>
              <w:rPr>
                <w:rFonts w:hint="eastAsia"/>
              </w:rPr>
              <w:t>营业执照</w:t>
            </w:r>
          </w:p>
        </w:tc>
        <w:tc>
          <w:tcPr>
            <w:tcW w:w="4815" w:type="dxa"/>
            <w:vAlign w:val="center"/>
          </w:tcPr>
          <w:p>
            <w:r>
              <w:rPr>
                <w:rFonts w:hint="eastAsia"/>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tcPr>
          <w:p>
            <w:r>
              <w:rPr>
                <w:rFonts w:hint="eastAsia"/>
              </w:rPr>
              <w:t>安全生产许可证</w:t>
            </w:r>
          </w:p>
        </w:tc>
        <w:tc>
          <w:tcPr>
            <w:tcW w:w="4815" w:type="dxa"/>
          </w:tcPr>
          <w:p>
            <w:r>
              <w:rPr>
                <w:rFonts w:hint="eastAsia"/>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资质等级</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企业基本存款账户</w:t>
            </w:r>
          </w:p>
          <w:p>
            <w:r>
              <w:rPr>
                <w:rFonts w:hint="eastAsia"/>
              </w:rPr>
              <w:t>开户许可证</w:t>
            </w:r>
          </w:p>
        </w:tc>
        <w:tc>
          <w:tcPr>
            <w:tcW w:w="4815" w:type="dxa"/>
            <w:vAlign w:val="center"/>
          </w:tcPr>
          <w:p>
            <w:r>
              <w:rPr>
                <w:rFonts w:hint="eastAsia"/>
              </w:rPr>
              <w:t>具备有效的企业基本存款账户开户许可证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类似项目业绩</w:t>
            </w:r>
          </w:p>
        </w:tc>
        <w:tc>
          <w:tcPr>
            <w:tcW w:w="4815" w:type="dxa"/>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"_投标人资格要求" </w:instrText>
            </w:r>
            <w:r>
              <w:fldChar w:fldCharType="separate"/>
            </w:r>
            <w:r>
              <w:rPr>
                <w:rStyle w:val="21"/>
                <w:color w:val="auto"/>
              </w:rPr>
              <w:t>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信誉</w:t>
            </w:r>
          </w:p>
        </w:tc>
        <w:tc>
          <w:tcPr>
            <w:tcW w:w="4815" w:type="dxa"/>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项目经理</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其他要求</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1"/>
                <w:rFonts w:hint="eastAsia"/>
                <w:color w:val="auto"/>
              </w:rPr>
              <w:t>投标人须知”第</w:t>
            </w:r>
            <w:r>
              <w:rPr>
                <w:rStyle w:val="21"/>
                <w:color w:val="auto"/>
              </w:rPr>
              <w:t xml:space="preserve"> 1.4.1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符合第二章“</w:t>
            </w:r>
            <w:r>
              <w:rPr>
                <w:rFonts w:hint="eastAsia"/>
                <w:u w:val="single"/>
              </w:rPr>
              <w:t>投标人须知”第</w:t>
            </w:r>
            <w:r>
              <w:rPr>
                <w:u w:val="single"/>
              </w:rPr>
              <w:t xml:space="preserve"> 1.4.2</w:t>
            </w:r>
            <w:r>
              <w:rPr>
                <w:rFonts w:hint="eastAsia"/>
              </w:rPr>
              <w:t>项规定（如有）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61" w:name="_2.1.3_1"/>
            <w:bookmarkEnd w:id="161"/>
            <w:r>
              <w:t>2.1.3</w:t>
            </w:r>
          </w:p>
        </w:tc>
        <w:tc>
          <w:tcPr>
            <w:tcW w:w="1066" w:type="dxa"/>
            <w:gridSpan w:val="2"/>
            <w:vMerge w:val="restart"/>
            <w:vAlign w:val="center"/>
          </w:tcPr>
          <w:p>
            <w:pPr>
              <w:rPr>
                <w:b/>
              </w:rPr>
            </w:pPr>
            <w:r>
              <w:rPr>
                <w:rFonts w:hint="eastAsia"/>
                <w:b/>
              </w:rPr>
              <w:t>响应性</w:t>
            </w:r>
          </w:p>
          <w:p>
            <w:r>
              <w:rPr>
                <w:rFonts w:hint="eastAsia"/>
                <w:b/>
              </w:rPr>
              <w:t>评审标准</w:t>
            </w:r>
          </w:p>
        </w:tc>
        <w:tc>
          <w:tcPr>
            <w:tcW w:w="2076" w:type="dxa"/>
            <w:gridSpan w:val="2"/>
            <w:vAlign w:val="center"/>
          </w:tcPr>
          <w:p>
            <w:r>
              <w:rPr>
                <w:rFonts w:hint="eastAsia"/>
              </w:rPr>
              <w:t>投标内容</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1"/>
                <w:color w:val="auto"/>
              </w:rPr>
              <w:t>1.3.1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1"/>
                <w:color w:val="auto"/>
              </w:rPr>
              <w:t>1.3.2</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工程质量</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1"/>
                <w:color w:val="auto"/>
              </w:rPr>
              <w:t>1.3.3</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投标有效期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"_投标有效期" </w:instrText>
            </w:r>
            <w:r>
              <w:fldChar w:fldCharType="separate"/>
            </w:r>
            <w:r>
              <w:rPr>
                <w:rStyle w:val="21"/>
                <w:color w:val="auto"/>
              </w:rPr>
              <w:t>3.3.1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投标保证金</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"_投标担保" </w:instrText>
            </w:r>
            <w:r>
              <w:fldChar w:fldCharType="separate"/>
            </w:r>
            <w:r>
              <w:rPr>
                <w:rStyle w:val="21"/>
                <w:color w:val="auto"/>
              </w:rPr>
              <w:t>3.4.1</w:t>
            </w:r>
            <w:r>
              <w:rPr>
                <w:rStyle w:val="21"/>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权利义务</w:t>
            </w:r>
          </w:p>
        </w:tc>
        <w:tc>
          <w:tcPr>
            <w:tcW w:w="4815" w:type="dxa"/>
            <w:vAlign w:val="center"/>
          </w:tcPr>
          <w:p>
            <w:r>
              <w:rPr>
                <w:rFonts w:hint="eastAsia"/>
              </w:rPr>
              <w:t>符合第四章</w:t>
            </w:r>
            <w:r>
              <w:t>“</w:t>
            </w:r>
            <w:r>
              <w:fldChar w:fldCharType="begin"/>
            </w:r>
            <w:r>
              <w:instrText xml:space="preserve"> HYPERLINK "file:///H:\\泰州招标文件范本\\泰州市房屋建筑和市政工程施工2016.4.docx" \l "_第四章_合同条款及格式" </w:instrText>
            </w:r>
            <w:r>
              <w:fldChar w:fldCharType="separate"/>
            </w:r>
            <w:r>
              <w:rPr>
                <w:rStyle w:val="21"/>
                <w:rFonts w:hint="eastAsia"/>
                <w:color w:val="auto"/>
              </w:rPr>
              <w:t>合同条款及格式</w:t>
            </w:r>
            <w:r>
              <w:rPr>
                <w:rStyle w:val="21"/>
                <w:rFonts w:hint="eastAsia"/>
                <w:color w:val="auto"/>
              </w:rPr>
              <w:fldChar w:fldCharType="end"/>
            </w:r>
            <w:r>
              <w:t>”</w:t>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技术标准和要求</w:t>
            </w:r>
          </w:p>
        </w:tc>
        <w:tc>
          <w:tcPr>
            <w:tcW w:w="4815" w:type="dxa"/>
            <w:vAlign w:val="center"/>
          </w:tcPr>
          <w:p>
            <w:r>
              <w:rPr>
                <w:rFonts w:hint="eastAsia"/>
              </w:rPr>
              <w:t>符合第七章“</w:t>
            </w:r>
            <w:r>
              <w:fldChar w:fldCharType="begin"/>
            </w:r>
            <w:r>
              <w:instrText xml:space="preserve"> HYPERLINK "file:///H:\\泰州招标文件范本\\泰州市房屋建筑和市政工程施工2016.4.docx" \l "_第七章_技术标准和要求" </w:instrText>
            </w:r>
            <w:r>
              <w:fldChar w:fldCharType="separate"/>
            </w:r>
            <w:r>
              <w:rPr>
                <w:rStyle w:val="21"/>
                <w:rFonts w:hint="eastAsia"/>
                <w:color w:val="auto"/>
              </w:rPr>
              <w:t>技术标准和要求</w:t>
            </w:r>
            <w:r>
              <w:rPr>
                <w:rStyle w:val="21"/>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投标价格</w:t>
            </w:r>
          </w:p>
        </w:tc>
        <w:tc>
          <w:tcPr>
            <w:tcW w:w="4815" w:type="dxa"/>
            <w:vAlign w:val="center"/>
          </w:tcPr>
          <w:p>
            <w:pPr>
              <w:spacing w:line="300" w:lineRule="exact"/>
            </w:pPr>
            <w:r>
              <w:t>1.</w:t>
            </w:r>
            <w:r>
              <w:rPr>
                <w:rFonts w:hint="eastAsia"/>
              </w:rPr>
              <w:t>投标总价低于（含等于）第二章</w:t>
            </w:r>
            <w:r>
              <w:fldChar w:fldCharType="begin"/>
            </w:r>
            <w:r>
              <w:instrText xml:space="preserve"> HYPERLINK "file:///H:\\泰州招标文件范本\\泰州市房屋建筑和市政工程施工2016.4.docx" \l "_10.2" </w:instrText>
            </w:r>
            <w:r>
              <w:fldChar w:fldCharType="separate"/>
            </w:r>
            <w:r>
              <w:rPr>
                <w:rStyle w:val="21"/>
                <w:rFonts w:hint="eastAsia"/>
                <w:color w:val="auto"/>
              </w:rPr>
              <w:t>投标人须知前附表第</w:t>
            </w:r>
            <w:r>
              <w:rPr>
                <w:rStyle w:val="21"/>
                <w:color w:val="auto"/>
              </w:rPr>
              <w:t>10.2</w:t>
            </w:r>
            <w:r>
              <w:rPr>
                <w:rStyle w:val="21"/>
                <w:rFonts w:hint="eastAsia"/>
                <w:color w:val="auto"/>
              </w:rPr>
              <w:t>项</w:t>
            </w:r>
            <w:r>
              <w:rPr>
                <w:rStyle w:val="21"/>
                <w:rFonts w:hint="eastAsia"/>
                <w:color w:val="auto"/>
              </w:rPr>
              <w:fldChar w:fldCharType="end"/>
            </w:r>
            <w:r>
              <w:rPr>
                <w:rFonts w:hint="eastAsia"/>
              </w:rPr>
              <w:t>载明的</w:t>
            </w:r>
            <w:r>
              <w:t>招标人期望值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gridSpan w:val="2"/>
            <w:vMerge w:val="continue"/>
            <w:vAlign w:val="center"/>
          </w:tcPr>
          <w:p>
            <w:pPr>
              <w:widowControl/>
              <w:jc w:val="left"/>
            </w:pPr>
          </w:p>
        </w:tc>
        <w:tc>
          <w:tcPr>
            <w:tcW w:w="2076" w:type="dxa"/>
            <w:gridSpan w:val="2"/>
            <w:vAlign w:val="center"/>
          </w:tcPr>
          <w:p>
            <w:r>
              <w:rPr>
                <w:rFonts w:hint="eastAsia"/>
              </w:rPr>
              <w:t>分包计划</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"_分__包" </w:instrText>
            </w:r>
            <w:r>
              <w:fldChar w:fldCharType="separate"/>
            </w:r>
            <w:r>
              <w:rPr>
                <w:rStyle w:val="21"/>
                <w:color w:val="auto"/>
              </w:rPr>
              <w:t>1.11</w:t>
            </w:r>
            <w:r>
              <w:rPr>
                <w:rStyle w:val="21"/>
                <w:rFonts w:hint="eastAsia"/>
                <w:color w:val="auto"/>
              </w:rPr>
              <w:t>项</w:t>
            </w:r>
            <w:r>
              <w:rPr>
                <w:rStyle w:val="21"/>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747" w:type="dxa"/>
            <w:vAlign w:val="center"/>
          </w:tcPr>
          <w:p>
            <w:bookmarkStart w:id="162" w:name="_2.1.4"/>
            <w:bookmarkEnd w:id="162"/>
            <w:r>
              <w:t>2.1.4</w:t>
            </w:r>
          </w:p>
        </w:tc>
        <w:tc>
          <w:tcPr>
            <w:tcW w:w="1066" w:type="dxa"/>
            <w:gridSpan w:val="2"/>
            <w:vAlign w:val="center"/>
          </w:tcPr>
          <w:p>
            <w:r>
              <w:rPr>
                <w:rFonts w:hint="eastAsia"/>
                <w:b/>
              </w:rPr>
              <w:t>施工组织设计和项目管理机构评审标准</w:t>
            </w:r>
          </w:p>
        </w:tc>
        <w:tc>
          <w:tcPr>
            <w:tcW w:w="6891" w:type="dxa"/>
            <w:gridSpan w:val="3"/>
            <w:vAlign w:val="center"/>
          </w:tcPr>
          <w:p>
            <w:r>
              <w:rPr>
                <w:rFonts w:hint="eastAsia"/>
              </w:rPr>
              <w:t>本项目无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704" w:type="dxa"/>
            <w:gridSpan w:val="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13" w:type="dxa"/>
            <w:gridSpan w:val="3"/>
            <w:vAlign w:val="center"/>
          </w:tcPr>
          <w:p>
            <w:r>
              <w:rPr>
                <w:rFonts w:hint="eastAsia"/>
              </w:rPr>
              <w:t>条款号</w:t>
            </w:r>
          </w:p>
        </w:tc>
        <w:tc>
          <w:tcPr>
            <w:tcW w:w="2076" w:type="dxa"/>
            <w:gridSpan w:val="2"/>
            <w:vAlign w:val="center"/>
          </w:tcPr>
          <w:p>
            <w:r>
              <w:rPr>
                <w:rFonts w:hint="eastAsia"/>
              </w:rPr>
              <w:t>条款内容</w:t>
            </w:r>
          </w:p>
        </w:tc>
        <w:tc>
          <w:tcPr>
            <w:tcW w:w="4815" w:type="dxa"/>
            <w:vAlign w:val="center"/>
          </w:tcPr>
          <w:p>
            <w:r>
              <w:rPr>
                <w:rFonts w:hint="eastAsi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bookmarkStart w:id="163" w:name="_2.2"/>
            <w:bookmarkEnd w:id="163"/>
            <w:r>
              <w:t>2.2.1</w:t>
            </w:r>
          </w:p>
        </w:tc>
        <w:tc>
          <w:tcPr>
            <w:tcW w:w="2076" w:type="dxa"/>
            <w:gridSpan w:val="2"/>
            <w:vAlign w:val="center"/>
          </w:tcPr>
          <w:p>
            <w:r>
              <w:rPr>
                <w:rFonts w:hint="eastAsia"/>
              </w:rPr>
              <w:t>分值构成</w:t>
            </w:r>
          </w:p>
          <w:p>
            <w:r>
              <w:t>(</w:t>
            </w:r>
            <w:r>
              <w:rPr>
                <w:rFonts w:hint="eastAsia"/>
              </w:rPr>
              <w:t>总分</w:t>
            </w:r>
            <w:r>
              <w:t>100</w:t>
            </w:r>
            <w:r>
              <w:rPr>
                <w:rFonts w:hint="eastAsia"/>
              </w:rPr>
              <w:t>分</w:t>
            </w:r>
            <w:r>
              <w:t>)</w:t>
            </w:r>
          </w:p>
        </w:tc>
        <w:tc>
          <w:tcPr>
            <w:tcW w:w="4815" w:type="dxa"/>
            <w:vAlign w:val="center"/>
          </w:tcPr>
          <w:p>
            <w:pPr>
              <w:spacing w:line="360" w:lineRule="exact"/>
            </w:pPr>
            <w:r>
              <w:rPr>
                <w:rFonts w:hint="eastAsia"/>
              </w:rPr>
              <w:t>投标报价：</w:t>
            </w:r>
            <w:r>
              <w:rPr>
                <w:rFonts w:hint="eastAsia"/>
                <w:u w:val="single"/>
              </w:rPr>
              <w:t xml:space="preserve">100  </w:t>
            </w:r>
            <w:r>
              <w:rPr>
                <w:rFonts w:hint="eastAsia"/>
              </w:rPr>
              <w:t>分</w:t>
            </w:r>
          </w:p>
          <w:p>
            <w:pPr>
              <w:spacing w:line="360" w:lineRule="exact"/>
            </w:pPr>
            <w:r>
              <w:rPr>
                <w:rFonts w:hint="eastAsia"/>
              </w:rPr>
              <w:t>投标文件算术错误</w:t>
            </w:r>
            <w:r>
              <w:rPr>
                <w:rFonts w:hint="eastAsia"/>
                <w:u w:val="single"/>
              </w:rPr>
              <w:t>0</w:t>
            </w:r>
            <w:r>
              <w:rPr>
                <w:rFonts w:hint="eastAsia"/>
              </w:rPr>
              <w:t>分</w:t>
            </w:r>
          </w:p>
          <w:p>
            <w:pPr>
              <w:spacing w:line="360" w:lineRule="exact"/>
            </w:pPr>
            <w:r>
              <w:rPr>
                <w:rFonts w:hint="eastAsia"/>
              </w:rPr>
              <w:t>细微偏差：</w:t>
            </w:r>
            <w:r>
              <w:rPr>
                <w:rFonts w:hint="eastAsia"/>
                <w:u w:val="single"/>
              </w:rPr>
              <w:t>0</w:t>
            </w:r>
            <w:r>
              <w:rPr>
                <w:rFonts w:hint="eastAsia"/>
              </w:rPr>
              <w:t>分</w:t>
            </w:r>
          </w:p>
          <w:p>
            <w:pPr>
              <w:spacing w:line="360" w:lineRule="exact"/>
            </w:pPr>
            <w:r>
              <w:rPr>
                <w:rFonts w:hint="eastAsia"/>
              </w:rPr>
              <w:t>报价偏离：</w:t>
            </w:r>
            <w:r>
              <w:rPr>
                <w:rFonts w:hint="eastAsia"/>
                <w:u w:val="single"/>
              </w:rPr>
              <w:t>0</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3"/>
            <w:vAlign w:val="center"/>
          </w:tcPr>
          <w:p>
            <w:r>
              <w:t>2.2.2</w:t>
            </w:r>
          </w:p>
        </w:tc>
        <w:tc>
          <w:tcPr>
            <w:tcW w:w="2076" w:type="dxa"/>
            <w:gridSpan w:val="2"/>
            <w:vAlign w:val="center"/>
          </w:tcPr>
          <w:p>
            <w:r>
              <w:rPr>
                <w:rFonts w:hint="eastAsia"/>
              </w:rPr>
              <w:t>评标基准价计算方法</w:t>
            </w:r>
          </w:p>
        </w:tc>
        <w:tc>
          <w:tcPr>
            <w:tcW w:w="4815" w:type="dxa"/>
            <w:vAlign w:val="center"/>
          </w:tcPr>
          <w:p>
            <w:pPr>
              <w:rPr>
                <w:b/>
              </w:rPr>
            </w:pPr>
            <w:r>
              <w:rPr>
                <w:rFonts w:hint="eastAsia"/>
                <w:b/>
              </w:rPr>
              <w:t>以有效投标文件的投标报价</w:t>
            </w:r>
            <w:r>
              <w:rPr>
                <w:b/>
              </w:rPr>
              <w:t>的</w:t>
            </w:r>
            <w:r>
              <w:rPr>
                <w:rFonts w:hint="eastAsia"/>
                <w:b/>
              </w:rPr>
              <w:t>最</w:t>
            </w:r>
            <w:r>
              <w:rPr>
                <w:b/>
              </w:rPr>
              <w:t>低值为</w:t>
            </w:r>
            <w:r>
              <w:rPr>
                <w:rFonts w:hint="eastAsia"/>
                <w:b/>
              </w:rPr>
              <w:t>评标基准价。</w:t>
            </w:r>
          </w:p>
          <w:p>
            <w:pPr>
              <w:rPr>
                <w:b/>
              </w:rPr>
            </w:pPr>
            <w:r>
              <w:rPr>
                <w:rFonts w:hint="eastAsia"/>
                <w:b/>
              </w:rPr>
              <w:t>说明：</w:t>
            </w:r>
          </w:p>
          <w:p>
            <w:pPr>
              <w:numPr>
                <w:ilvl w:val="0"/>
                <w:numId w:val="1"/>
              </w:numPr>
            </w:pPr>
            <w:r>
              <w:rPr>
                <w:rFonts w:hint="eastAsia"/>
              </w:rPr>
              <w:t>投标报价指经澄清、补正和修正算术计算错误的报价；</w:t>
            </w:r>
          </w:p>
          <w:p>
            <w:r>
              <w:rPr>
                <w:rFonts w:hint="eastAsia"/>
              </w:rPr>
              <w:t>2</w:t>
            </w:r>
            <w:r>
              <w:t>.</w:t>
            </w:r>
            <w:r>
              <w:rPr>
                <w:rFonts w:hint="eastAsia"/>
              </w:rPr>
              <w:t>有效投标文件是指未被评标委员会判定为无效标的投标文件。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13" w:type="dxa"/>
            <w:gridSpan w:val="3"/>
            <w:vAlign w:val="center"/>
          </w:tcPr>
          <w:p>
            <w:r>
              <w:t>2.2.3</w:t>
            </w:r>
          </w:p>
        </w:tc>
        <w:tc>
          <w:tcPr>
            <w:tcW w:w="2076" w:type="dxa"/>
            <w:gridSpan w:val="2"/>
            <w:vAlign w:val="center"/>
          </w:tcPr>
          <w:p>
            <w:r>
              <w:rPr>
                <w:rFonts w:hint="eastAsia"/>
              </w:rPr>
              <w:t>投标报价的偏差率</w:t>
            </w:r>
          </w:p>
          <w:p>
            <w:r>
              <w:rPr>
                <w:rFonts w:hint="eastAsia"/>
              </w:rPr>
              <w:t>计算公式</w:t>
            </w:r>
          </w:p>
        </w:tc>
        <w:tc>
          <w:tcPr>
            <w:tcW w:w="4815" w:type="dxa"/>
            <w:vAlign w:val="center"/>
          </w:tcPr>
          <w:p>
            <w:r>
              <w:rPr>
                <w:rFonts w:hint="eastAsia"/>
              </w:rPr>
              <w:t>偏差率</w:t>
            </w:r>
            <w:r>
              <w:t>=100% ×</w:t>
            </w:r>
            <w:r>
              <w:rPr>
                <w:rFonts w:hint="eastAsia"/>
              </w:rPr>
              <w:t>（投标人报价</w:t>
            </w:r>
            <w:r>
              <w:t xml:space="preserve"> - </w:t>
            </w:r>
            <w:r>
              <w:rPr>
                <w:rFonts w:hint="eastAsia"/>
              </w:rPr>
              <w:t>评标基准价）</w:t>
            </w:r>
            <w:r>
              <w:t>/</w:t>
            </w:r>
            <w:r>
              <w:rPr>
                <w:rFonts w:hint="eastAsia"/>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813" w:type="dxa"/>
            <w:gridSpan w:val="3"/>
            <w:vAlign w:val="center"/>
          </w:tcPr>
          <w:p>
            <w:r>
              <w:rPr>
                <w:rFonts w:hint="eastAsia"/>
              </w:rPr>
              <w:t>条款号</w:t>
            </w:r>
          </w:p>
        </w:tc>
        <w:tc>
          <w:tcPr>
            <w:tcW w:w="2076" w:type="dxa"/>
            <w:gridSpan w:val="2"/>
            <w:vAlign w:val="center"/>
          </w:tcPr>
          <w:p>
            <w:r>
              <w:rPr>
                <w:rFonts w:hint="eastAsia"/>
              </w:rPr>
              <w:t>评分因素</w:t>
            </w:r>
          </w:p>
        </w:tc>
        <w:tc>
          <w:tcPr>
            <w:tcW w:w="4815" w:type="dxa"/>
            <w:vAlign w:val="center"/>
          </w:tcPr>
          <w:p>
            <w:r>
              <w:rPr>
                <w:rFonts w:hint="eastAsi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31" w:type="dxa"/>
            <w:gridSpan w:val="2"/>
            <w:vAlign w:val="center"/>
          </w:tcPr>
          <w:p>
            <w:r>
              <w:t>2.2.4</w:t>
            </w:r>
          </w:p>
        </w:tc>
        <w:tc>
          <w:tcPr>
            <w:tcW w:w="982" w:type="dxa"/>
            <w:vAlign w:val="center"/>
          </w:tcPr>
          <w:p>
            <w:r>
              <w:rPr>
                <w:rFonts w:hint="eastAsia"/>
              </w:rPr>
              <w:t>投标报价评分标准</w:t>
            </w:r>
          </w:p>
        </w:tc>
        <w:tc>
          <w:tcPr>
            <w:tcW w:w="2076" w:type="dxa"/>
            <w:gridSpan w:val="2"/>
            <w:vAlign w:val="center"/>
          </w:tcPr>
          <w:p>
            <w:r>
              <w:rPr>
                <w:rFonts w:hint="eastAsia"/>
              </w:rPr>
              <w:t>投标报价</w:t>
            </w:r>
          </w:p>
        </w:tc>
        <w:tc>
          <w:tcPr>
            <w:tcW w:w="4815" w:type="dxa"/>
            <w:vAlign w:val="center"/>
          </w:tcPr>
          <w:p>
            <w:r>
              <w:rPr>
                <w:rFonts w:hint="eastAsia"/>
              </w:rPr>
              <w:t>投标报价等于评标基准价得满分，投标报价与评标基准价相比，每高</w:t>
            </w:r>
            <w:r>
              <w:t>1%</w:t>
            </w:r>
            <w:r>
              <w:rPr>
                <w:rFonts w:hint="eastAsia"/>
              </w:rPr>
              <w:t>扣</w:t>
            </w:r>
            <w:r>
              <w:rPr>
                <w:rFonts w:hint="eastAsia" w:ascii="Arial" w:hAnsi="Arial" w:cs="Arial"/>
                <w:bCs/>
                <w:szCs w:val="21"/>
                <w:u w:val="single"/>
              </w:rPr>
              <w:t>0.5</w:t>
            </w:r>
            <w:r>
              <w:rPr>
                <w:rFonts w:hint="eastAsia"/>
              </w:rPr>
              <w:t>分，按照插入法计算得分。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04" w:type="dxa"/>
            <w:gridSpan w:val="6"/>
            <w:vAlign w:val="center"/>
          </w:tcPr>
          <w:p>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1</w:t>
            </w:r>
          </w:p>
        </w:tc>
        <w:tc>
          <w:tcPr>
            <w:tcW w:w="1882" w:type="dxa"/>
            <w:gridSpan w:val="3"/>
            <w:vAlign w:val="center"/>
          </w:tcPr>
          <w:p>
            <w:pPr>
              <w:rPr>
                <w:b/>
              </w:rPr>
            </w:pPr>
            <w:r>
              <w:rPr>
                <w:rFonts w:hint="eastAsia"/>
                <w:b/>
              </w:rPr>
              <w:t>评标程序</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"_附件A：评标详细程序。" </w:instrText>
            </w:r>
            <w:r>
              <w:fldChar w:fldCharType="separate"/>
            </w:r>
            <w:r>
              <w:rPr>
                <w:rStyle w:val="21"/>
                <w:rFonts w:hint="eastAsia"/>
                <w:color w:val="auto"/>
              </w:rPr>
              <w:t>本章附件</w:t>
            </w:r>
            <w:r>
              <w:rPr>
                <w:rStyle w:val="21"/>
                <w:color w:val="auto"/>
              </w:rPr>
              <w:t>A</w:t>
            </w:r>
            <w:r>
              <w:rPr>
                <w:rStyle w:val="21"/>
                <w:color w:val="auto"/>
              </w:rPr>
              <w:fldChar w:fldCharType="end"/>
            </w:r>
            <w:r>
              <w:rPr>
                <w:rFonts w:hint="eastAsia"/>
              </w:rPr>
              <w:t>：评标详细程序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2</w:t>
            </w:r>
          </w:p>
        </w:tc>
        <w:tc>
          <w:tcPr>
            <w:tcW w:w="1882" w:type="dxa"/>
            <w:gridSpan w:val="3"/>
            <w:vAlign w:val="center"/>
          </w:tcPr>
          <w:p>
            <w:pPr>
              <w:rPr>
                <w:b/>
              </w:rPr>
            </w:pPr>
            <w:r>
              <w:rPr>
                <w:rFonts w:hint="eastAsia"/>
                <w:b/>
              </w:rPr>
              <w:t>否决投标条件</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"_附件B：废标条件" </w:instrText>
            </w:r>
            <w:r>
              <w:fldChar w:fldCharType="separate"/>
            </w:r>
            <w:r>
              <w:rPr>
                <w:rStyle w:val="21"/>
                <w:rFonts w:hint="eastAsia"/>
                <w:color w:val="auto"/>
              </w:rPr>
              <w:t>本章附件</w:t>
            </w:r>
            <w:r>
              <w:rPr>
                <w:rStyle w:val="21"/>
                <w:color w:val="auto"/>
              </w:rPr>
              <w:t>B</w:t>
            </w:r>
            <w:r>
              <w:rPr>
                <w:rStyle w:val="21"/>
                <w:color w:val="auto"/>
              </w:rPr>
              <w:fldChar w:fldCharType="end"/>
            </w:r>
            <w:r>
              <w:rPr>
                <w:rFonts w:hint="eastAsia"/>
              </w:rPr>
              <w:t>：否决投标条件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3</w:t>
            </w:r>
          </w:p>
        </w:tc>
        <w:tc>
          <w:tcPr>
            <w:tcW w:w="1882" w:type="dxa"/>
            <w:gridSpan w:val="3"/>
            <w:vAlign w:val="center"/>
          </w:tcPr>
          <w:p>
            <w:pPr>
              <w:rPr>
                <w:b/>
              </w:rPr>
            </w:pPr>
            <w:r>
              <w:rPr>
                <w:rFonts w:hint="eastAsia"/>
                <w:b/>
              </w:rPr>
              <w:t>判断投标报价是否低于其成本</w:t>
            </w:r>
          </w:p>
        </w:tc>
        <w:tc>
          <w:tcPr>
            <w:tcW w:w="6075" w:type="dxa"/>
            <w:gridSpan w:val="2"/>
            <w:vAlign w:val="center"/>
          </w:tcPr>
          <w:p>
            <w:r>
              <w:rPr>
                <w:rFonts w:hint="eastAsia"/>
              </w:rPr>
              <w:t>详见</w:t>
            </w:r>
            <w:r>
              <w:rPr>
                <w:rFonts w:hint="eastAsia"/>
                <w:u w:val="single"/>
              </w:rPr>
              <w:t>本章附件</w:t>
            </w:r>
            <w:r>
              <w:rPr>
                <w:u w:val="single"/>
              </w:rPr>
              <w:t>C</w:t>
            </w:r>
            <w:r>
              <w:rPr>
                <w:rFonts w:hint="eastAsia"/>
              </w:rPr>
              <w:t>：投标人成本评审办法</w:t>
            </w:r>
          </w:p>
        </w:tc>
      </w:tr>
    </w:tbl>
    <w:p/>
    <w:p>
      <w:r>
        <w:rPr>
          <w:kern w:val="0"/>
        </w:rPr>
        <w:br w:type="page"/>
      </w:r>
    </w:p>
    <w:p>
      <w:pPr>
        <w:pStyle w:val="5"/>
        <w:spacing w:line="320" w:lineRule="exact"/>
      </w:pPr>
      <w:bookmarkStart w:id="164" w:name="_Toc275956123"/>
      <w:r>
        <w:rPr>
          <w:rFonts w:cs="TimesNewRomanPSMT"/>
        </w:rPr>
        <w:t xml:space="preserve">1. </w:t>
      </w:r>
      <w:r>
        <w:rPr>
          <w:rFonts w:hint="eastAsia"/>
        </w:rPr>
        <w:t>评标方法</w:t>
      </w:r>
      <w:bookmarkEnd w:id="164"/>
    </w:p>
    <w:p>
      <w:p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本次评标，采用</w:t>
      </w:r>
      <w:r>
        <w:rPr>
          <w:rFonts w:hint="eastAsia"/>
        </w:rPr>
        <w:t>经评审的最低投标价法</w:t>
      </w:r>
      <w:r>
        <w:rPr>
          <w:rFonts w:hint="eastAsia" w:ascii="宋体" w:hAnsi="宋体" w:cs="仿宋_GB2312"/>
          <w:kern w:val="0"/>
          <w:szCs w:val="21"/>
        </w:rPr>
        <w:t>。评标委员会对满足招标文件实质性要求的投标文件进行评审。根据本章第</w:t>
      </w:r>
      <w:r>
        <w:rPr>
          <w:rFonts w:ascii="宋体" w:hAnsi="宋体" w:cs="TimesNewRomanPSMT"/>
          <w:kern w:val="0"/>
          <w:szCs w:val="21"/>
        </w:rPr>
        <w:t xml:space="preserve">2.2 </w:t>
      </w:r>
      <w:r>
        <w:rPr>
          <w:rFonts w:hint="eastAsia" w:ascii="宋体" w:hAnsi="宋体" w:cs="仿宋_GB2312"/>
          <w:kern w:val="0"/>
          <w:szCs w:val="21"/>
        </w:rPr>
        <w:t>款规定的评分标准进行评审，并按排名顺序推荐中标候选人，或根据招标人授权直接确定中标人，但投标报价低于其成本的除外。投标报价相等的，由招标人自行确定或通过抽签活动确定，抽签活动基本程序如下：</w:t>
      </w:r>
    </w:p>
    <w:p>
      <w:pPr>
        <w:numPr>
          <w:ilvl w:val="0"/>
          <w:numId w:val="2"/>
        </w:numPr>
        <w:autoSpaceDE w:val="0"/>
        <w:autoSpaceDN w:val="0"/>
        <w:adjustRightInd w:val="0"/>
        <w:spacing w:line="320" w:lineRule="exact"/>
        <w:ind w:firstLine="420" w:firstLineChars="200"/>
        <w:jc w:val="left"/>
      </w:pPr>
      <w:r>
        <w:rPr>
          <w:rFonts w:hint="eastAsia"/>
        </w:rPr>
        <w:t>招标人沟通后，投标报价相同的名次并列投标人在规定时间至告知地点参加抽签活动。</w:t>
      </w:r>
    </w:p>
    <w:p>
      <w:pPr>
        <w:numPr>
          <w:ilvl w:val="0"/>
          <w:numId w:val="2"/>
        </w:numPr>
        <w:autoSpaceDE w:val="0"/>
        <w:autoSpaceDN w:val="0"/>
        <w:adjustRightInd w:val="0"/>
        <w:spacing w:line="320" w:lineRule="exact"/>
        <w:ind w:firstLine="420" w:firstLineChars="200"/>
        <w:jc w:val="left"/>
      </w:pPr>
      <w:r>
        <w:rPr>
          <w:rFonts w:hint="eastAsia"/>
        </w:rPr>
        <w:t>投标人的委托代理人</w:t>
      </w:r>
      <w:r>
        <w:t>(</w:t>
      </w:r>
      <w:r>
        <w:rPr>
          <w:rFonts w:hint="eastAsia"/>
        </w:rPr>
        <w:t>须有法定代表人的授权委托书</w:t>
      </w:r>
      <w:r>
        <w:t>)</w:t>
      </w:r>
      <w:r>
        <w:rPr>
          <w:rFonts w:hint="eastAsia"/>
        </w:rPr>
        <w:t>应携带本人第二代居民身份证参加抽签活动。未在规定时间内按时参加抽签活动的，视为自动放弃且认可抽签结果。事后，招标人拒绝其对抽签活动提出的异议。</w:t>
      </w:r>
    </w:p>
    <w:p>
      <w:pPr>
        <w:numPr>
          <w:ilvl w:val="0"/>
          <w:numId w:val="2"/>
        </w:numPr>
        <w:autoSpaceDE w:val="0"/>
        <w:autoSpaceDN w:val="0"/>
        <w:adjustRightInd w:val="0"/>
        <w:spacing w:line="320" w:lineRule="exact"/>
        <w:ind w:firstLine="420" w:firstLineChars="200"/>
        <w:jc w:val="left"/>
      </w:pPr>
      <w:r>
        <w:rPr>
          <w:rFonts w:hint="eastAsia"/>
        </w:rPr>
        <w:t>抽签方式：</w:t>
      </w:r>
    </w:p>
    <w:p>
      <w:pPr>
        <w:pStyle w:val="37"/>
        <w:numPr>
          <w:ilvl w:val="0"/>
          <w:numId w:val="3"/>
        </w:numPr>
        <w:autoSpaceDE w:val="0"/>
        <w:autoSpaceDN w:val="0"/>
        <w:adjustRightInd w:val="0"/>
        <w:spacing w:line="320" w:lineRule="exact"/>
        <w:ind w:firstLineChars="0"/>
        <w:jc w:val="left"/>
        <w:rPr>
          <w:rFonts w:hAnsi="宋体"/>
          <w:szCs w:val="21"/>
        </w:rPr>
      </w:pPr>
      <w:r>
        <w:rPr>
          <w:rFonts w:hint="eastAsia"/>
        </w:rPr>
        <w:t>投标人</w:t>
      </w:r>
      <w:r>
        <w:rPr>
          <w:rFonts w:hint="eastAsia" w:hAnsi="宋体"/>
          <w:szCs w:val="21"/>
        </w:rPr>
        <w:t>按照递交标文件的先后顺序依次抽取球号，抽取的球号分别对应各投标人。</w:t>
      </w:r>
    </w:p>
    <w:p>
      <w:pPr>
        <w:numPr>
          <w:ilvl w:val="0"/>
          <w:numId w:val="3"/>
        </w:num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招标人代表抽取标号球。第一个抽取到的号球所标球号对应的投标人为第一中标候选人，第二个抽取到的号球所标球号对应的投标人为第二中标候选人，第三个抽取到的号球所标球号对应的投标人为第三中标候选人。</w:t>
      </w:r>
    </w:p>
    <w:p>
      <w:pPr>
        <w:autoSpaceDE w:val="0"/>
        <w:autoSpaceDN w:val="0"/>
        <w:adjustRightInd w:val="0"/>
        <w:spacing w:line="320" w:lineRule="exact"/>
        <w:ind w:firstLine="420"/>
        <w:jc w:val="left"/>
        <w:rPr>
          <w:rFonts w:ascii="宋体" w:cs="仿宋_GB2312"/>
          <w:kern w:val="0"/>
          <w:szCs w:val="21"/>
        </w:rPr>
      </w:pPr>
      <w:r>
        <w:rPr>
          <w:rFonts w:ascii="宋体" w:hAnsi="宋体" w:cs="仿宋_GB2312"/>
          <w:kern w:val="0"/>
          <w:szCs w:val="21"/>
        </w:rPr>
        <w:t>4</w:t>
      </w:r>
      <w:r>
        <w:rPr>
          <w:rFonts w:hint="eastAsia" w:ascii="宋体" w:hAnsi="宋体" w:cs="仿宋_GB2312"/>
          <w:kern w:val="0"/>
          <w:szCs w:val="21"/>
        </w:rPr>
        <w:t>、抽签活动参加人员有异议的，应在抽签活动现场提出，招标人应予以答复并记录。</w:t>
      </w:r>
    </w:p>
    <w:p>
      <w:pPr>
        <w:autoSpaceDE w:val="0"/>
        <w:autoSpaceDN w:val="0"/>
        <w:adjustRightInd w:val="0"/>
        <w:spacing w:line="320" w:lineRule="exact"/>
        <w:ind w:firstLine="420"/>
        <w:jc w:val="left"/>
      </w:pPr>
      <w:r>
        <w:rPr>
          <w:rFonts w:ascii="宋体" w:hAnsi="宋体" w:cs="仿宋_GB2312"/>
          <w:kern w:val="0"/>
          <w:szCs w:val="21"/>
        </w:rPr>
        <w:t>5</w:t>
      </w:r>
      <w:r>
        <w:rPr>
          <w:rFonts w:hint="eastAsia" w:ascii="宋体" w:hAnsi="宋体" w:cs="仿宋_GB2312"/>
          <w:kern w:val="0"/>
          <w:szCs w:val="21"/>
        </w:rPr>
        <w:t>、参加抽签活动各方代表签字确认抽签结果。</w:t>
      </w:r>
      <w:r>
        <w:rPr>
          <w:rFonts w:hint="eastAsia"/>
        </w:rPr>
        <w:t>无正当理由拒绝签字确认抽签结果的，视为认可抽签结果。事后，招标人拒绝其对抽签活动提出的异议。</w:t>
      </w:r>
    </w:p>
    <w:p>
      <w:pPr>
        <w:pStyle w:val="5"/>
        <w:spacing w:line="320" w:lineRule="exact"/>
      </w:pPr>
      <w:bookmarkStart w:id="165" w:name="_Toc275956124"/>
      <w:r>
        <w:rPr>
          <w:rFonts w:cs="TimesNewRomanPSMT"/>
        </w:rPr>
        <w:t xml:space="preserve">2. </w:t>
      </w:r>
      <w:r>
        <w:rPr>
          <w:rFonts w:hint="eastAsia"/>
        </w:rPr>
        <w:t>评审标准</w:t>
      </w:r>
      <w:bookmarkEnd w:id="165"/>
    </w:p>
    <w:p>
      <w:pPr>
        <w:pStyle w:val="6"/>
        <w:spacing w:line="320" w:lineRule="exact"/>
      </w:pPr>
      <w:r>
        <w:rPr>
          <w:rFonts w:cs="TimesNewRomanPSMT"/>
        </w:rPr>
        <w:t xml:space="preserve">2.1 </w:t>
      </w:r>
      <w:r>
        <w:rPr>
          <w:rFonts w:hint="eastAsia"/>
        </w:rPr>
        <w:t>初步评审标准</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2.1.1 </w:t>
      </w:r>
      <w:r>
        <w:rPr>
          <w:rFonts w:hint="eastAsia" w:ascii="宋体" w:hAnsi="宋体" w:cs="仿宋_GB2312"/>
          <w:kern w:val="0"/>
          <w:szCs w:val="21"/>
        </w:rPr>
        <w:t>形式评审标准：见</w:t>
      </w:r>
      <w:r>
        <w:fldChar w:fldCharType="begin"/>
      </w:r>
      <w:r>
        <w:instrText xml:space="preserve"> HYPERLINK "file:///H:\\泰州招标文件范本\\泰州市房屋建筑和市政工程施工2016.4.docx" \l "_2.1.1_1"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2.1.1</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w:t>
      </w:r>
      <w:r>
        <w:fldChar w:fldCharType="begin"/>
      </w:r>
      <w:r>
        <w:instrText xml:space="preserve"> HYPERLINK "file:///H:\\泰州招标文件范本\\泰州市房屋建筑和市政工程施工2016.4.docx" \l "_2.1.2_1"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2.1.2</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（适用于资格后审的）。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资格评审标准：见本标段资格预审文件第三章“资格审查办法”详细审查标准（适用于已进行资格预审的）。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2.1.3 </w:t>
      </w:r>
      <w:r>
        <w:rPr>
          <w:rFonts w:hint="eastAsia" w:ascii="宋体" w:hAnsi="宋体" w:cs="仿宋_GB2312"/>
          <w:kern w:val="0"/>
          <w:szCs w:val="21"/>
        </w:rPr>
        <w:t>响应性评审标准：见</w:t>
      </w:r>
      <w:r>
        <w:fldChar w:fldCharType="begin"/>
      </w:r>
      <w:r>
        <w:instrText xml:space="preserve"> HYPERLINK "file:///H:\\泰州招标文件范本\\泰州市房屋建筑和市政工程施工2016.4.docx" \l "_2.1.3_1"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2.1.3</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2.1.4 </w:t>
      </w:r>
      <w:r>
        <w:rPr>
          <w:rFonts w:hint="eastAsia" w:ascii="宋体" w:hAnsi="宋体" w:cs="仿宋_GB2312"/>
          <w:kern w:val="0"/>
          <w:szCs w:val="21"/>
        </w:rPr>
        <w:t>施工组织设计和项目管理机构评审标准：见</w:t>
      </w:r>
      <w:r>
        <w:fldChar w:fldCharType="begin"/>
      </w:r>
      <w:r>
        <w:instrText xml:space="preserve"> HYPERLINK "file:///H:\\泰州招标文件范本\\泰州市房屋建筑和市政工程施工2016.4.docx" \l "_2.1.4"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2.1.4</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6"/>
        <w:spacing w:line="320" w:lineRule="exact"/>
      </w:pPr>
      <w:r>
        <w:rPr>
          <w:rFonts w:cs="TimesNewRomanPSMT"/>
        </w:rPr>
        <w:t xml:space="preserve">2.2 </w:t>
      </w:r>
      <w:r>
        <w:rPr>
          <w:rFonts w:hint="eastAsia"/>
        </w:rPr>
        <w:t>分值构成与评分标准</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2.2.1 </w:t>
      </w:r>
      <w:r>
        <w:rPr>
          <w:rFonts w:hint="eastAsia" w:ascii="宋体" w:hAnsi="宋体" w:cs="黑体"/>
          <w:kern w:val="0"/>
          <w:szCs w:val="21"/>
        </w:rPr>
        <w:t>分值构成：</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"_2.2.1"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2.2.1</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2.2.2 </w:t>
      </w:r>
      <w:r>
        <w:rPr>
          <w:rFonts w:hint="eastAsia" w:ascii="宋体" w:hAnsi="宋体" w:cs="黑体"/>
          <w:kern w:val="0"/>
          <w:szCs w:val="21"/>
        </w:rPr>
        <w:t>评标基准价计算方法：</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"_2.2.2"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2.2.2</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b/>
          <w:kern w:val="0"/>
          <w:sz w:val="36"/>
          <w:szCs w:val="36"/>
        </w:rPr>
      </w:pPr>
      <w:r>
        <w:rPr>
          <w:rFonts w:ascii="宋体" w:hAnsi="宋体" w:cs="TimesNewRomanPSMT"/>
          <w:kern w:val="0"/>
          <w:szCs w:val="21"/>
        </w:rPr>
        <w:t xml:space="preserve">2.2.3 </w:t>
      </w:r>
      <w:r>
        <w:rPr>
          <w:rFonts w:hint="eastAsia" w:ascii="宋体" w:hAnsi="宋体" w:cs="仿宋_GB2312"/>
          <w:kern w:val="0"/>
          <w:szCs w:val="21"/>
        </w:rPr>
        <w:t>投标报价的偏差率计算公式：见</w:t>
      </w:r>
      <w:r>
        <w:fldChar w:fldCharType="begin"/>
      </w:r>
      <w:r>
        <w:instrText xml:space="preserve"> HYPERLINK "file:///H:\\泰州招标文件范本\\泰州市房屋建筑和市政工程施工2016.4.docx" \l "_2.2.3"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2.2.3</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2.2.4 </w:t>
      </w:r>
      <w:r>
        <w:rPr>
          <w:rFonts w:hint="eastAsia" w:ascii="宋体" w:hAnsi="宋体" w:cs="黑体"/>
          <w:kern w:val="0"/>
          <w:szCs w:val="21"/>
        </w:rPr>
        <w:t>评分标准</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）投标报价评分标准：见</w:t>
      </w:r>
      <w:r>
        <w:fldChar w:fldCharType="begin"/>
      </w:r>
      <w:r>
        <w:instrText xml:space="preserve"> HYPERLINK "file:///H:\\泰州招标文件范本\\泰州市房屋建筑和市政工程施工2016.4.docx" \l "_2.2.4(3)"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2.2.4</w:t>
      </w:r>
      <w:r>
        <w:rPr>
          <w:rStyle w:val="21"/>
          <w:rFonts w:hint="eastAsia" w:ascii="宋体" w:hAnsi="宋体" w:cs="仿宋_GB2312"/>
          <w:color w:val="auto"/>
          <w:szCs w:val="21"/>
        </w:rPr>
        <w:t>项（</w:t>
      </w:r>
      <w:r>
        <w:rPr>
          <w:rStyle w:val="21"/>
          <w:rFonts w:ascii="宋体" w:hAnsi="宋体" w:cs="仿宋_GB2312"/>
          <w:color w:val="auto"/>
          <w:szCs w:val="21"/>
        </w:rPr>
        <w:t>1</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）其他因素评分标准：见</w:t>
      </w:r>
      <w:r>
        <w:fldChar w:fldCharType="begin"/>
      </w:r>
      <w:r>
        <w:instrText xml:space="preserve"> HYPERLINK "file:///H:\\泰州招标文件范本\\泰州市房屋建筑和市政工程施工2016.4.docx" \l "_2.2.4(4)" </w:instrText>
      </w:r>
      <w:r>
        <w:fldChar w:fldCharType="separate"/>
      </w:r>
      <w:r>
        <w:rPr>
          <w:rStyle w:val="21"/>
          <w:rFonts w:hint="eastAsia" w:ascii="宋体" w:hAnsi="宋体" w:cs="仿宋_GB2312"/>
          <w:color w:val="auto"/>
          <w:szCs w:val="21"/>
        </w:rPr>
        <w:t>评标办法前附表</w:t>
      </w:r>
      <w:r>
        <w:rPr>
          <w:rStyle w:val="21"/>
          <w:rFonts w:ascii="宋体" w:hAnsi="宋体" w:cs="仿宋_GB2312"/>
          <w:color w:val="auto"/>
          <w:szCs w:val="21"/>
        </w:rPr>
        <w:t>2.2.4</w:t>
      </w:r>
      <w:r>
        <w:rPr>
          <w:rStyle w:val="21"/>
          <w:rFonts w:hint="eastAsia" w:ascii="宋体" w:hAnsi="宋体" w:cs="仿宋_GB2312"/>
          <w:color w:val="auto"/>
          <w:szCs w:val="21"/>
        </w:rPr>
        <w:t>项（</w:t>
      </w:r>
      <w:r>
        <w:rPr>
          <w:rStyle w:val="21"/>
          <w:rFonts w:ascii="宋体" w:hAnsi="宋体" w:cs="仿宋_GB2312"/>
          <w:color w:val="auto"/>
          <w:szCs w:val="21"/>
        </w:rPr>
        <w:t>2</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w:t>
      </w:r>
    </w:p>
    <w:p>
      <w:pPr>
        <w:pStyle w:val="5"/>
        <w:spacing w:line="320" w:lineRule="exact"/>
      </w:pPr>
      <w:bookmarkStart w:id="166" w:name="_2.2_详细评审标准"/>
      <w:bookmarkEnd w:id="166"/>
      <w:bookmarkStart w:id="167" w:name="_Toc275956125"/>
      <w:r>
        <w:rPr>
          <w:rFonts w:cs="TimesNewRomanPSMT"/>
        </w:rPr>
        <w:t xml:space="preserve">3. </w:t>
      </w:r>
      <w:r>
        <w:rPr>
          <w:rFonts w:hint="eastAsia"/>
        </w:rPr>
        <w:t>评标程序</w:t>
      </w:r>
      <w:bookmarkEnd w:id="167"/>
    </w:p>
    <w:p>
      <w:pPr>
        <w:pStyle w:val="6"/>
        <w:spacing w:line="320" w:lineRule="exact"/>
      </w:pPr>
      <w:bookmarkStart w:id="168" w:name="_3.1_评标准备"/>
      <w:bookmarkEnd w:id="168"/>
      <w:r>
        <w:rPr>
          <w:rFonts w:cs="TimesNewRomanPSMT"/>
        </w:rPr>
        <w:t xml:space="preserve">3.1 </w:t>
      </w:r>
      <w:r>
        <w:rPr>
          <w:rFonts w:hint="eastAsia"/>
        </w:rPr>
        <w:t>评标准备</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评标委员会由招标人依法组建。评标委员会负责人由评标委员会成员推举产生。评标委员会成员应遵守有关法律、法规、规章，遵守评标纪律和其他评标有关规定。</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招标人应向评标委员会提供与评标有关的工程项目信息和资料，所提供的资料和信息不得带有不公正、影响或排斥某些投标人的情况。</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评标委员会成员应独立研读招标文件。对招标文件中存在的问题的处理应由评标委员会讨论决定。评标委员会可要求招标人对招标文件的内容作必要的澄清、说明，但澄清、说明不得改变招标文件的实质内容。</w:t>
      </w:r>
    </w:p>
    <w:p>
      <w:pPr>
        <w:pStyle w:val="6"/>
        <w:spacing w:line="320" w:lineRule="exact"/>
        <w:rPr>
          <w:rFonts w:cs="黑体"/>
        </w:rPr>
      </w:pPr>
      <w:bookmarkStart w:id="169" w:name="_3.2_初步评审"/>
      <w:bookmarkEnd w:id="169"/>
      <w:r>
        <w:t xml:space="preserve">3.2 </w:t>
      </w:r>
      <w:r>
        <w:rPr>
          <w:rFonts w:hint="eastAsia"/>
        </w:rPr>
        <w:t>初步评审</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3.2.1 </w:t>
      </w:r>
      <w:r>
        <w:rPr>
          <w:rFonts w:hint="eastAsia" w:ascii="宋体" w:hAnsi="宋体" w:cs="仿宋_GB2312"/>
          <w:kern w:val="0"/>
          <w:szCs w:val="21"/>
        </w:rPr>
        <w:t>评标委员会与投标人资料进行核对。评标委员会依据本章第</w:t>
      </w:r>
      <w:r>
        <w:rPr>
          <w:rFonts w:ascii="宋体" w:hAnsi="宋体" w:cs="TimesNewRomanPSMT"/>
          <w:kern w:val="0"/>
          <w:szCs w:val="21"/>
        </w:rPr>
        <w:t xml:space="preserve">2.1 </w:t>
      </w:r>
      <w:r>
        <w:rPr>
          <w:rFonts w:hint="eastAsia" w:ascii="宋体" w:hAnsi="宋体" w:cs="仿宋_GB2312"/>
          <w:kern w:val="0"/>
          <w:szCs w:val="21"/>
        </w:rPr>
        <w:t>款规定的标准对投标文件进行初步评审。有一项不符合评审标准的，作否决投标处理。（适用于未进行资格预审的）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3.2.2</w:t>
      </w:r>
      <w:r>
        <w:rPr>
          <w:rFonts w:hint="eastAsia" w:ascii="宋体" w:hAnsi="宋体" w:cs="仿宋_GB2312"/>
          <w:kern w:val="0"/>
          <w:szCs w:val="21"/>
        </w:rPr>
        <w:t>评标委员会依据本章第</w:t>
      </w:r>
      <w:r>
        <w:rPr>
          <w:rFonts w:ascii="宋体" w:hAnsi="宋体" w:cs="TimesNewRomanPSMT"/>
          <w:kern w:val="0"/>
          <w:szCs w:val="21"/>
        </w:rPr>
        <w:t xml:space="preserve">2.1.1 </w:t>
      </w:r>
      <w:r>
        <w:rPr>
          <w:rFonts w:hint="eastAsia" w:ascii="宋体" w:hAnsi="宋体" w:cs="仿宋_GB2312"/>
          <w:kern w:val="0"/>
          <w:szCs w:val="21"/>
        </w:rPr>
        <w:t>项、第</w:t>
      </w:r>
      <w:r>
        <w:rPr>
          <w:rFonts w:ascii="宋体" w:hAnsi="宋体" w:cs="TimesNewRomanPSMT"/>
          <w:kern w:val="0"/>
          <w:szCs w:val="21"/>
        </w:rPr>
        <w:t xml:space="preserve">2.1.3 </w:t>
      </w:r>
      <w:r>
        <w:rPr>
          <w:rFonts w:hint="eastAsia" w:ascii="宋体" w:hAnsi="宋体" w:cs="仿宋_GB2312"/>
          <w:kern w:val="0"/>
          <w:szCs w:val="21"/>
        </w:rPr>
        <w:t>项、第</w:t>
      </w:r>
      <w:r>
        <w:rPr>
          <w:rFonts w:ascii="宋体" w:hAnsi="宋体" w:cs="TimesNewRomanPSMT"/>
          <w:kern w:val="0"/>
          <w:szCs w:val="21"/>
        </w:rPr>
        <w:t xml:space="preserve">2.1.4 </w:t>
      </w:r>
      <w:r>
        <w:rPr>
          <w:rFonts w:hint="eastAsia" w:ascii="宋体" w:hAnsi="宋体" w:cs="仿宋_GB2312"/>
          <w:kern w:val="0"/>
          <w:szCs w:val="21"/>
        </w:rPr>
        <w:t>项规定的标准对投标文件进行初步评审。有一项不符合评审标准的，作否决投标处理。当投标人资格预审申请文件的内容发生重大变化时，评标委员会依据本章第</w:t>
      </w:r>
      <w:r>
        <w:rPr>
          <w:rFonts w:ascii="宋体" w:hAnsi="宋体" w:cs="TimesNewRomanPSMT"/>
          <w:kern w:val="0"/>
          <w:szCs w:val="21"/>
        </w:rPr>
        <w:t xml:space="preserve">2.1.2 </w:t>
      </w:r>
      <w:r>
        <w:rPr>
          <w:rFonts w:hint="eastAsia" w:ascii="宋体" w:hAnsi="宋体" w:cs="仿宋_GB2312"/>
          <w:kern w:val="0"/>
          <w:szCs w:val="21"/>
        </w:rPr>
        <w:t>项规定的标准对其更新资料进行评审（适用于已进行资格预审的）。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3.2.3 </w:t>
      </w:r>
      <w:r>
        <w:rPr>
          <w:rFonts w:hint="eastAsia" w:ascii="宋体" w:hAnsi="宋体" w:cs="仿宋_GB2312"/>
          <w:kern w:val="0"/>
          <w:szCs w:val="21"/>
        </w:rPr>
        <w:t>投标人有以下情形之一的，其</w:t>
      </w:r>
      <w:r>
        <w:rPr>
          <w:rFonts w:hint="eastAsia" w:ascii="宋体" w:hAnsi="宋体" w:cs="仿宋_GB2312"/>
          <w:b/>
          <w:bCs/>
          <w:kern w:val="0"/>
          <w:szCs w:val="21"/>
        </w:rPr>
        <w:t>投标作否决投标处理</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）第二章</w:t>
      </w:r>
      <w:r>
        <w:fldChar w:fldCharType="begin"/>
      </w:r>
      <w:r>
        <w:instrText xml:space="preserve"> HYPERLINK "file:///H:\\泰州招标文件范本\\泰州市房屋建筑和市政工程施工2016.4.docx" \l "_1.4_投标人资格要求（适用于已进行资格预审的）" </w:instrText>
      </w:r>
      <w:r>
        <w:fldChar w:fldCharType="separate"/>
      </w:r>
      <w:r>
        <w:rPr>
          <w:rStyle w:val="21"/>
          <w:rFonts w:hint="eastAsia" w:ascii="宋体" w:hAnsi="宋体" w:cs="仿宋_GB2312"/>
          <w:color w:val="auto"/>
          <w:szCs w:val="21"/>
        </w:rPr>
        <w:t>投标人须知第</w:t>
      </w:r>
      <w:r>
        <w:rPr>
          <w:rStyle w:val="21"/>
          <w:rFonts w:ascii="宋体" w:hAnsi="宋体" w:cs="TimesNewRomanPSMT"/>
          <w:color w:val="auto"/>
          <w:szCs w:val="21"/>
        </w:rPr>
        <w:t>1.4.1</w:t>
      </w:r>
      <w:r>
        <w:rPr>
          <w:rStyle w:val="21"/>
          <w:rFonts w:hint="eastAsia" w:ascii="宋体" w:hAnsi="宋体" w:cs="仿宋_GB2312"/>
          <w:color w:val="auto"/>
          <w:szCs w:val="21"/>
        </w:rPr>
        <w:t>项</w:t>
      </w:r>
      <w:r>
        <w:rPr>
          <w:rStyle w:val="21"/>
          <w:rFonts w:hint="eastAsia" w:ascii="宋体" w:hAnsi="宋体" w:cs="仿宋_GB2312"/>
          <w:color w:val="auto"/>
          <w:szCs w:val="21"/>
        </w:rPr>
        <w:fldChar w:fldCharType="end"/>
      </w:r>
      <w:r>
        <w:rPr>
          <w:rFonts w:hint="eastAsia" w:ascii="宋体" w:hAnsi="宋体" w:cs="仿宋_GB2312"/>
          <w:kern w:val="0"/>
          <w:szCs w:val="21"/>
        </w:rPr>
        <w:t>规定的任何一种情形的；</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）串通投标或弄虚作假或有其他违法行为的；</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）不按评标委员会要求澄清、说明或补正的。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3.2.4 </w:t>
      </w:r>
      <w:r>
        <w:rPr>
          <w:rFonts w:hint="eastAsia" w:ascii="宋体" w:hAnsi="宋体" w:cs="仿宋_GB2312"/>
          <w:kern w:val="0"/>
          <w:szCs w:val="21"/>
        </w:rPr>
        <w:t>投标报价有算术错误的，评标委员会按以下原则对投标报价进行修正，如修正后的投标总报价高于招标人设置的最高限价，则应按</w:t>
      </w:r>
      <w:r>
        <w:rPr>
          <w:rFonts w:hint="eastAsia" w:ascii="宋体" w:hAnsi="宋体" w:cs="仿宋_GB2312"/>
          <w:b/>
          <w:bCs/>
          <w:kern w:val="0"/>
          <w:szCs w:val="21"/>
        </w:rPr>
        <w:t>否决投标处理</w:t>
      </w:r>
      <w:r>
        <w:rPr>
          <w:rFonts w:hint="eastAsia" w:ascii="宋体" w:hAnsi="宋体" w:cs="仿宋_GB2312"/>
          <w:kern w:val="0"/>
          <w:szCs w:val="21"/>
        </w:rPr>
        <w:t>。对存在算术性错误的投标报价，经修正后，评标委员会应书面通知投标人确认。修正的价格经投标人确认后具有约束力。投标人不接受修正价格的，其投标作</w:t>
      </w:r>
      <w:r>
        <w:rPr>
          <w:rFonts w:hint="eastAsia" w:ascii="宋体" w:hAnsi="宋体" w:cs="仿宋_GB2312"/>
          <w:b/>
          <w:bCs/>
          <w:kern w:val="0"/>
          <w:szCs w:val="21"/>
        </w:rPr>
        <w:t>否决投标处理</w:t>
      </w:r>
      <w:r>
        <w:rPr>
          <w:rFonts w:hint="eastAsia" w:ascii="宋体" w:hAnsi="宋体" w:cs="仿宋_GB2312"/>
          <w:kern w:val="0"/>
          <w:szCs w:val="21"/>
        </w:rPr>
        <w:t>。</w:t>
      </w:r>
    </w:p>
    <w:p>
      <w:pPr>
        <w:autoSpaceDE w:val="0"/>
        <w:autoSpaceDN w:val="0"/>
        <w:adjustRightInd w:val="0"/>
        <w:spacing w:line="320" w:lineRule="exact"/>
        <w:ind w:firstLine="210" w:firstLineChars="10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）投标文件中的大写金额与小写金额不一致的，以大写金额为准；</w:t>
      </w:r>
    </w:p>
    <w:p>
      <w:pPr>
        <w:autoSpaceDE w:val="0"/>
        <w:autoSpaceDN w:val="0"/>
        <w:adjustRightInd w:val="0"/>
        <w:spacing w:line="320" w:lineRule="exact"/>
        <w:ind w:firstLine="210" w:firstLineChars="10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）总价金额与依据单价计算出的结果不一致的，以单价金额为准修正总价，但单价金额小数点有明显错误的除外。</w:t>
      </w:r>
    </w:p>
    <w:p>
      <w:pPr>
        <w:pStyle w:val="6"/>
        <w:spacing w:line="320" w:lineRule="exact"/>
      </w:pPr>
      <w:bookmarkStart w:id="170" w:name="_3.3_详细评审"/>
      <w:bookmarkEnd w:id="170"/>
      <w:r>
        <w:rPr>
          <w:rFonts w:cs="TimesNewRomanPSMT"/>
        </w:rPr>
        <w:t xml:space="preserve">3.3 </w:t>
      </w:r>
      <w:r>
        <w:rPr>
          <w:rFonts w:hint="eastAsia"/>
        </w:rPr>
        <w:t>详细评审</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评标委员会发现投标人的报价明显低于其他投标报价，或者在设有标底（招标控制价）时明显低于标底（招标控制价），使得其投标报价可能低于其成本的，应当根据本章节附件</w:t>
      </w:r>
      <w:r>
        <w:rPr>
          <w:rFonts w:ascii="宋体" w:hAnsi="宋体" w:cs="仿宋_GB2312"/>
          <w:kern w:val="0"/>
          <w:szCs w:val="21"/>
        </w:rPr>
        <w:t>C</w:t>
      </w:r>
      <w:r>
        <w:rPr>
          <w:rFonts w:hint="eastAsia" w:ascii="宋体" w:hAnsi="宋体" w:cs="仿宋_GB2312"/>
          <w:kern w:val="0"/>
          <w:szCs w:val="21"/>
        </w:rPr>
        <w:t>中规定的程序、标准和方法</w:t>
      </w:r>
      <w:r>
        <w:rPr>
          <w:rFonts w:ascii="宋体" w:cs="仿宋_GB2312"/>
          <w:kern w:val="0"/>
          <w:szCs w:val="21"/>
        </w:rPr>
        <w:t>,</w:t>
      </w:r>
      <w:r>
        <w:rPr>
          <w:rFonts w:hint="eastAsia" w:ascii="宋体" w:hAnsi="宋体" w:cs="仿宋_GB2312"/>
          <w:kern w:val="0"/>
          <w:szCs w:val="21"/>
        </w:rPr>
        <w:t>判断投标报价是否低于其成本。由评标委员会认定投标人以低于成本竞标的</w:t>
      </w:r>
      <w:r>
        <w:rPr>
          <w:rFonts w:ascii="宋体" w:cs="仿宋_GB2312"/>
          <w:kern w:val="0"/>
          <w:szCs w:val="21"/>
        </w:rPr>
        <w:t>,</w:t>
      </w:r>
      <w:r>
        <w:rPr>
          <w:rFonts w:hint="eastAsia" w:ascii="宋体" w:hAnsi="宋体" w:cs="仿宋_GB2312"/>
          <w:kern w:val="0"/>
          <w:szCs w:val="21"/>
        </w:rPr>
        <w:t>其投标作</w:t>
      </w:r>
      <w:r>
        <w:rPr>
          <w:rFonts w:hint="eastAsia" w:ascii="宋体" w:hAnsi="宋体" w:cs="仿宋_GB2312"/>
          <w:b/>
          <w:bCs/>
          <w:kern w:val="0"/>
          <w:szCs w:val="21"/>
        </w:rPr>
        <w:t>否决投标处理</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评标委员会按</w:t>
      </w:r>
      <w:r>
        <w:fldChar w:fldCharType="begin"/>
      </w:r>
      <w:r>
        <w:instrText xml:space="preserve"> HYPERLINK "file:///H:\\泰州招标文件范本\\泰州市房屋建筑和市政工程施工2016.4.docx" \l "_2.2.1" </w:instrText>
      </w:r>
      <w:r>
        <w:fldChar w:fldCharType="separate"/>
      </w:r>
      <w:r>
        <w:rPr>
          <w:rStyle w:val="21"/>
          <w:rFonts w:hint="eastAsia" w:ascii="宋体" w:hAnsi="宋体" w:cs="仿宋_GB2312"/>
          <w:color w:val="auto"/>
          <w:szCs w:val="21"/>
        </w:rPr>
        <w:t>本章第</w:t>
      </w:r>
      <w:r>
        <w:rPr>
          <w:rStyle w:val="21"/>
          <w:rFonts w:ascii="宋体" w:hAnsi="宋体" w:cs="TimesNewRomanPSMT"/>
          <w:color w:val="auto"/>
          <w:szCs w:val="21"/>
        </w:rPr>
        <w:t xml:space="preserve">2.2 </w:t>
      </w:r>
      <w:r>
        <w:rPr>
          <w:rStyle w:val="21"/>
          <w:rFonts w:hint="eastAsia" w:ascii="宋体" w:hAnsi="宋体" w:cs="仿宋_GB2312"/>
          <w:color w:val="auto"/>
          <w:szCs w:val="21"/>
        </w:rPr>
        <w:t>款</w:t>
      </w:r>
      <w:r>
        <w:rPr>
          <w:rStyle w:val="21"/>
          <w:rFonts w:hint="eastAsia" w:ascii="宋体" w:hAnsi="宋体" w:cs="仿宋_GB2312"/>
          <w:color w:val="auto"/>
          <w:szCs w:val="21"/>
        </w:rPr>
        <w:fldChar w:fldCharType="end"/>
      </w:r>
      <w:r>
        <w:rPr>
          <w:rFonts w:hint="eastAsia" w:ascii="宋体" w:hAnsi="宋体" w:cs="仿宋_GB2312"/>
          <w:kern w:val="0"/>
          <w:szCs w:val="21"/>
        </w:rPr>
        <w:t>规定的量化因素和分值进行打分，并计算出综合评估得分。</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"_2.2.4(3)" </w:instrText>
      </w:r>
      <w:r>
        <w:fldChar w:fldCharType="separate"/>
      </w:r>
      <w:r>
        <w:rPr>
          <w:rStyle w:val="21"/>
          <w:rFonts w:ascii="宋体" w:hAnsi="宋体" w:cs="TimesNewRomanPSMT"/>
          <w:color w:val="auto"/>
          <w:szCs w:val="21"/>
        </w:rPr>
        <w:t>2.2.4</w:t>
      </w:r>
      <w:r>
        <w:rPr>
          <w:rStyle w:val="21"/>
          <w:rFonts w:hint="eastAsia" w:ascii="宋体" w:hAnsi="宋体" w:cs="仿宋_GB2312"/>
          <w:color w:val="auto"/>
          <w:szCs w:val="21"/>
        </w:rPr>
        <w:t>（</w:t>
      </w:r>
      <w:r>
        <w:rPr>
          <w:rStyle w:val="21"/>
          <w:rFonts w:ascii="宋体" w:hAnsi="宋体" w:cs="TimesNewRomanPSMT"/>
          <w:color w:val="auto"/>
          <w:szCs w:val="21"/>
        </w:rPr>
        <w:t>1</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目规定的评审因素和分值对投标报价计算出得分</w:t>
      </w:r>
      <w:r>
        <w:rPr>
          <w:rFonts w:ascii="宋体" w:hAnsi="宋体" w:cs="TimesNewRomanPSMT"/>
          <w:kern w:val="0"/>
          <w:szCs w:val="21"/>
        </w:rPr>
        <w:t>A</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"_2.2.4(4)" </w:instrText>
      </w:r>
      <w:r>
        <w:fldChar w:fldCharType="separate"/>
      </w:r>
      <w:r>
        <w:rPr>
          <w:rStyle w:val="21"/>
          <w:rFonts w:ascii="宋体" w:hAnsi="宋体" w:cs="TimesNewRomanPSMT"/>
          <w:color w:val="auto"/>
          <w:szCs w:val="21"/>
        </w:rPr>
        <w:t>2.2.4</w:t>
      </w:r>
      <w:r>
        <w:rPr>
          <w:rStyle w:val="21"/>
          <w:rFonts w:hint="eastAsia" w:ascii="宋体" w:hAnsi="宋体" w:cs="仿宋_GB2312"/>
          <w:color w:val="auto"/>
          <w:szCs w:val="21"/>
        </w:rPr>
        <w:t>（</w:t>
      </w:r>
      <w:r>
        <w:rPr>
          <w:rStyle w:val="21"/>
          <w:rFonts w:ascii="宋体" w:hAnsi="宋体" w:cs="TimesNewRomanPSMT"/>
          <w:color w:val="auto"/>
          <w:szCs w:val="21"/>
        </w:rPr>
        <w:t>2</w:t>
      </w:r>
      <w:r>
        <w:rPr>
          <w:rStyle w:val="21"/>
          <w:rFonts w:hint="eastAsia" w:ascii="宋体" w:hAnsi="宋体" w:cs="仿宋_GB2312"/>
          <w:color w:val="auto"/>
          <w:szCs w:val="21"/>
        </w:rPr>
        <w:t>）</w:t>
      </w:r>
      <w:r>
        <w:rPr>
          <w:rStyle w:val="21"/>
          <w:rFonts w:hint="eastAsia" w:ascii="宋体" w:hAnsi="宋体" w:cs="仿宋_GB2312"/>
          <w:color w:val="auto"/>
          <w:szCs w:val="21"/>
        </w:rPr>
        <w:fldChar w:fldCharType="end"/>
      </w:r>
      <w:r>
        <w:rPr>
          <w:rFonts w:hint="eastAsia" w:ascii="宋体" w:hAnsi="宋体" w:cs="仿宋_GB2312"/>
          <w:kern w:val="0"/>
          <w:szCs w:val="21"/>
        </w:rPr>
        <w:t>目规定的评审因素和分值对其他部分计算出得分</w:t>
      </w:r>
      <w:r>
        <w:rPr>
          <w:rFonts w:ascii="宋体" w:hAnsi="宋体" w:cs="TimesNewRomanPSMT"/>
          <w:kern w:val="0"/>
          <w:szCs w:val="21"/>
        </w:rPr>
        <w:t>B</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3.3.3 </w:t>
      </w:r>
      <w:r>
        <w:rPr>
          <w:rFonts w:hint="eastAsia" w:ascii="宋体" w:hAnsi="宋体" w:cs="仿宋_GB2312"/>
          <w:kern w:val="0"/>
          <w:szCs w:val="21"/>
        </w:rPr>
        <w:t>评分分值计算应保留小数点后两位，小数点后第三位“四舍五入”。</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3.3.4 </w:t>
      </w:r>
      <w:r>
        <w:rPr>
          <w:rFonts w:hint="eastAsia" w:ascii="宋体" w:hAnsi="宋体" w:cs="仿宋_GB2312"/>
          <w:kern w:val="0"/>
          <w:szCs w:val="21"/>
        </w:rPr>
        <w:t>投标人得分</w:t>
      </w:r>
      <w:r>
        <w:rPr>
          <w:rFonts w:ascii="宋体" w:hAnsi="宋体" w:cs="TimesNewRomanPSMT"/>
          <w:kern w:val="0"/>
          <w:szCs w:val="21"/>
        </w:rPr>
        <w:t>=A+B</w:t>
      </w:r>
      <w:r>
        <w:rPr>
          <w:rFonts w:hint="eastAsia" w:ascii="宋体" w:hAnsi="宋体" w:cs="仿宋_GB2312"/>
          <w:kern w:val="0"/>
          <w:szCs w:val="21"/>
        </w:rPr>
        <w:t>。</w:t>
      </w:r>
    </w:p>
    <w:p>
      <w:pPr>
        <w:pStyle w:val="6"/>
        <w:spacing w:line="320" w:lineRule="exact"/>
      </w:pPr>
      <w:bookmarkStart w:id="171" w:name="_3.4_投标文件的澄清和补正"/>
      <w:bookmarkEnd w:id="171"/>
      <w:r>
        <w:rPr>
          <w:rFonts w:cs="TimesNewRomanPSMT"/>
        </w:rPr>
        <w:t xml:space="preserve">3.4 </w:t>
      </w:r>
      <w:r>
        <w:rPr>
          <w:rFonts w:hint="eastAsia"/>
        </w:rPr>
        <w:t>投标文件的澄清和补正</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3.4.1 </w:t>
      </w:r>
      <w:r>
        <w:rPr>
          <w:rFonts w:hint="eastAsia" w:ascii="宋体" w:hAnsi="宋体" w:cs="仿宋_GB2312"/>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3.4.2 </w:t>
      </w:r>
      <w:r>
        <w:rPr>
          <w:rFonts w:hint="eastAsia" w:ascii="宋体" w:hAnsi="宋体" w:cs="仿宋_GB2312"/>
          <w:kern w:val="0"/>
          <w:szCs w:val="21"/>
        </w:rPr>
        <w:t>澄清、说明和补正不得改变投标文件的实质性内容（算术性错误修正的除外）。投</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标人的书面澄清、说明和补正属于投标文件的组成部分。</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3.4.3 </w:t>
      </w:r>
      <w:r>
        <w:rPr>
          <w:rFonts w:hint="eastAsia" w:ascii="宋体" w:hAnsi="宋体" w:cs="仿宋_GB2312"/>
          <w:kern w:val="0"/>
          <w:szCs w:val="21"/>
        </w:rPr>
        <w:t>评标委员会对投标人提交的澄清、说明或补正有疑问的，可以要求投标人进一步</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澄清、说明或补正，直至满足评标委员会的要求。</w:t>
      </w:r>
    </w:p>
    <w:p>
      <w:pPr>
        <w:pStyle w:val="6"/>
        <w:spacing w:line="320" w:lineRule="exact"/>
      </w:pPr>
      <w:r>
        <w:rPr>
          <w:rFonts w:cs="TimesNewRomanPSMT"/>
        </w:rPr>
        <w:t xml:space="preserve">3.5 </w:t>
      </w:r>
      <w:r>
        <w:rPr>
          <w:rFonts w:hint="eastAsia"/>
        </w:rPr>
        <w:t>评标结果</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除第二章“投标人须知”前附表授权直接确定中标人外，评标委员会按照得分由高到低的顺序推荐中标候选人。</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3.5.2 </w:t>
      </w:r>
      <w:r>
        <w:rPr>
          <w:rFonts w:hint="eastAsia" w:ascii="宋体" w:hAnsi="宋体" w:cs="仿宋_GB2312"/>
          <w:kern w:val="0"/>
          <w:szCs w:val="21"/>
        </w:rPr>
        <w:t>评标委员会完成评标后，应当向招标人提交书面评标报告。</w:t>
      </w:r>
    </w:p>
    <w:p>
      <w:pPr>
        <w:autoSpaceDE w:val="0"/>
        <w:autoSpaceDN w:val="0"/>
        <w:adjustRightInd w:val="0"/>
        <w:jc w:val="left"/>
        <w:rPr>
          <w:rFonts w:ascii="宋体" w:cs="仿宋_GB2312"/>
          <w:kern w:val="0"/>
          <w:szCs w:val="21"/>
        </w:rPr>
      </w:pPr>
    </w:p>
    <w:p>
      <w:pPr>
        <w:pStyle w:val="2"/>
      </w:pPr>
    </w:p>
    <w:p>
      <w:pPr>
        <w:pStyle w:val="2"/>
      </w:pPr>
    </w:p>
    <w:p>
      <w:pPr>
        <w:pStyle w:val="2"/>
      </w:pPr>
    </w:p>
    <w:p>
      <w:pPr>
        <w:pStyle w:val="5"/>
      </w:pPr>
      <w:bookmarkStart w:id="172" w:name="_Toc275956126"/>
      <w:r>
        <w:rPr>
          <w:rFonts w:hint="eastAsia"/>
        </w:rPr>
        <w:t>附件</w:t>
      </w:r>
      <w:r>
        <w:t>A</w:t>
      </w:r>
      <w:r>
        <w:rPr>
          <w:rFonts w:hint="eastAsia"/>
        </w:rPr>
        <w:t>：评标详细程序</w:t>
      </w:r>
      <w:bookmarkEnd w:id="172"/>
    </w:p>
    <w:p>
      <w:pPr>
        <w:spacing w:after="120" w:afterLines="50"/>
        <w:jc w:val="center"/>
        <w:rPr>
          <w:rFonts w:ascii="黑体" w:hAnsi="宋体" w:eastAsia="黑体" w:cs="Arial"/>
          <w:bCs/>
          <w:sz w:val="28"/>
          <w:szCs w:val="28"/>
        </w:rPr>
      </w:pPr>
      <w:r>
        <w:rPr>
          <w:rFonts w:hint="eastAsia" w:ascii="黑体" w:hAnsi="宋体" w:eastAsia="黑体" w:cs="Arial"/>
          <w:bCs/>
          <w:sz w:val="28"/>
          <w:szCs w:val="28"/>
        </w:rPr>
        <w:t>评标详细程序</w:t>
      </w:r>
    </w:p>
    <w:p>
      <w:pPr>
        <w:pStyle w:val="6"/>
      </w:pPr>
      <w:r>
        <w:t xml:space="preserve">A0. </w:t>
      </w:r>
      <w:r>
        <w:rPr>
          <w:rFonts w:hint="eastAsia"/>
        </w:rPr>
        <w:t>总则</w:t>
      </w:r>
    </w:p>
    <w:p>
      <w:pPr>
        <w:spacing w:after="120" w:afterLines="50"/>
        <w:ind w:firstLine="420" w:firstLineChars="200"/>
        <w:rPr>
          <w:rFonts w:ascii="宋体" w:cs="Arial"/>
          <w:szCs w:val="21"/>
        </w:rPr>
      </w:pPr>
      <w:r>
        <w:rPr>
          <w:rFonts w:hint="eastAsia"/>
        </w:rPr>
        <w:t>本附件是本章“评标办法”的组成部分，是对</w:t>
      </w:r>
      <w:r>
        <w:rPr>
          <w:rFonts w:hint="eastAsia" w:ascii="Arial" w:hAnsi="Arial" w:cs="Arial"/>
          <w:szCs w:val="21"/>
        </w:rPr>
        <w:t>本章第</w:t>
      </w:r>
      <w:r>
        <w:rPr>
          <w:rFonts w:ascii="Arial" w:hAnsi="Arial" w:cs="Arial"/>
          <w:szCs w:val="21"/>
        </w:rPr>
        <w:t>3</w:t>
      </w:r>
      <w:r>
        <w:rPr>
          <w:rFonts w:hint="eastAsia" w:ascii="Arial" w:hAnsi="Arial" w:cs="Arial"/>
          <w:szCs w:val="21"/>
        </w:rPr>
        <w:t>条所规定的评标程序的进一步细化，评标委员会应当按照本附件所规定的详细评审程序开展并完成评标工作。</w:t>
      </w:r>
    </w:p>
    <w:p>
      <w:pPr>
        <w:pStyle w:val="6"/>
      </w:pPr>
      <w:r>
        <w:t xml:space="preserve">A1. </w:t>
      </w:r>
      <w:r>
        <w:rPr>
          <w:rFonts w:hint="eastAsia"/>
        </w:rPr>
        <w:t>基本程序</w:t>
      </w:r>
    </w:p>
    <w:p>
      <w:pPr>
        <w:spacing w:line="320" w:lineRule="exact"/>
      </w:pPr>
      <w:r>
        <w:rPr>
          <w:rFonts w:hint="eastAsia"/>
        </w:rPr>
        <w:t>评标活动将按以下五个步骤进行：</w:t>
      </w:r>
    </w:p>
    <w:p>
      <w:pPr>
        <w:spacing w:line="320" w:lineRule="exact"/>
      </w:pPr>
      <w:r>
        <w:rPr>
          <w:rFonts w:hint="eastAsia"/>
        </w:rPr>
        <w:t>（</w:t>
      </w:r>
      <w:r>
        <w:t>1</w:t>
      </w:r>
      <w:r>
        <w:rPr>
          <w:rFonts w:hint="eastAsia"/>
        </w:rPr>
        <w:t>）评标准备；</w:t>
      </w:r>
    </w:p>
    <w:p>
      <w:pPr>
        <w:spacing w:line="320" w:lineRule="exact"/>
      </w:pPr>
      <w:r>
        <w:rPr>
          <w:rFonts w:hint="eastAsia"/>
        </w:rPr>
        <w:t>（</w:t>
      </w:r>
      <w:r>
        <w:t>2</w:t>
      </w:r>
      <w:r>
        <w:rPr>
          <w:rFonts w:hint="eastAsia"/>
        </w:rPr>
        <w:t>）初步评审；</w:t>
      </w:r>
    </w:p>
    <w:p>
      <w:pPr>
        <w:spacing w:line="320" w:lineRule="exact"/>
      </w:pPr>
      <w:r>
        <w:rPr>
          <w:rFonts w:hint="eastAsia"/>
        </w:rPr>
        <w:t>（</w:t>
      </w:r>
      <w:r>
        <w:t>3</w:t>
      </w:r>
      <w:r>
        <w:rPr>
          <w:rFonts w:hint="eastAsia"/>
        </w:rPr>
        <w:t>）详细评审；</w:t>
      </w:r>
    </w:p>
    <w:p>
      <w:pPr>
        <w:spacing w:line="320" w:lineRule="exact"/>
      </w:pPr>
      <w:r>
        <w:rPr>
          <w:rFonts w:hint="eastAsia"/>
        </w:rPr>
        <w:t>（</w:t>
      </w:r>
      <w:r>
        <w:t>4</w:t>
      </w:r>
      <w:r>
        <w:rPr>
          <w:rFonts w:hint="eastAsia"/>
        </w:rPr>
        <w:t>）澄清、说明和补正；</w:t>
      </w:r>
    </w:p>
    <w:p>
      <w:pPr>
        <w:spacing w:line="320" w:lineRule="exact"/>
      </w:pPr>
      <w:r>
        <w:rPr>
          <w:rFonts w:hint="eastAsia"/>
        </w:rPr>
        <w:t>（</w:t>
      </w:r>
      <w:r>
        <w:t>5</w:t>
      </w:r>
      <w:r>
        <w:rPr>
          <w:rFonts w:hint="eastAsia"/>
        </w:rPr>
        <w:t>）推荐中标候选人或者直接确定中标人及提交评标报告。</w:t>
      </w:r>
    </w:p>
    <w:p>
      <w:pPr>
        <w:pStyle w:val="6"/>
      </w:pPr>
      <w:r>
        <w:t xml:space="preserve">A2. </w:t>
      </w:r>
      <w:r>
        <w:rPr>
          <w:rFonts w:hint="eastAsia"/>
        </w:rPr>
        <w:t>评标准备</w:t>
      </w:r>
    </w:p>
    <w:p>
      <w:pPr>
        <w:rPr>
          <w:b/>
        </w:rPr>
      </w:pPr>
      <w:r>
        <w:rPr>
          <w:b/>
        </w:rPr>
        <w:t>A2.1</w:t>
      </w:r>
      <w:r>
        <w:rPr>
          <w:rFonts w:hint="eastAsia"/>
          <w:b/>
        </w:rPr>
        <w:t>评标委员会成员出示有效证件进行验证或签到</w:t>
      </w:r>
    </w:p>
    <w:p>
      <w:pPr>
        <w:spacing w:line="320" w:lineRule="exact"/>
        <w:ind w:firstLine="315" w:firstLineChars="150"/>
      </w:pPr>
      <w:r>
        <w:rPr>
          <w:rFonts w:hint="eastAsia"/>
        </w:rPr>
        <w:t>评标委员会成员到达评标现场时应在签到表上签到以证明其出席。</w:t>
      </w:r>
    </w:p>
    <w:p>
      <w:pPr>
        <w:rPr>
          <w:b/>
        </w:rPr>
      </w:pPr>
      <w:r>
        <w:rPr>
          <w:b/>
        </w:rPr>
        <w:t xml:space="preserve">A2.2 </w:t>
      </w:r>
      <w:r>
        <w:rPr>
          <w:rFonts w:hint="eastAsia"/>
          <w:b/>
        </w:rPr>
        <w:t>评标委员会的分工</w:t>
      </w:r>
    </w:p>
    <w:p>
      <w:pPr>
        <w:spacing w:line="320" w:lineRule="exact"/>
        <w:ind w:firstLine="315" w:firstLineChars="150"/>
      </w:pPr>
      <w:r>
        <w:rPr>
          <w:rFonts w:hint="eastAsia"/>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商务组。</w:t>
      </w:r>
    </w:p>
    <w:p>
      <w:pPr>
        <w:rPr>
          <w:b/>
        </w:rPr>
      </w:pPr>
      <w:r>
        <w:rPr>
          <w:b/>
        </w:rPr>
        <w:t xml:space="preserve">A2.3 </w:t>
      </w:r>
      <w:r>
        <w:rPr>
          <w:rFonts w:hint="eastAsia"/>
          <w:b/>
        </w:rPr>
        <w:t>熟悉文件资料</w:t>
      </w:r>
    </w:p>
    <w:p>
      <w:pPr>
        <w:spacing w:line="320" w:lineRule="exact"/>
        <w:ind w:firstLine="420" w:firstLineChars="200"/>
        <w:rPr>
          <w:rFonts w:ascii="宋体"/>
        </w:rPr>
      </w:pPr>
      <w:r>
        <w:rPr>
          <w:rFonts w:ascii="宋体" w:hAnsi="宋体"/>
        </w:rPr>
        <w:t xml:space="preserve">A2.3.1 </w:t>
      </w:r>
      <w:r>
        <w:rPr>
          <w:rFonts w:hint="eastAsia" w:ascii="宋体" w:hAnsi="宋体"/>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20" w:lineRule="exact"/>
        <w:ind w:firstLine="420" w:firstLineChars="200"/>
        <w:rPr>
          <w:rFonts w:ascii="宋体"/>
        </w:rPr>
      </w:pPr>
      <w:r>
        <w:rPr>
          <w:rFonts w:ascii="宋体" w:hAnsi="宋体"/>
        </w:rPr>
        <w:t xml:space="preserve">A2.3.2 </w:t>
      </w:r>
      <w:r>
        <w:rPr>
          <w:rFonts w:hint="eastAsia" w:ascii="宋体" w:hAnsi="宋体"/>
        </w:rPr>
        <w:t>招标人或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pPr>
        <w:pStyle w:val="6"/>
      </w:pPr>
      <w:r>
        <w:t xml:space="preserve">A3. </w:t>
      </w:r>
      <w:r>
        <w:rPr>
          <w:rFonts w:hint="eastAsia"/>
        </w:rPr>
        <w:t>初步评审</w:t>
      </w:r>
    </w:p>
    <w:p>
      <w:pPr>
        <w:rPr>
          <w:b/>
        </w:rPr>
      </w:pPr>
      <w:r>
        <w:rPr>
          <w:b/>
        </w:rPr>
        <w:t xml:space="preserve">A3.1 </w:t>
      </w:r>
      <w:r>
        <w:rPr>
          <w:rFonts w:hint="eastAsia"/>
          <w:b/>
        </w:rPr>
        <w:t>对投标文件进行基础性数据分析和整理工作（清标）</w:t>
      </w:r>
    </w:p>
    <w:p>
      <w:pPr>
        <w:spacing w:line="320" w:lineRule="exact"/>
        <w:ind w:firstLine="420" w:firstLineChars="200"/>
      </w:pPr>
      <w:r>
        <w:t>A3.1.1</w:t>
      </w:r>
      <w:r>
        <w:rPr>
          <w:rFonts w:hint="eastAsia"/>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spacing w:line="320" w:lineRule="exact"/>
        <w:ind w:firstLine="420" w:firstLineChars="200"/>
      </w:pPr>
      <w:r>
        <w:t>A3.1.2</w:t>
      </w:r>
      <w:r>
        <w:rPr>
          <w:rFonts w:hint="eastAsia"/>
        </w:rPr>
        <w:t>投标人接到评标委员会发出的问题澄清通知后，应按评标委员会的要求，提供澄清资料，并按要求进行递交。</w:t>
      </w:r>
    </w:p>
    <w:p>
      <w:pPr>
        <w:rPr>
          <w:b/>
        </w:rPr>
      </w:pPr>
      <w:r>
        <w:rPr>
          <w:rFonts w:ascii="宋体" w:hAnsi="宋体"/>
          <w:b/>
        </w:rPr>
        <w:t>A3.2</w:t>
      </w:r>
      <w:r>
        <w:rPr>
          <w:rFonts w:hint="eastAsia"/>
          <w:b/>
        </w:rPr>
        <w:t>形式评审</w:t>
      </w:r>
    </w:p>
    <w:p>
      <w:pPr>
        <w:spacing w:line="320" w:lineRule="exact"/>
        <w:ind w:firstLine="420" w:firstLineChars="200"/>
      </w:pPr>
      <w:r>
        <w:rPr>
          <w:rFonts w:hint="eastAsia"/>
        </w:rPr>
        <w:t>评标委员会根据评标办法前附表中规定的评审因素和评审标准，对投标人的投标文件进行形式评审。</w:t>
      </w:r>
    </w:p>
    <w:p>
      <w:pPr>
        <w:rPr>
          <w:b/>
        </w:rPr>
      </w:pPr>
      <w:r>
        <w:rPr>
          <w:b/>
        </w:rPr>
        <w:t>A3.3</w:t>
      </w:r>
      <w:r>
        <w:rPr>
          <w:rFonts w:hint="eastAsia"/>
          <w:b/>
        </w:rPr>
        <w:t>资格评审</w:t>
      </w:r>
    </w:p>
    <w:p>
      <w:pPr>
        <w:spacing w:line="320" w:lineRule="exact"/>
        <w:ind w:firstLine="420" w:firstLineChars="200"/>
      </w:pPr>
      <w:r>
        <w:t xml:space="preserve">A3.3.1  </w:t>
      </w:r>
      <w:r>
        <w:rPr>
          <w:rFonts w:hint="eastAsia"/>
        </w:rPr>
        <w:t>评标委员会根据评标办法前附表中规定的评审因素和评审标准，对投标人的投标文件进行资格评审。（适用于未进行资格预审的）</w:t>
      </w:r>
    </w:p>
    <w:p>
      <w:pPr>
        <w:rPr>
          <w:b/>
        </w:rPr>
      </w:pPr>
      <w:r>
        <w:rPr>
          <w:b/>
        </w:rPr>
        <w:t xml:space="preserve">A3.4 </w:t>
      </w:r>
      <w:r>
        <w:rPr>
          <w:rFonts w:hint="eastAsia"/>
          <w:b/>
        </w:rPr>
        <w:t>响应性评审</w:t>
      </w:r>
    </w:p>
    <w:p>
      <w:pPr>
        <w:spacing w:line="320" w:lineRule="exact"/>
        <w:ind w:firstLine="420" w:firstLineChars="200"/>
        <w:rPr>
          <w:rFonts w:ascii="宋体"/>
        </w:rPr>
      </w:pPr>
      <w:r>
        <w:rPr>
          <w:rFonts w:hint="eastAsia" w:ascii="宋体" w:hAnsi="宋体"/>
        </w:rPr>
        <w:t>评标委员会根据评标办法前附表中规定的评审因素和评审标准，对投标人的投标文件进行响应性评审。</w:t>
      </w:r>
    </w:p>
    <w:p>
      <w:pPr>
        <w:rPr>
          <w:b/>
        </w:rPr>
      </w:pPr>
      <w:r>
        <w:rPr>
          <w:b/>
        </w:rPr>
        <w:t>A3.5</w:t>
      </w:r>
      <w:r>
        <w:rPr>
          <w:rFonts w:hint="eastAsia"/>
          <w:b/>
        </w:rPr>
        <w:t>施工组织设计和项目管理机构评审（技术标）</w:t>
      </w:r>
    </w:p>
    <w:p>
      <w:pPr>
        <w:spacing w:line="320" w:lineRule="exact"/>
        <w:ind w:firstLine="420" w:firstLineChars="200"/>
      </w:pPr>
      <w:r>
        <w:rPr>
          <w:rFonts w:hint="eastAsia"/>
        </w:rPr>
        <w:t>评标委员会根据评标办法前附表中规定的评审因素和评审标准，对投标人的施工组织设计和项目管理机构进行评审。</w:t>
      </w:r>
    </w:p>
    <w:p>
      <w:pPr>
        <w:rPr>
          <w:b/>
        </w:rPr>
      </w:pPr>
      <w:r>
        <w:rPr>
          <w:b/>
        </w:rPr>
        <w:t xml:space="preserve">A3.6 </w:t>
      </w:r>
      <w:r>
        <w:rPr>
          <w:rFonts w:hint="eastAsia"/>
          <w:b/>
        </w:rPr>
        <w:t>判断投标是否为否决投标</w:t>
      </w:r>
    </w:p>
    <w:p>
      <w:pPr>
        <w:spacing w:line="320" w:lineRule="exact"/>
        <w:ind w:firstLine="420" w:firstLineChars="200"/>
        <w:rPr>
          <w:rFonts w:ascii="宋体"/>
        </w:rPr>
      </w:pPr>
      <w:r>
        <w:rPr>
          <w:rFonts w:ascii="宋体" w:hAnsi="宋体"/>
        </w:rPr>
        <w:t xml:space="preserve">A3.6.1 </w:t>
      </w:r>
      <w:r>
        <w:rPr>
          <w:rFonts w:hint="eastAsia" w:ascii="宋体" w:hAnsi="宋体"/>
        </w:rPr>
        <w:t>判断投标人的投标是否为否决投标的全部条件（包括</w:t>
      </w:r>
      <w:r>
        <w:fldChar w:fldCharType="begin"/>
      </w:r>
      <w:r>
        <w:instrText xml:space="preserve"> HYPERLINK "file:///H:\\泰州招标文件范本\\泰州市房屋建筑和市政工程施工2016.4.docx" \l "_3.2_初步评审" </w:instrText>
      </w:r>
      <w:r>
        <w:fldChar w:fldCharType="separate"/>
      </w:r>
      <w:r>
        <w:rPr>
          <w:rStyle w:val="21"/>
          <w:rFonts w:hint="eastAsia" w:ascii="宋体" w:hAnsi="宋体"/>
          <w:color w:val="auto"/>
        </w:rPr>
        <w:t>本章第</w:t>
      </w:r>
      <w:r>
        <w:rPr>
          <w:rStyle w:val="21"/>
          <w:rFonts w:ascii="宋体" w:hAnsi="宋体"/>
          <w:color w:val="auto"/>
        </w:rPr>
        <w:t>3.2.3</w:t>
      </w:r>
      <w:r>
        <w:rPr>
          <w:rStyle w:val="21"/>
          <w:rFonts w:hint="eastAsia" w:ascii="宋体" w:hAnsi="宋体"/>
          <w:color w:val="auto"/>
        </w:rPr>
        <w:t>项</w:t>
      </w:r>
      <w:r>
        <w:rPr>
          <w:rStyle w:val="21"/>
          <w:rFonts w:hint="eastAsia" w:ascii="宋体" w:hAnsi="宋体"/>
          <w:color w:val="auto"/>
        </w:rPr>
        <w:fldChar w:fldCharType="end"/>
      </w:r>
      <w:r>
        <w:rPr>
          <w:rFonts w:hint="eastAsia" w:ascii="宋体" w:hAnsi="宋体"/>
        </w:rPr>
        <w:t>中规定的条件），在本章附件</w:t>
      </w:r>
      <w:r>
        <w:rPr>
          <w:rFonts w:ascii="宋体" w:hAnsi="宋体"/>
        </w:rPr>
        <w:t>B</w:t>
      </w:r>
      <w:r>
        <w:rPr>
          <w:rFonts w:hint="eastAsia" w:ascii="宋体" w:hAnsi="宋体"/>
        </w:rPr>
        <w:t>中集中列示。</w:t>
      </w:r>
    </w:p>
    <w:p>
      <w:pPr>
        <w:spacing w:line="320" w:lineRule="exact"/>
        <w:ind w:firstLine="420" w:firstLineChars="200"/>
        <w:rPr>
          <w:rFonts w:ascii="宋体"/>
        </w:rPr>
      </w:pPr>
      <w:r>
        <w:rPr>
          <w:rFonts w:ascii="宋体" w:hAnsi="宋体"/>
        </w:rPr>
        <w:t xml:space="preserve">A3.6.2 </w:t>
      </w:r>
      <w:r>
        <w:rPr>
          <w:rFonts w:hint="eastAsia" w:ascii="宋体" w:hAnsi="宋体"/>
        </w:rPr>
        <w:t>本章附件</w:t>
      </w:r>
      <w:r>
        <w:rPr>
          <w:rFonts w:ascii="宋体" w:hAnsi="宋体"/>
        </w:rPr>
        <w:t>B</w:t>
      </w:r>
      <w:r>
        <w:rPr>
          <w:rFonts w:hint="eastAsia" w:ascii="宋体" w:hAnsi="宋体"/>
        </w:rPr>
        <w:t>集中列示的否决投标条件不应与本章正文部分包括的否决投标条件相抵触，如果出现相互矛盾的情况，以第二章“投标人须知”和本章正文部分的规定为准。</w:t>
      </w:r>
    </w:p>
    <w:p>
      <w:pPr>
        <w:spacing w:line="320" w:lineRule="exact"/>
        <w:ind w:firstLine="420" w:firstLineChars="200"/>
        <w:rPr>
          <w:rFonts w:ascii="宋体"/>
        </w:rPr>
      </w:pPr>
      <w:r>
        <w:rPr>
          <w:rFonts w:ascii="宋体" w:hAnsi="宋体"/>
        </w:rPr>
        <w:t xml:space="preserve">A3.6.3 </w:t>
      </w:r>
      <w:r>
        <w:rPr>
          <w:rFonts w:hint="eastAsia" w:ascii="宋体" w:hAnsi="宋体"/>
        </w:rPr>
        <w:t>评标委员会在评标（包括初步评审和详细评审）过程中，依据本章</w:t>
      </w:r>
      <w:r>
        <w:fldChar w:fldCharType="begin"/>
      </w:r>
      <w:r>
        <w:instrText xml:space="preserve"> HYPERLINK "file:///H:\\泰州招标文件范本\\泰州市房屋建筑和市政工程施工2016.4.docx" \l "_附件B：废标条件" </w:instrText>
      </w:r>
      <w:r>
        <w:fldChar w:fldCharType="separate"/>
      </w:r>
      <w:r>
        <w:rPr>
          <w:rStyle w:val="21"/>
          <w:rFonts w:hint="eastAsia" w:ascii="宋体" w:hAnsi="宋体"/>
          <w:color w:val="auto"/>
        </w:rPr>
        <w:t>附件</w:t>
      </w:r>
      <w:r>
        <w:rPr>
          <w:rStyle w:val="21"/>
          <w:rFonts w:ascii="宋体" w:hAnsi="宋体"/>
          <w:color w:val="auto"/>
        </w:rPr>
        <w:t>B</w:t>
      </w:r>
      <w:r>
        <w:rPr>
          <w:rStyle w:val="21"/>
          <w:rFonts w:ascii="宋体" w:hAnsi="宋体"/>
          <w:color w:val="auto"/>
        </w:rPr>
        <w:fldChar w:fldCharType="end"/>
      </w:r>
      <w:r>
        <w:rPr>
          <w:rFonts w:hint="eastAsia" w:ascii="宋体" w:hAnsi="宋体"/>
        </w:rPr>
        <w:t>中规定的否决投标条件判断投标人的投标是否为否决投标。</w:t>
      </w:r>
    </w:p>
    <w:p>
      <w:pPr>
        <w:rPr>
          <w:b/>
        </w:rPr>
      </w:pPr>
      <w:r>
        <w:rPr>
          <w:b/>
        </w:rPr>
        <w:t xml:space="preserve">A3.7 </w:t>
      </w:r>
      <w:r>
        <w:rPr>
          <w:rFonts w:hint="eastAsia"/>
          <w:b/>
        </w:rPr>
        <w:t>算术错误修正</w:t>
      </w:r>
    </w:p>
    <w:p>
      <w:pPr>
        <w:spacing w:after="120" w:afterLines="50"/>
        <w:ind w:firstLine="359" w:firstLineChars="171"/>
        <w:rPr>
          <w:rFonts w:ascii="Arial" w:hAnsi="Arial" w:cs="Arial"/>
          <w:szCs w:val="21"/>
        </w:rPr>
      </w:pPr>
      <w:r>
        <w:rPr>
          <w:rFonts w:hint="eastAsia" w:ascii="Arial" w:hAnsi="Arial" w:cs="Arial"/>
          <w:szCs w:val="21"/>
        </w:rPr>
        <w:t>评标委员会依据本章中规定的相关原则，对投标报价中存在的算术错误进行修正，并根据算术错误修正结果计算评标价。</w:t>
      </w:r>
    </w:p>
    <w:p>
      <w:pPr>
        <w:rPr>
          <w:b/>
        </w:rPr>
      </w:pPr>
      <w:r>
        <w:rPr>
          <w:b/>
        </w:rPr>
        <w:t>A3.8</w:t>
      </w:r>
      <w:r>
        <w:rPr>
          <w:rFonts w:hint="eastAsia"/>
          <w:b/>
        </w:rPr>
        <w:t>澄清、说明和补正</w:t>
      </w:r>
    </w:p>
    <w:p>
      <w:pPr>
        <w:spacing w:line="320" w:lineRule="exact"/>
        <w:ind w:firstLine="420" w:firstLineChars="200"/>
      </w:pPr>
      <w:r>
        <w:rPr>
          <w:rFonts w:hint="eastAsia"/>
        </w:rPr>
        <w:t>在初步评审过程中，评标委员会应当就投标文件中不明确的内容，要求投标人进行澄清、说明或者补正。投标人应当根据问题澄清通知要求，以书面形式予以澄清、说明或者补正。澄清、说明和补正根据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"_3.3_详细评审" </w:instrText>
      </w:r>
      <w:r>
        <w:fldChar w:fldCharType="separate"/>
      </w:r>
      <w:r>
        <w:rPr>
          <w:rStyle w:val="21"/>
          <w:rFonts w:hint="eastAsia"/>
          <w:color w:val="auto"/>
        </w:rPr>
        <w:t>本章第</w:t>
      </w:r>
      <w:r>
        <w:rPr>
          <w:rStyle w:val="21"/>
          <w:color w:val="auto"/>
        </w:rPr>
        <w:t>3.4</w:t>
      </w:r>
      <w:r>
        <w:rPr>
          <w:rStyle w:val="21"/>
          <w:rFonts w:hint="eastAsia"/>
          <w:color w:val="auto"/>
        </w:rPr>
        <w:t>款</w:t>
      </w:r>
      <w:r>
        <w:rPr>
          <w:rStyle w:val="21"/>
          <w:rFonts w:hint="eastAsia"/>
          <w:color w:val="auto"/>
        </w:rPr>
        <w:fldChar w:fldCharType="end"/>
      </w:r>
      <w:r>
        <w:rPr>
          <w:rFonts w:hint="eastAsia"/>
        </w:rPr>
        <w:t>的规定进行。</w:t>
      </w:r>
    </w:p>
    <w:p>
      <w:pPr>
        <w:pStyle w:val="6"/>
      </w:pPr>
      <w:r>
        <w:t xml:space="preserve">A4.  </w:t>
      </w:r>
      <w:r>
        <w:rPr>
          <w:rFonts w:hint="eastAsia"/>
        </w:rPr>
        <w:t>详细评审</w:t>
      </w:r>
    </w:p>
    <w:p>
      <w:pPr>
        <w:spacing w:after="120" w:afterLines="50"/>
        <w:ind w:firstLine="359" w:firstLineChars="171"/>
        <w:rPr>
          <w:rFonts w:ascii="Arial" w:hAnsi="Arial" w:cs="Arial"/>
          <w:szCs w:val="21"/>
        </w:rPr>
      </w:pPr>
      <w:r>
        <w:rPr>
          <w:rFonts w:hint="eastAsia" w:ascii="Arial" w:hAnsi="Arial" w:cs="Arial"/>
          <w:szCs w:val="21"/>
        </w:rPr>
        <w:t>只有通过了初步评审，被判定为合格的投标方可进入详细评审。</w:t>
      </w:r>
    </w:p>
    <w:p>
      <w:pPr>
        <w:rPr>
          <w:b/>
        </w:rPr>
      </w:pPr>
      <w:r>
        <w:rPr>
          <w:b/>
        </w:rPr>
        <w:t>A4.1</w:t>
      </w:r>
      <w:r>
        <w:rPr>
          <w:rFonts w:hint="eastAsia"/>
          <w:b/>
        </w:rPr>
        <w:t>判断投标报价是否低于成本</w:t>
      </w:r>
    </w:p>
    <w:p>
      <w:pPr>
        <w:spacing w:line="320" w:lineRule="exact"/>
        <w:rPr>
          <w:rFonts w:ascii="宋体"/>
        </w:rPr>
      </w:pPr>
      <w:r>
        <w:rPr>
          <w:rFonts w:hint="eastAsia" w:ascii="宋体" w:hAnsi="宋体"/>
        </w:rPr>
        <w:t>根据本章第</w:t>
      </w:r>
      <w:r>
        <w:rPr>
          <w:rFonts w:ascii="宋体" w:hAnsi="宋体"/>
        </w:rPr>
        <w:t>3.3.1</w:t>
      </w:r>
      <w:r>
        <w:rPr>
          <w:rFonts w:hint="eastAsia" w:ascii="宋体" w:hAnsi="宋体"/>
        </w:rPr>
        <w:t>项的规定</w:t>
      </w:r>
      <w:r>
        <w:rPr>
          <w:rFonts w:ascii="宋体"/>
        </w:rPr>
        <w:t>,</w:t>
      </w:r>
      <w:r>
        <w:rPr>
          <w:rFonts w:hint="eastAsia" w:ascii="宋体" w:hAnsi="宋体"/>
        </w:rPr>
        <w:t>评标委员会根据本章附件</w:t>
      </w:r>
      <w:r>
        <w:rPr>
          <w:rFonts w:ascii="宋体" w:hAnsi="宋体"/>
        </w:rPr>
        <w:t>C</w:t>
      </w:r>
      <w:r>
        <w:rPr>
          <w:rFonts w:hint="eastAsia" w:ascii="宋体" w:hAnsi="宋体"/>
        </w:rPr>
        <w:t>中规定的程序、标准和方法，判断投标报价是否低于其成本。由评标委员会认定投标人以低于成本竞标的，其投标作否决投标处理。</w:t>
      </w:r>
    </w:p>
    <w:p>
      <w:pPr>
        <w:rPr>
          <w:b/>
        </w:rPr>
      </w:pPr>
      <w:r>
        <w:rPr>
          <w:b/>
        </w:rPr>
        <w:t xml:space="preserve">A4.2 </w:t>
      </w:r>
      <w:r>
        <w:rPr>
          <w:rFonts w:hint="eastAsia"/>
          <w:b/>
        </w:rPr>
        <w:t>投标报价</w:t>
      </w:r>
      <w:r>
        <w:rPr>
          <w:rFonts w:hint="eastAsia" w:ascii="Arial" w:hAnsi="Arial" w:cs="Arial"/>
          <w:b/>
          <w:szCs w:val="21"/>
        </w:rPr>
        <w:t>和其他因素</w:t>
      </w:r>
      <w:r>
        <w:rPr>
          <w:rFonts w:hint="eastAsia"/>
          <w:b/>
        </w:rPr>
        <w:t>评审和评分</w:t>
      </w:r>
    </w:p>
    <w:p>
      <w:pPr>
        <w:spacing w:line="320" w:lineRule="exact"/>
        <w:ind w:firstLine="315" w:firstLineChars="150"/>
      </w:pPr>
      <w:r>
        <w:rPr>
          <w:rFonts w:hint="eastAsia"/>
        </w:rPr>
        <w:t>评标委员会根据评标办法前附表中规定的评分标准，对投标报价和其他因素进行评分。</w:t>
      </w:r>
    </w:p>
    <w:p>
      <w:pPr>
        <w:rPr>
          <w:b/>
        </w:rPr>
      </w:pPr>
      <w:r>
        <w:rPr>
          <w:b/>
        </w:rPr>
        <w:t xml:space="preserve">A4.3 </w:t>
      </w:r>
      <w:r>
        <w:rPr>
          <w:rFonts w:hint="eastAsia"/>
          <w:b/>
        </w:rPr>
        <w:t>澄清、说明和补正</w:t>
      </w:r>
    </w:p>
    <w:p>
      <w:pPr>
        <w:spacing w:after="120" w:afterLines="50"/>
        <w:ind w:firstLine="359" w:firstLineChars="171"/>
        <w:rPr>
          <w:rFonts w:ascii="宋体" w:cs="Arial"/>
          <w:szCs w:val="21"/>
        </w:rPr>
      </w:pPr>
      <w:r>
        <w:rPr>
          <w:rFonts w:hint="eastAsia" w:ascii="宋体" w:hAnsi="宋体" w:cs="Arial"/>
          <w:szCs w:val="21"/>
        </w:rPr>
        <w:t>在详细评审过程中，评标委员会应当就投标文件中不明确的内容，要求投标人进行澄清、说明或者补正。投标人应当根据问题澄清通知要求，以书面形式予以澄清、说明或者补正。澄清、说明和补正根据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"_3.4_投标文件的澄清和补正" </w:instrText>
      </w:r>
      <w:r>
        <w:fldChar w:fldCharType="separate"/>
      </w:r>
      <w:r>
        <w:rPr>
          <w:rStyle w:val="21"/>
          <w:rFonts w:hint="eastAsia" w:ascii="宋体" w:hAnsi="宋体" w:cs="Arial"/>
          <w:color w:val="auto"/>
          <w:szCs w:val="21"/>
        </w:rPr>
        <w:t>本章第</w:t>
      </w:r>
      <w:r>
        <w:rPr>
          <w:rStyle w:val="21"/>
          <w:rFonts w:ascii="宋体" w:hAnsi="宋体" w:cs="Arial"/>
          <w:color w:val="auto"/>
          <w:szCs w:val="21"/>
        </w:rPr>
        <w:t>3.4</w:t>
      </w:r>
      <w:r>
        <w:rPr>
          <w:rStyle w:val="21"/>
          <w:rFonts w:hint="eastAsia" w:ascii="宋体" w:hAnsi="宋体" w:cs="Arial"/>
          <w:color w:val="auto"/>
          <w:szCs w:val="21"/>
        </w:rPr>
        <w:t>款</w:t>
      </w:r>
      <w:r>
        <w:rPr>
          <w:rStyle w:val="21"/>
          <w:rFonts w:hint="eastAsia" w:ascii="宋体" w:hAnsi="宋体" w:cs="Arial"/>
          <w:color w:val="auto"/>
          <w:szCs w:val="21"/>
        </w:rPr>
        <w:fldChar w:fldCharType="end"/>
      </w:r>
      <w:r>
        <w:rPr>
          <w:rFonts w:hint="eastAsia" w:ascii="宋体" w:hAnsi="宋体" w:cs="Arial"/>
          <w:szCs w:val="21"/>
        </w:rPr>
        <w:t>的规定进行。</w:t>
      </w:r>
    </w:p>
    <w:p>
      <w:pPr>
        <w:pStyle w:val="6"/>
      </w:pPr>
      <w:r>
        <w:t xml:space="preserve">A5  </w:t>
      </w:r>
      <w:r>
        <w:rPr>
          <w:rFonts w:hint="eastAsia"/>
        </w:rPr>
        <w:t>推荐中标候选人或者直接确定中标人</w:t>
      </w:r>
    </w:p>
    <w:p>
      <w:pPr>
        <w:rPr>
          <w:b/>
        </w:rPr>
      </w:pPr>
      <w:r>
        <w:rPr>
          <w:b/>
        </w:rPr>
        <w:t xml:space="preserve">A5.1 </w:t>
      </w:r>
      <w:r>
        <w:rPr>
          <w:rFonts w:hint="eastAsia"/>
          <w:b/>
        </w:rPr>
        <w:t>汇总评标结果</w:t>
      </w:r>
    </w:p>
    <w:p>
      <w:pPr>
        <w:spacing w:line="360" w:lineRule="auto"/>
        <w:ind w:firstLine="420" w:firstLineChars="200"/>
      </w:pPr>
      <w:r>
        <w:rPr>
          <w:rFonts w:hint="eastAsia"/>
        </w:rPr>
        <w:t>评审工作全部结束后，评标委员会应按照格式填写评标得分汇总表。</w:t>
      </w:r>
    </w:p>
    <w:p>
      <w:pPr>
        <w:rPr>
          <w:b/>
        </w:rPr>
      </w:pPr>
      <w:r>
        <w:rPr>
          <w:b/>
        </w:rPr>
        <w:t xml:space="preserve">A5.2 </w:t>
      </w:r>
      <w:r>
        <w:rPr>
          <w:rFonts w:hint="eastAsia"/>
          <w:b/>
        </w:rPr>
        <w:t>推荐中标候选人</w:t>
      </w:r>
    </w:p>
    <w:p>
      <w:pPr>
        <w:spacing w:line="320" w:lineRule="exact"/>
        <w:ind w:firstLine="420" w:firstLineChars="200"/>
      </w:pPr>
      <w:r>
        <w:t>A5.2.1</w:t>
      </w:r>
      <w:r>
        <w:rPr>
          <w:rFonts w:hint="eastAsia"/>
        </w:rPr>
        <w:t>除第二章“</w:t>
      </w:r>
      <w:r>
        <w:fldChar w:fldCharType="begin"/>
      </w:r>
      <w:r>
        <w:instrText xml:space="preserve"> HYPERLINK "file:///H:\\泰州招标文件范本\\泰州市房屋建筑和市政工程施工2016.4.docx" \l "_定标方式" </w:instrText>
      </w:r>
      <w:r>
        <w:fldChar w:fldCharType="separate"/>
      </w:r>
      <w:r>
        <w:rPr>
          <w:rStyle w:val="21"/>
          <w:rFonts w:hint="eastAsia"/>
          <w:color w:val="auto"/>
        </w:rPr>
        <w:t>投标人须知”前附表</w:t>
      </w:r>
      <w:r>
        <w:rPr>
          <w:rStyle w:val="21"/>
          <w:rFonts w:hint="eastAsia"/>
          <w:color w:val="auto"/>
        </w:rPr>
        <w:fldChar w:fldCharType="end"/>
      </w:r>
      <w:r>
        <w:rPr>
          <w:rFonts w:hint="eastAsia"/>
        </w:rPr>
        <w:t>授权直接确定中标人外，评标委员会在推荐中标候选人时，应遵照以下原则：</w:t>
      </w:r>
    </w:p>
    <w:p>
      <w:pPr>
        <w:spacing w:line="320" w:lineRule="exact"/>
        <w:ind w:firstLine="525" w:firstLineChars="250"/>
      </w:pPr>
      <w:r>
        <w:rPr>
          <w:rFonts w:hint="eastAsia"/>
        </w:rPr>
        <w:t>（</w:t>
      </w:r>
      <w:r>
        <w:t>1</w:t>
      </w:r>
      <w:r>
        <w:rPr>
          <w:rFonts w:hint="eastAsia"/>
        </w:rPr>
        <w:t>）评标委员会对有效的投标，按照得分由高至低的次序排列，根据第二章</w:t>
      </w:r>
      <w:r>
        <w:fldChar w:fldCharType="begin"/>
      </w:r>
      <w:r>
        <w:instrText xml:space="preserve"> HYPERLINK "file:///H:\\泰州招标文件范本\\泰州市房屋建筑和市政工程施工2016.4.docx" \l "_7.2_定标方式" </w:instrText>
      </w:r>
      <w:r>
        <w:fldChar w:fldCharType="separate"/>
      </w:r>
      <w:r>
        <w:rPr>
          <w:rStyle w:val="21"/>
          <w:rFonts w:hint="eastAsia"/>
          <w:color w:val="auto"/>
        </w:rPr>
        <w:t>投标人须知前附表</w:t>
      </w:r>
      <w:r>
        <w:rPr>
          <w:rStyle w:val="21"/>
          <w:color w:val="auto"/>
        </w:rPr>
        <w:t>7.1</w:t>
      </w:r>
      <w:r>
        <w:rPr>
          <w:rStyle w:val="21"/>
          <w:rFonts w:hint="eastAsia"/>
          <w:color w:val="auto"/>
        </w:rPr>
        <w:t>项</w:t>
      </w:r>
      <w:r>
        <w:rPr>
          <w:rStyle w:val="21"/>
          <w:rFonts w:hint="eastAsia"/>
          <w:color w:val="auto"/>
        </w:rPr>
        <w:fldChar w:fldCharType="end"/>
      </w:r>
      <w:r>
        <w:rPr>
          <w:rFonts w:hint="eastAsia"/>
        </w:rPr>
        <w:t>的规定推荐中标候选人。</w:t>
      </w:r>
    </w:p>
    <w:p>
      <w:pPr>
        <w:spacing w:line="320" w:lineRule="exact"/>
        <w:ind w:firstLine="525" w:firstLineChars="250"/>
      </w:pPr>
      <w:r>
        <w:rPr>
          <w:rFonts w:hint="eastAsia"/>
        </w:rPr>
        <w:t>（</w:t>
      </w:r>
      <w:r>
        <w:t>2</w:t>
      </w:r>
      <w:r>
        <w:rPr>
          <w:rFonts w:hint="eastAsia"/>
        </w:rPr>
        <w:t>）如果评标委员会根据本章的规定作否决投标处理后，有效投标不足三个，且少于第二章</w:t>
      </w:r>
      <w:r>
        <w:fldChar w:fldCharType="begin"/>
      </w:r>
      <w:r>
        <w:instrText xml:space="preserve"> HYPERLINK "file:///H:\\泰州招标文件范本\\泰州市房屋建筑和市政工程施工2016.4.docx" \l "_定标方式" </w:instrText>
      </w:r>
      <w:r>
        <w:fldChar w:fldCharType="separate"/>
      </w:r>
      <w:r>
        <w:rPr>
          <w:rStyle w:val="21"/>
          <w:rFonts w:hint="eastAsia"/>
          <w:color w:val="auto"/>
        </w:rPr>
        <w:t>投标人须知前附表</w:t>
      </w:r>
      <w:r>
        <w:rPr>
          <w:rStyle w:val="21"/>
          <w:color w:val="auto"/>
        </w:rPr>
        <w:t>7.1</w:t>
      </w:r>
      <w:r>
        <w:rPr>
          <w:rStyle w:val="21"/>
          <w:rFonts w:hint="eastAsia"/>
          <w:color w:val="auto"/>
        </w:rPr>
        <w:t>项</w:t>
      </w:r>
      <w:r>
        <w:rPr>
          <w:rStyle w:val="21"/>
          <w:rFonts w:hint="eastAsia"/>
          <w:color w:val="auto"/>
        </w:rPr>
        <w:fldChar w:fldCharType="end"/>
      </w:r>
      <w:r>
        <w:rPr>
          <w:rFonts w:hint="eastAsia"/>
        </w:rPr>
        <w:t>规定的中标候选人数量的，则评标委员会可以将所有有效投标按得分由高至低的次序作为中标候选人向招标人推荐。如果因有效投标不足三个使得投标明显缺乏竞争的，评标委员会可以建议招标人重新招标。</w:t>
      </w:r>
    </w:p>
    <w:p>
      <w:pPr>
        <w:spacing w:line="320" w:lineRule="exact"/>
        <w:ind w:firstLine="525" w:firstLineChars="250"/>
      </w:pPr>
      <w:r>
        <w:t>A5.2.2</w:t>
      </w:r>
      <w:r>
        <w:rPr>
          <w:rFonts w:hint="eastAsia"/>
        </w:rPr>
        <w:t>投标截止时间前递交投标文件的投标人数量少于三个或者所有投标被否决的，招标人应当依法重新招标。</w:t>
      </w:r>
    </w:p>
    <w:p>
      <w:pPr>
        <w:rPr>
          <w:b/>
        </w:rPr>
      </w:pPr>
      <w:r>
        <w:rPr>
          <w:b/>
        </w:rPr>
        <w:t xml:space="preserve">A5.3 </w:t>
      </w:r>
      <w:r>
        <w:rPr>
          <w:rFonts w:hint="eastAsia"/>
          <w:b/>
        </w:rPr>
        <w:t>直接确定中标人</w:t>
      </w:r>
    </w:p>
    <w:p>
      <w:pPr>
        <w:spacing w:line="320" w:lineRule="exact"/>
        <w:ind w:firstLine="315" w:firstLineChars="150"/>
      </w:pPr>
      <w:r>
        <w:rPr>
          <w:rFonts w:hint="eastAsia"/>
        </w:rPr>
        <w:t>第二章“投标人须知”前附表授权评标委员会直接确定中标人的，评标委员会对有效的投标按照得分由高至低的次序排列，并确定排名第一的投标人为中标人。</w:t>
      </w:r>
    </w:p>
    <w:p>
      <w:r>
        <w:rPr>
          <w:b/>
        </w:rPr>
        <w:t xml:space="preserve">A5.4 </w:t>
      </w:r>
      <w:r>
        <w:rPr>
          <w:rFonts w:hint="eastAsia"/>
          <w:b/>
        </w:rPr>
        <w:t>编制及提交评标报告</w:t>
      </w:r>
    </w:p>
    <w:p>
      <w:pPr>
        <w:spacing w:line="320" w:lineRule="exact"/>
        <w:ind w:firstLine="420" w:firstLineChars="200"/>
      </w:pPr>
      <w:r>
        <w:rPr>
          <w:rFonts w:hint="eastAsia"/>
        </w:rPr>
        <w:t>评标委员会根据</w:t>
      </w:r>
      <w:r>
        <w:fldChar w:fldCharType="begin"/>
      </w:r>
      <w:r>
        <w:instrText xml:space="preserve"> HYPERLINK "file:///H:\\泰州招标文件范本\\泰州市房屋建筑和市政工程施工2016.4.docx" \l "_3.4_投标文件的澄清和补正" </w:instrText>
      </w:r>
      <w:r>
        <w:fldChar w:fldCharType="separate"/>
      </w:r>
      <w:r>
        <w:rPr>
          <w:rStyle w:val="21"/>
          <w:rFonts w:hint="eastAsia"/>
          <w:color w:val="auto"/>
        </w:rPr>
        <w:t>本章第</w:t>
      </w:r>
      <w:r>
        <w:rPr>
          <w:rStyle w:val="21"/>
          <w:color w:val="auto"/>
        </w:rPr>
        <w:t>3.5.2</w:t>
      </w:r>
      <w:r>
        <w:rPr>
          <w:rStyle w:val="21"/>
          <w:rFonts w:hint="eastAsia"/>
          <w:color w:val="auto"/>
        </w:rPr>
        <w:t>项</w:t>
      </w:r>
      <w:r>
        <w:rPr>
          <w:rStyle w:val="21"/>
          <w:rFonts w:hint="eastAsia"/>
          <w:color w:val="auto"/>
        </w:rPr>
        <w:fldChar w:fldCharType="end"/>
      </w:r>
      <w:r>
        <w:rPr>
          <w:rFonts w:hint="eastAsia"/>
        </w:rPr>
        <w:t>的规定，向招标人提交评标报告。评标报告应当由全体评标委员会成员签字，并于评标结束时抄送有关行政监督部门。评标报告应当包括以下内容：</w:t>
      </w:r>
    </w:p>
    <w:p>
      <w:pPr>
        <w:spacing w:line="320" w:lineRule="exact"/>
        <w:ind w:firstLine="420" w:firstLineChars="200"/>
      </w:pPr>
      <w:r>
        <w:rPr>
          <w:rFonts w:hint="eastAsia"/>
        </w:rPr>
        <w:t>（</w:t>
      </w:r>
      <w:r>
        <w:t>1</w:t>
      </w:r>
      <w:r>
        <w:rPr>
          <w:rFonts w:hint="eastAsia"/>
        </w:rPr>
        <w:t>）基本情况和数据表；</w:t>
      </w:r>
    </w:p>
    <w:p>
      <w:pPr>
        <w:spacing w:line="320" w:lineRule="exact"/>
        <w:ind w:firstLine="420" w:firstLineChars="200"/>
      </w:pPr>
      <w:r>
        <w:rPr>
          <w:rFonts w:hint="eastAsia"/>
        </w:rPr>
        <w:t>（</w:t>
      </w:r>
      <w:r>
        <w:t>2</w:t>
      </w:r>
      <w:r>
        <w:rPr>
          <w:rFonts w:hint="eastAsia"/>
        </w:rPr>
        <w:t>）评标委员会成员名单；</w:t>
      </w:r>
    </w:p>
    <w:p>
      <w:pPr>
        <w:spacing w:line="320" w:lineRule="exact"/>
        <w:ind w:firstLine="420" w:firstLineChars="200"/>
      </w:pPr>
      <w:r>
        <w:rPr>
          <w:rFonts w:hint="eastAsia"/>
        </w:rPr>
        <w:t>（</w:t>
      </w:r>
      <w:r>
        <w:t>3</w:t>
      </w:r>
      <w:r>
        <w:rPr>
          <w:rFonts w:hint="eastAsia"/>
        </w:rPr>
        <w:t>）开标记录；</w:t>
      </w:r>
    </w:p>
    <w:p>
      <w:pPr>
        <w:spacing w:line="320" w:lineRule="exact"/>
        <w:ind w:firstLine="420" w:firstLineChars="200"/>
      </w:pPr>
      <w:r>
        <w:rPr>
          <w:rFonts w:hint="eastAsia"/>
        </w:rPr>
        <w:t>（</w:t>
      </w:r>
      <w:r>
        <w:t>4</w:t>
      </w:r>
      <w:r>
        <w:rPr>
          <w:rFonts w:hint="eastAsia"/>
        </w:rPr>
        <w:t>）符合要求的投标人一览表；</w:t>
      </w:r>
    </w:p>
    <w:p>
      <w:pPr>
        <w:spacing w:line="320" w:lineRule="exact"/>
        <w:ind w:firstLine="420" w:firstLineChars="200"/>
      </w:pPr>
      <w:r>
        <w:rPr>
          <w:rFonts w:hint="eastAsia"/>
        </w:rPr>
        <w:t>（</w:t>
      </w:r>
      <w:r>
        <w:t>5</w:t>
      </w:r>
      <w:r>
        <w:rPr>
          <w:rFonts w:hint="eastAsia"/>
        </w:rPr>
        <w:t>）否决投标情况说明；</w:t>
      </w:r>
    </w:p>
    <w:p>
      <w:pPr>
        <w:spacing w:line="320" w:lineRule="exact"/>
        <w:ind w:firstLine="420" w:firstLineChars="200"/>
      </w:pPr>
      <w:r>
        <w:rPr>
          <w:rFonts w:hint="eastAsia"/>
        </w:rPr>
        <w:t>（</w:t>
      </w:r>
      <w:r>
        <w:t>6</w:t>
      </w:r>
      <w:r>
        <w:rPr>
          <w:rFonts w:hint="eastAsia"/>
        </w:rPr>
        <w:t>）评标标准、评标方法或者评标因素一览表；</w:t>
      </w:r>
    </w:p>
    <w:p>
      <w:pPr>
        <w:spacing w:line="320" w:lineRule="exact"/>
        <w:ind w:firstLine="420" w:firstLineChars="200"/>
      </w:pPr>
      <w:r>
        <w:rPr>
          <w:rFonts w:hint="eastAsia"/>
        </w:rPr>
        <w:t>（</w:t>
      </w:r>
      <w:r>
        <w:t>7</w:t>
      </w:r>
      <w:r>
        <w:rPr>
          <w:rFonts w:hint="eastAsia"/>
        </w:rPr>
        <w:t>）经评审的价格一览表（包括评标委员会在评标过程中所形成的所有记载评标结果、结论的表格、清标报告、说明、记录等文件）；</w:t>
      </w:r>
    </w:p>
    <w:p>
      <w:pPr>
        <w:spacing w:line="320" w:lineRule="exact"/>
        <w:ind w:firstLine="420" w:firstLineChars="200"/>
      </w:pPr>
      <w:r>
        <w:rPr>
          <w:rFonts w:hint="eastAsia"/>
        </w:rPr>
        <w:t>（</w:t>
      </w:r>
      <w:r>
        <w:t>8</w:t>
      </w:r>
      <w:r>
        <w:rPr>
          <w:rFonts w:hint="eastAsia"/>
        </w:rPr>
        <w:t>）经评审的投标人排序；</w:t>
      </w:r>
    </w:p>
    <w:p>
      <w:pPr>
        <w:spacing w:line="320" w:lineRule="exact"/>
        <w:ind w:firstLine="420" w:firstLineChars="200"/>
      </w:pPr>
      <w:r>
        <w:rPr>
          <w:rFonts w:hint="eastAsia"/>
        </w:rPr>
        <w:t>（</w:t>
      </w:r>
      <w:r>
        <w:t>9</w:t>
      </w:r>
      <w:r>
        <w:rPr>
          <w:rFonts w:hint="eastAsia"/>
        </w:rPr>
        <w:t>）推荐的中标候选人名单（如果第二章“投标人须知前附表”授权评标委员会直接确定中标人，则为“确定的中标人”）与签订合同前要处理的事宜；</w:t>
      </w:r>
    </w:p>
    <w:p>
      <w:pPr>
        <w:spacing w:line="320" w:lineRule="exact"/>
        <w:ind w:firstLine="420" w:firstLineChars="200"/>
      </w:pPr>
      <w:r>
        <w:rPr>
          <w:rFonts w:hint="eastAsia"/>
        </w:rPr>
        <w:t>（</w:t>
      </w:r>
      <w:r>
        <w:t>10</w:t>
      </w:r>
      <w:r>
        <w:rPr>
          <w:rFonts w:hint="eastAsia"/>
        </w:rPr>
        <w:t>）澄清、说明和补正事项纪要。</w:t>
      </w:r>
    </w:p>
    <w:p>
      <w:pPr>
        <w:pStyle w:val="6"/>
      </w:pPr>
      <w:r>
        <w:t xml:space="preserve">A6. </w:t>
      </w:r>
      <w:r>
        <w:rPr>
          <w:rFonts w:hint="eastAsia"/>
        </w:rPr>
        <w:t>特殊情况的处置程序</w:t>
      </w:r>
    </w:p>
    <w:p>
      <w:pPr>
        <w:spacing w:line="360" w:lineRule="exact"/>
        <w:ind w:firstLine="420" w:firstLineChars="200"/>
      </w:pPr>
      <w:r>
        <w:t>A6.1</w:t>
      </w:r>
      <w:r>
        <w:rPr>
          <w:rFonts w:hint="eastAsia"/>
        </w:rPr>
        <w:t>关于评标活动暂停</w:t>
      </w:r>
    </w:p>
    <w:p>
      <w:pPr>
        <w:spacing w:line="360" w:lineRule="exact"/>
        <w:ind w:firstLine="420" w:firstLineChars="200"/>
      </w:pPr>
      <w:r>
        <w:t xml:space="preserve">A6.1.1 </w:t>
      </w:r>
      <w:r>
        <w:rPr>
          <w:rFonts w:hint="eastAsia"/>
        </w:rPr>
        <w:t>评标委员会应当执行连续评标的原则，按评标办法中规定的程序、内容、方法、标准完成全部评标工作。只有发生不可抗力导致评标工作无法继续时，评标活动方可暂停。</w:t>
      </w:r>
    </w:p>
    <w:p>
      <w:pPr>
        <w:spacing w:line="360" w:lineRule="exact"/>
        <w:ind w:firstLine="420" w:firstLineChars="200"/>
      </w:pPr>
      <w:r>
        <w:t xml:space="preserve">A6.1.2 </w:t>
      </w:r>
      <w:r>
        <w:rPr>
          <w:rFonts w:hint="eastAsia"/>
        </w:rPr>
        <w:t>发生评标暂停情况时，评标委员会应当封存全部投标文件和评标记录，待不可抗力的影响结束且具备继续评标的条件时，由原评标委员会继续评标。</w:t>
      </w:r>
    </w:p>
    <w:p>
      <w:pPr>
        <w:ind w:firstLine="413" w:firstLineChars="196"/>
        <w:rPr>
          <w:b/>
        </w:rPr>
      </w:pPr>
      <w:r>
        <w:rPr>
          <w:b/>
        </w:rPr>
        <w:t xml:space="preserve">A6.2  </w:t>
      </w:r>
      <w:r>
        <w:rPr>
          <w:rFonts w:hint="eastAsia"/>
          <w:b/>
        </w:rPr>
        <w:t>关于评标中途更换评标委员会成员</w:t>
      </w:r>
    </w:p>
    <w:p>
      <w:pPr>
        <w:spacing w:line="360" w:lineRule="exact"/>
        <w:ind w:firstLine="420" w:firstLineChars="200"/>
      </w:pPr>
      <w:r>
        <w:t xml:space="preserve">A6.2.1  </w:t>
      </w:r>
      <w:r>
        <w:rPr>
          <w:rFonts w:hint="eastAsia"/>
        </w:rPr>
        <w:t>除非发生下列情况之一，评标委员会成员不得在评标中途更换：</w:t>
      </w:r>
    </w:p>
    <w:p>
      <w:pPr>
        <w:spacing w:line="360" w:lineRule="exact"/>
        <w:ind w:firstLine="315" w:firstLineChars="150"/>
      </w:pPr>
      <w:r>
        <w:rPr>
          <w:rFonts w:hint="eastAsia"/>
        </w:rPr>
        <w:t>（</w:t>
      </w:r>
      <w:r>
        <w:t>1</w:t>
      </w:r>
      <w:r>
        <w:rPr>
          <w:rFonts w:hint="eastAsia"/>
        </w:rPr>
        <w:t>）因不可抗拒的客观原因，不能到场或需在评标中途退出评标活动；</w:t>
      </w:r>
    </w:p>
    <w:p>
      <w:pPr>
        <w:spacing w:line="360" w:lineRule="exact"/>
        <w:ind w:firstLine="315" w:firstLineChars="150"/>
      </w:pPr>
      <w:r>
        <w:rPr>
          <w:rFonts w:hint="eastAsia"/>
        </w:rPr>
        <w:t>（</w:t>
      </w:r>
      <w:r>
        <w:t>2</w:t>
      </w:r>
      <w:r>
        <w:rPr>
          <w:rFonts w:hint="eastAsia"/>
        </w:rPr>
        <w:t>）根据法律法规规定，某个或某几个评标委员会成员需要回避。</w:t>
      </w:r>
    </w:p>
    <w:p>
      <w:pPr>
        <w:spacing w:line="360" w:lineRule="exact"/>
        <w:ind w:firstLine="420" w:firstLineChars="200"/>
      </w:pPr>
      <w:r>
        <w:t xml:space="preserve">A6.2.2  </w:t>
      </w:r>
      <w:r>
        <w:rPr>
          <w:rFonts w:hint="eastAsia"/>
        </w:rPr>
        <w:t>退出评标的评标委员会成员，其已完成的评标行为无效。由招标人根据本招标文件规定的评标委员会成员产生方式另行抽取评标专家进行评标。</w:t>
      </w:r>
    </w:p>
    <w:p>
      <w:pPr>
        <w:rPr>
          <w:b/>
        </w:rPr>
      </w:pPr>
      <w:r>
        <w:rPr>
          <w:b/>
        </w:rPr>
        <w:t xml:space="preserve">A6.3  </w:t>
      </w:r>
      <w:r>
        <w:rPr>
          <w:rFonts w:hint="eastAsia"/>
          <w:b/>
        </w:rPr>
        <w:t>记名投票</w:t>
      </w:r>
    </w:p>
    <w:p>
      <w:pPr>
        <w:spacing w:line="360" w:lineRule="exact"/>
        <w:ind w:firstLine="420" w:firstLineChars="200"/>
      </w:pPr>
      <w:r>
        <w:rPr>
          <w:rFonts w:hint="eastAsia"/>
        </w:rPr>
        <w:t>在任何评标环节中，需评标委员会就某项定性的评审结论做出表决的，由评标委员会全体成员按照少数服从多数的原则，以记名投票方式表决。</w:t>
      </w:r>
    </w:p>
    <w:p>
      <w:pPr>
        <w:spacing w:line="360" w:lineRule="exact"/>
        <w:rPr>
          <w:b/>
        </w:rPr>
      </w:pPr>
      <w:r>
        <w:rPr>
          <w:b/>
        </w:rPr>
        <w:t xml:space="preserve">A7. </w:t>
      </w:r>
      <w:r>
        <w:rPr>
          <w:rFonts w:hint="eastAsia"/>
          <w:b/>
        </w:rPr>
        <w:t>补充条款</w:t>
      </w:r>
    </w:p>
    <w:p/>
    <w:p/>
    <w:p/>
    <w:p>
      <w:pPr>
        <w:pStyle w:val="2"/>
      </w:pPr>
    </w:p>
    <w:p>
      <w:pPr>
        <w:pStyle w:val="2"/>
      </w:pPr>
    </w:p>
    <w:p>
      <w:pPr>
        <w:pStyle w:val="5"/>
      </w:pPr>
      <w:bookmarkStart w:id="173" w:name="_附件B：废标条件"/>
      <w:bookmarkEnd w:id="173"/>
      <w:bookmarkStart w:id="174" w:name="_Toc241484539"/>
      <w:bookmarkStart w:id="175" w:name="_Toc275956127"/>
      <w:bookmarkStart w:id="176" w:name="_Toc241459643"/>
      <w:r>
        <w:rPr>
          <w:rFonts w:hint="eastAsia"/>
        </w:rPr>
        <w:t>附件</w:t>
      </w:r>
      <w:r>
        <w:t>B</w:t>
      </w:r>
      <w:r>
        <w:rPr>
          <w:rFonts w:hint="eastAsia"/>
        </w:rPr>
        <w:t>：否决投标条件</w:t>
      </w:r>
      <w:bookmarkEnd w:id="174"/>
      <w:bookmarkEnd w:id="175"/>
      <w:bookmarkEnd w:id="176"/>
    </w:p>
    <w:p>
      <w:pPr>
        <w:spacing w:after="120" w:afterLines="50"/>
        <w:jc w:val="center"/>
        <w:rPr>
          <w:rFonts w:ascii="黑体" w:hAnsi="宋体" w:eastAsia="黑体" w:cs="Arial"/>
          <w:bCs/>
          <w:sz w:val="28"/>
          <w:szCs w:val="28"/>
        </w:rPr>
      </w:pPr>
      <w:r>
        <w:rPr>
          <w:rFonts w:hint="eastAsia" w:ascii="黑体" w:hAnsi="宋体" w:eastAsia="黑体" w:cs="Arial"/>
          <w:bCs/>
          <w:sz w:val="28"/>
          <w:szCs w:val="28"/>
        </w:rPr>
        <w:t>否决投标条件</w:t>
      </w:r>
    </w:p>
    <w:p>
      <w:pPr>
        <w:pStyle w:val="6"/>
      </w:pPr>
      <w:r>
        <w:t xml:space="preserve">B0. </w:t>
      </w:r>
      <w:r>
        <w:rPr>
          <w:rFonts w:hint="eastAsia"/>
        </w:rPr>
        <w:t>总则</w:t>
      </w:r>
    </w:p>
    <w:p>
      <w:pPr>
        <w:spacing w:after="120" w:afterLines="50" w:line="400" w:lineRule="exact"/>
        <w:ind w:firstLine="420" w:firstLineChars="200"/>
        <w:rPr>
          <w:rFonts w:ascii="宋体" w:cs="Arial"/>
          <w:szCs w:val="21"/>
        </w:rPr>
      </w:pPr>
      <w:r>
        <w:rPr>
          <w:rFonts w:hint="eastAsia"/>
        </w:rPr>
        <w:t>本附件所集中列示的否决投标条件，是本章“评标办法”的组成部分，是对</w:t>
      </w:r>
      <w:r>
        <w:rPr>
          <w:rFonts w:hint="eastAsia" w:ascii="Arial" w:hAnsi="Arial" w:cs="Arial"/>
          <w:szCs w:val="21"/>
        </w:rPr>
        <w:t>第二章“投标人须知”和本章正文部分所规定的否决投标条件的总结和补充，如果出现相互矛盾的情况，以第二章“投标人须知”和本章正文部分的规定为准。</w:t>
      </w:r>
    </w:p>
    <w:p>
      <w:pPr>
        <w:pStyle w:val="6"/>
      </w:pPr>
      <w:r>
        <w:t xml:space="preserve">B1. </w:t>
      </w:r>
      <w:r>
        <w:rPr>
          <w:rFonts w:hint="eastAsia"/>
        </w:rPr>
        <w:t>否决投标条件</w:t>
      </w:r>
    </w:p>
    <w:p>
      <w:pPr>
        <w:spacing w:line="360" w:lineRule="exact"/>
        <w:ind w:firstLine="420" w:firstLineChars="200"/>
      </w:pPr>
      <w:r>
        <w:rPr>
          <w:rFonts w:hint="eastAsia"/>
        </w:rPr>
        <w:t>投标人或其投标文件有下列情形之一的，其投标作否决投标处理：</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B1.1 </w:t>
      </w:r>
      <w:r>
        <w:rPr>
          <w:rFonts w:hint="eastAsia" w:ascii="宋体" w:hAnsi="宋体" w:eastAsia="宋体" w:cs="宋体e眠副浡渀."/>
          <w:color w:val="auto"/>
          <w:sz w:val="21"/>
          <w:szCs w:val="21"/>
        </w:rPr>
        <w:t>有第二章“投标人须知”第</w:t>
      </w:r>
      <w:r>
        <w:rPr>
          <w:rFonts w:ascii="宋体" w:hAnsi="宋体" w:eastAsia="宋体"/>
          <w:color w:val="auto"/>
          <w:sz w:val="21"/>
          <w:szCs w:val="21"/>
        </w:rPr>
        <w:t>1.4.3</w:t>
      </w:r>
      <w:r>
        <w:rPr>
          <w:rFonts w:hint="eastAsia" w:ascii="宋体" w:hAnsi="宋体" w:eastAsia="宋体" w:cs="宋体e眠副浡渀."/>
          <w:color w:val="auto"/>
          <w:sz w:val="21"/>
          <w:szCs w:val="21"/>
        </w:rPr>
        <w:t>项、第</w:t>
      </w:r>
      <w:r>
        <w:rPr>
          <w:rFonts w:ascii="宋体" w:hAnsi="宋体" w:eastAsia="宋体" w:cs="宋体e眠副浡渀."/>
          <w:color w:val="auto"/>
          <w:sz w:val="21"/>
          <w:szCs w:val="21"/>
        </w:rPr>
        <w:t>1.4.4</w:t>
      </w:r>
      <w:r>
        <w:rPr>
          <w:rFonts w:hint="eastAsia" w:ascii="宋体" w:hAnsi="宋体" w:eastAsia="宋体" w:cs="宋体e眠副浡渀."/>
          <w:color w:val="auto"/>
          <w:sz w:val="21"/>
          <w:szCs w:val="21"/>
        </w:rPr>
        <w:t>项规定的任何一种情形的。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B1.2 </w:t>
      </w:r>
      <w:r>
        <w:rPr>
          <w:rFonts w:hint="eastAsia" w:ascii="宋体" w:hAnsi="宋体" w:eastAsia="宋体" w:cs="宋体e眠副浡渀."/>
          <w:color w:val="auto"/>
          <w:sz w:val="21"/>
          <w:szCs w:val="21"/>
        </w:rPr>
        <w:t>有串通投标或弄虚作假或有其他违法行为的。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B1.3 </w:t>
      </w:r>
      <w:r>
        <w:rPr>
          <w:rFonts w:hint="eastAsia" w:ascii="宋体" w:hAnsi="宋体" w:eastAsia="宋体" w:cs="宋体e眠副浡渀."/>
          <w:color w:val="auto"/>
          <w:sz w:val="21"/>
          <w:szCs w:val="21"/>
        </w:rPr>
        <w:t>不按评标委员会要求澄清、说明或补正的。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B1.4 </w:t>
      </w:r>
      <w:r>
        <w:rPr>
          <w:rFonts w:hint="eastAsia" w:ascii="宋体" w:hAnsi="宋体" w:eastAsia="宋体" w:cs="宋体e眠副浡渀."/>
          <w:color w:val="auto"/>
          <w:sz w:val="21"/>
          <w:szCs w:val="21"/>
        </w:rPr>
        <w:t>在形式评审、资格评审（适用于未进行资格预审的）、响应性评审中，评标委员会认定投标人的投标文件不符合评标办法前附表中规定的任何一项评审标准的。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B1.5 </w:t>
      </w:r>
      <w:r>
        <w:rPr>
          <w:rFonts w:hint="eastAsia" w:ascii="宋体" w:hAnsi="宋体" w:eastAsia="宋体" w:cs="宋体e眠副浡渀."/>
          <w:color w:val="auto"/>
          <w:sz w:val="21"/>
          <w:szCs w:val="21"/>
        </w:rPr>
        <w:t>当投标人资格预审申请文件的其他内容发生重大变化时，其在投标文件中更新的资料，未能通过资格评审的（适用于已进行资格预审的）。</w:t>
      </w:r>
    </w:p>
    <w:p>
      <w:pPr>
        <w:pStyle w:val="33"/>
        <w:spacing w:line="360" w:lineRule="exact"/>
        <w:ind w:firstLine="420" w:firstLineChars="200"/>
        <w:rPr>
          <w:rFonts w:ascii="宋体" w:hAnsi="宋体" w:eastAsia="宋体"/>
          <w:color w:val="auto"/>
          <w:sz w:val="21"/>
          <w:szCs w:val="21"/>
        </w:rPr>
      </w:pPr>
      <w:r>
        <w:rPr>
          <w:rFonts w:ascii="宋体" w:hAnsi="宋体" w:eastAsia="宋体"/>
          <w:color w:val="auto"/>
          <w:sz w:val="21"/>
          <w:szCs w:val="21"/>
        </w:rPr>
        <w:t xml:space="preserve">B1.6 </w:t>
      </w:r>
      <w:r>
        <w:rPr>
          <w:rFonts w:hint="eastAsia" w:ascii="宋体" w:hAnsi="宋体" w:eastAsia="宋体" w:cs="宋体"/>
          <w:color w:val="auto"/>
          <w:sz w:val="21"/>
          <w:szCs w:val="21"/>
        </w:rPr>
        <w:t>除在投标截止时间前经招标人书面同意外，项目经理与资格预审时不一致的。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B1.7 </w:t>
      </w:r>
      <w:r>
        <w:rPr>
          <w:rFonts w:hint="eastAsia" w:ascii="宋体" w:hAnsi="宋体" w:eastAsia="宋体" w:cs="宋体e眠副浡渀."/>
          <w:color w:val="auto"/>
          <w:sz w:val="21"/>
          <w:szCs w:val="21"/>
        </w:rPr>
        <w:t>在施工组织设计和项目管理机构评审中，评标委员会认定投标人的投标未能通过此项评审的。</w:t>
      </w:r>
    </w:p>
    <w:p>
      <w:pPr>
        <w:pStyle w:val="33"/>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B1.8 </w:t>
      </w:r>
      <w:r>
        <w:rPr>
          <w:rFonts w:hint="eastAsia" w:ascii="宋体" w:hAnsi="宋体" w:eastAsia="宋体" w:cs="宋体e眠副浡渀."/>
          <w:color w:val="auto"/>
          <w:sz w:val="21"/>
          <w:szCs w:val="21"/>
        </w:rPr>
        <w:t>评标委员会认定投标人以低于成本报价竞标的。</w:t>
      </w:r>
    </w:p>
    <w:p>
      <w:pPr>
        <w:spacing w:line="360" w:lineRule="exact"/>
        <w:ind w:firstLine="420" w:firstLineChars="200"/>
        <w:rPr>
          <w:rFonts w:ascii="宋体"/>
        </w:rPr>
      </w:pPr>
      <w:r>
        <w:rPr>
          <w:rFonts w:ascii="宋体" w:hAnsi="宋体"/>
          <w:szCs w:val="21"/>
        </w:rPr>
        <w:t xml:space="preserve">B1.9 </w:t>
      </w:r>
      <w:r>
        <w:rPr>
          <w:rFonts w:hint="eastAsia" w:ascii="宋体" w:hAnsi="宋体" w:cs="宋体e眠副浡渀."/>
          <w:szCs w:val="21"/>
        </w:rPr>
        <w:t>投标人未按第二章</w:t>
      </w:r>
      <w:r>
        <w:rPr>
          <w:rFonts w:hint="eastAsia" w:ascii="宋体" w:hAnsi="宋体" w:cs="宋体e眠副浡渀."/>
          <w:szCs w:val="21"/>
          <w:u w:val="single"/>
        </w:rPr>
        <w:t>“投标人须知</w:t>
      </w:r>
      <w:r>
        <w:rPr>
          <w:rFonts w:hint="eastAsia"/>
          <w:u w:val="single"/>
        </w:rPr>
        <w:t>前附表</w:t>
      </w:r>
      <w:r>
        <w:rPr>
          <w:rFonts w:hint="eastAsia" w:ascii="宋体" w:hAnsi="宋体" w:cs="宋体e眠副浡渀."/>
          <w:szCs w:val="21"/>
          <w:u w:val="single"/>
        </w:rPr>
        <w:t>”第</w:t>
      </w:r>
      <w:r>
        <w:rPr>
          <w:rFonts w:ascii="宋体" w:hAnsi="宋体"/>
          <w:szCs w:val="21"/>
          <w:u w:val="single"/>
        </w:rPr>
        <w:t>10.5</w:t>
      </w:r>
      <w:r>
        <w:rPr>
          <w:rFonts w:hint="eastAsia" w:ascii="宋体" w:hAnsi="宋体" w:cs="宋体e眠副浡渀."/>
          <w:szCs w:val="21"/>
        </w:rPr>
        <w:t>项规定出席开标会的。</w:t>
      </w:r>
    </w:p>
    <w:p>
      <w:pPr>
        <w:widowControl/>
        <w:shd w:val="clear" w:color="auto" w:fill="FFFFFF"/>
        <w:spacing w:line="360" w:lineRule="exact"/>
        <w:ind w:firstLine="420" w:firstLineChars="200"/>
        <w:jc w:val="left"/>
        <w:rPr>
          <w:rFonts w:ascii="宋体" w:cs="宋体"/>
          <w:kern w:val="0"/>
          <w:szCs w:val="21"/>
        </w:rPr>
      </w:pPr>
      <w:r>
        <w:rPr>
          <w:rFonts w:ascii="宋体" w:hAnsi="宋体"/>
        </w:rPr>
        <w:t>B1.10</w:t>
      </w:r>
      <w:r>
        <w:rPr>
          <w:rFonts w:hint="eastAsia" w:ascii="宋体" w:hAnsi="宋体" w:cs="宋体"/>
          <w:kern w:val="0"/>
          <w:szCs w:val="21"/>
        </w:rPr>
        <w:t>改变</w:t>
      </w:r>
      <w:r>
        <w:rPr>
          <w:rFonts w:hint="eastAsia" w:ascii="宋体" w:hAnsi="宋体"/>
        </w:rPr>
        <w:t>招标工程量清单</w:t>
      </w:r>
      <w:r>
        <w:rPr>
          <w:rFonts w:hint="eastAsia" w:ascii="宋体" w:hAnsi="宋体" w:cs="宋体"/>
          <w:kern w:val="0"/>
          <w:szCs w:val="21"/>
        </w:rPr>
        <w:t>中单项工程编号或单位工程编号的。</w:t>
      </w:r>
    </w:p>
    <w:p>
      <w:pPr>
        <w:widowControl/>
        <w:shd w:val="clear" w:color="auto" w:fill="FFFFFF"/>
        <w:spacing w:line="360" w:lineRule="exact"/>
        <w:ind w:firstLine="420" w:firstLineChars="200"/>
        <w:jc w:val="left"/>
        <w:rPr>
          <w:rFonts w:ascii="宋体" w:cs="宋体"/>
          <w:kern w:val="0"/>
          <w:szCs w:val="21"/>
        </w:rPr>
      </w:pPr>
      <w:r>
        <w:rPr>
          <w:rFonts w:ascii="宋体" w:hAnsi="宋体"/>
        </w:rPr>
        <w:t>B1.11</w:t>
      </w:r>
      <w:r>
        <w:rPr>
          <w:rFonts w:hint="eastAsia" w:ascii="宋体" w:hAnsi="宋体" w:cs="宋体"/>
          <w:kern w:val="0"/>
          <w:szCs w:val="21"/>
        </w:rPr>
        <w:t>明显不符合技术规范、技术标准要求的。</w:t>
      </w:r>
    </w:p>
    <w:p>
      <w:pPr>
        <w:widowControl/>
        <w:shd w:val="clear" w:color="auto" w:fill="FFFFFF"/>
        <w:spacing w:line="360" w:lineRule="exact"/>
        <w:ind w:firstLine="420" w:firstLineChars="200"/>
        <w:jc w:val="left"/>
        <w:rPr>
          <w:rFonts w:ascii="宋体" w:cs="宋体"/>
          <w:kern w:val="0"/>
          <w:szCs w:val="21"/>
        </w:rPr>
      </w:pPr>
      <w:r>
        <w:rPr>
          <w:rFonts w:ascii="宋体" w:hAnsi="宋体"/>
        </w:rPr>
        <w:t>B1.12</w:t>
      </w:r>
      <w:r>
        <w:rPr>
          <w:rFonts w:hint="eastAsia" w:ascii="宋体" w:hAnsi="宋体" w:cs="宋体"/>
          <w:kern w:val="0"/>
          <w:szCs w:val="21"/>
        </w:rPr>
        <w:t>投标文件载明的货物包装方式、检验标准和方法等不符合招标文件的要求的。</w:t>
      </w:r>
    </w:p>
    <w:p>
      <w:pPr>
        <w:widowControl/>
        <w:shd w:val="clear" w:color="auto" w:fill="FFFFFF"/>
        <w:spacing w:line="360" w:lineRule="exact"/>
        <w:ind w:firstLine="420" w:firstLineChars="200"/>
        <w:jc w:val="left"/>
        <w:rPr>
          <w:rFonts w:ascii="宋体" w:cs="宋体"/>
          <w:kern w:val="0"/>
          <w:szCs w:val="21"/>
        </w:rPr>
      </w:pPr>
      <w:r>
        <w:rPr>
          <w:rFonts w:ascii="宋体" w:hAnsi="宋体"/>
        </w:rPr>
        <w:t>B1.13</w:t>
      </w:r>
      <w:r>
        <w:rPr>
          <w:rFonts w:hint="eastAsia" w:ascii="宋体" w:hAnsi="宋体" w:cs="宋体"/>
          <w:kern w:val="0"/>
          <w:szCs w:val="21"/>
        </w:rPr>
        <w:t>投标文件提出了不能满足招标文件要求或招标人不能接受的工程验收、计量、价款结算和支付办法的。</w:t>
      </w:r>
    </w:p>
    <w:p>
      <w:pPr>
        <w:widowControl/>
        <w:shd w:val="clear" w:color="auto" w:fill="FFFFFF"/>
        <w:spacing w:line="360" w:lineRule="exact"/>
        <w:ind w:firstLine="420" w:firstLineChars="200"/>
        <w:jc w:val="left"/>
        <w:rPr>
          <w:rFonts w:ascii="宋体" w:cs="宋体"/>
          <w:kern w:val="0"/>
          <w:szCs w:val="21"/>
        </w:rPr>
      </w:pPr>
      <w:r>
        <w:rPr>
          <w:rFonts w:ascii="宋体" w:hAnsi="宋体"/>
        </w:rPr>
        <w:t>B1.14</w:t>
      </w:r>
      <w:r>
        <w:rPr>
          <w:rFonts w:hint="eastAsia"/>
        </w:rPr>
        <w:t>由委托代理人签字或盖章，但投标文件中无有效的“授权委托书”原件的；</w:t>
      </w:r>
    </w:p>
    <w:p>
      <w:pPr>
        <w:spacing w:line="360" w:lineRule="exact"/>
        <w:ind w:firstLine="525" w:firstLineChars="250"/>
      </w:pPr>
      <w:r>
        <w:rPr>
          <w:rFonts w:ascii="宋体" w:hAnsi="宋体"/>
        </w:rPr>
        <w:t>B1.15</w:t>
      </w:r>
      <w:r>
        <w:rPr>
          <w:rFonts w:hint="eastAsia" w:ascii="宋体" w:hAnsi="宋体"/>
        </w:rPr>
        <w:t>法律、</w:t>
      </w:r>
      <w:r>
        <w:rPr>
          <w:rFonts w:hint="eastAsia"/>
        </w:rPr>
        <w:t>法规规定的其他否决投标条款。</w:t>
      </w:r>
    </w:p>
    <w:p>
      <w:pPr>
        <w:spacing w:line="360" w:lineRule="exact"/>
        <w:ind w:firstLine="718" w:firstLineChars="342"/>
        <w:rPr>
          <w:rFonts w:ascii="宋体" w:cs="Arial"/>
          <w:szCs w:val="21"/>
        </w:rPr>
      </w:pPr>
      <w:r>
        <w:rPr>
          <w:rFonts w:hint="eastAsia" w:ascii="宋体" w:hAnsi="宋体" w:cs="Arial"/>
          <w:szCs w:val="21"/>
        </w:rPr>
        <w:t>……</w:t>
      </w:r>
    </w:p>
    <w:p>
      <w:r>
        <w:rPr>
          <w:kern w:val="0"/>
        </w:rPr>
        <w:br w:type="page"/>
      </w:r>
      <w:bookmarkStart w:id="177" w:name="_Toc241484540"/>
      <w:bookmarkStart w:id="178" w:name="_Toc241459644"/>
    </w:p>
    <w:bookmarkEnd w:id="177"/>
    <w:bookmarkEnd w:id="178"/>
    <w:p>
      <w:pPr>
        <w:pStyle w:val="5"/>
      </w:pPr>
      <w:bookmarkStart w:id="179" w:name="_附件C：评标价计算方法"/>
      <w:bookmarkEnd w:id="179"/>
      <w:bookmarkStart w:id="180" w:name="_附件D：投标人成本评审办法"/>
      <w:bookmarkEnd w:id="180"/>
      <w:bookmarkStart w:id="181" w:name="_附件D：备选投标方案的评审和比较办法"/>
      <w:bookmarkEnd w:id="181"/>
      <w:bookmarkStart w:id="182" w:name="_Toc275956129"/>
      <w:bookmarkStart w:id="183" w:name="_Toc241484541"/>
      <w:bookmarkStart w:id="184" w:name="_Toc241459645"/>
      <w:r>
        <w:rPr>
          <w:rFonts w:hint="eastAsia"/>
        </w:rPr>
        <w:t>附件</w:t>
      </w:r>
      <w:r>
        <w:t>C</w:t>
      </w:r>
      <w:r>
        <w:rPr>
          <w:rFonts w:hint="eastAsia"/>
        </w:rPr>
        <w:t>：</w:t>
      </w:r>
      <w:bookmarkEnd w:id="182"/>
      <w:bookmarkEnd w:id="183"/>
      <w:bookmarkEnd w:id="184"/>
      <w:r>
        <w:rPr>
          <w:rFonts w:hint="eastAsia"/>
        </w:rPr>
        <w:t>投标人成本评审办法</w:t>
      </w:r>
    </w:p>
    <w:p>
      <w:pPr>
        <w:pStyle w:val="6"/>
        <w:spacing w:line="440" w:lineRule="exact"/>
      </w:pPr>
      <w:r>
        <w:t>C0.</w:t>
      </w:r>
      <w:r>
        <w:rPr>
          <w:rFonts w:hint="eastAsia"/>
        </w:rPr>
        <w:t>总则</w:t>
      </w:r>
    </w:p>
    <w:p>
      <w:pPr>
        <w:spacing w:line="440" w:lineRule="exact"/>
        <w:ind w:firstLine="430" w:firstLineChars="205"/>
      </w:pPr>
      <w:r>
        <w:rPr>
          <w:rFonts w:hint="eastAsia"/>
        </w:rPr>
        <w:t>本附件是本章“评标办法”的组成部分，评标委员会按照</w:t>
      </w:r>
      <w:r>
        <w:fldChar w:fldCharType="begin"/>
      </w:r>
      <w:r>
        <w:instrText xml:space="preserve"> HYPERLINK "file:///H:\\泰州招标文件范本\\泰州市房屋建筑和市政工程施工2016.4.docx" \l "_3.2_初步评审" </w:instrText>
      </w:r>
      <w:r>
        <w:fldChar w:fldCharType="separate"/>
      </w:r>
      <w:r>
        <w:rPr>
          <w:rStyle w:val="21"/>
          <w:rFonts w:hint="eastAsia"/>
          <w:color w:val="auto"/>
        </w:rPr>
        <w:t>本章第</w:t>
      </w:r>
      <w:r>
        <w:rPr>
          <w:rStyle w:val="21"/>
          <w:color w:val="auto"/>
        </w:rPr>
        <w:t>3.3.1</w:t>
      </w:r>
      <w:r>
        <w:rPr>
          <w:rStyle w:val="21"/>
          <w:rFonts w:hint="eastAsia"/>
          <w:color w:val="auto"/>
        </w:rPr>
        <w:t>项</w:t>
      </w:r>
      <w:r>
        <w:rPr>
          <w:rStyle w:val="21"/>
          <w:rFonts w:hint="eastAsia"/>
          <w:color w:val="auto"/>
        </w:rPr>
        <w:fldChar w:fldCharType="end"/>
      </w:r>
      <w:r>
        <w:rPr>
          <w:rFonts w:hint="eastAsia"/>
        </w:rPr>
        <w:t>的规定，对投标人投标报价是否低于其成本进行评审和判断时，适用本附件所规定的办法。</w:t>
      </w:r>
    </w:p>
    <w:p>
      <w:pPr>
        <w:pStyle w:val="6"/>
        <w:spacing w:line="440" w:lineRule="exact"/>
      </w:pPr>
      <w:r>
        <w:t>C1.</w:t>
      </w:r>
      <w:r>
        <w:rPr>
          <w:rFonts w:hint="eastAsia"/>
        </w:rPr>
        <w:t>评审程序</w:t>
      </w:r>
    </w:p>
    <w:p>
      <w:pPr>
        <w:spacing w:line="360" w:lineRule="exact"/>
        <w:ind w:firstLine="420" w:firstLineChars="200"/>
      </w:pPr>
      <w:r>
        <w:t xml:space="preserve">C1.1 </w:t>
      </w:r>
      <w:r>
        <w:rPr>
          <w:rFonts w:hint="eastAsia"/>
        </w:rPr>
        <w:t>启动成本评审工作的前提条件</w:t>
      </w:r>
    </w:p>
    <w:p>
      <w:pPr>
        <w:spacing w:line="360" w:lineRule="exact"/>
        <w:ind w:firstLine="420" w:firstLineChars="200"/>
      </w:pPr>
      <w:r>
        <w:rPr>
          <w:rFonts w:hint="eastAsia"/>
        </w:rPr>
        <w:t>在满足下列条件的前提下，评标委员会应当启动并进行本办法所规定的评审，以判别投标人的投标报价是否低于其成本：</w:t>
      </w:r>
    </w:p>
    <w:p>
      <w:pPr>
        <w:spacing w:line="360" w:lineRule="exact"/>
        <w:ind w:firstLine="420" w:firstLineChars="200"/>
      </w:pPr>
      <w:r>
        <w:t xml:space="preserve">C1.1.1 </w:t>
      </w:r>
      <w:r>
        <w:rPr>
          <w:rFonts w:hint="eastAsia"/>
        </w:rPr>
        <w:t>投标人的投标文件已经通过本章“评标办法”规定的“初步评审”，不存在应当否决投标的情形；</w:t>
      </w:r>
    </w:p>
    <w:p>
      <w:pPr>
        <w:pStyle w:val="6"/>
        <w:spacing w:line="440" w:lineRule="exact"/>
      </w:pPr>
      <w:r>
        <w:t xml:space="preserve">C2. </w:t>
      </w:r>
      <w:r>
        <w:rPr>
          <w:rFonts w:hint="eastAsia"/>
        </w:rPr>
        <w:t>评审的依据</w:t>
      </w:r>
    </w:p>
    <w:p>
      <w:pPr>
        <w:spacing w:line="360" w:lineRule="exact"/>
        <w:ind w:firstLine="420" w:firstLineChars="200"/>
      </w:pPr>
      <w:r>
        <w:rPr>
          <w:rFonts w:hint="eastAsia"/>
        </w:rPr>
        <w:t>评标委员会判断投标人的投标报价是否低于其成本，所参考的评审依据包括</w:t>
      </w:r>
      <w:r>
        <w:t>:</w:t>
      </w:r>
    </w:p>
    <w:p>
      <w:pPr>
        <w:spacing w:line="360" w:lineRule="exact"/>
        <w:ind w:firstLine="525" w:firstLineChars="250"/>
      </w:pPr>
      <w:r>
        <w:rPr>
          <w:rFonts w:hint="eastAsia"/>
        </w:rPr>
        <w:t>（</w:t>
      </w:r>
      <w:r>
        <w:t>1</w:t>
      </w:r>
      <w:r>
        <w:rPr>
          <w:rFonts w:hint="eastAsia"/>
        </w:rPr>
        <w:t>）招标文件；</w:t>
      </w:r>
    </w:p>
    <w:p>
      <w:pPr>
        <w:spacing w:line="360" w:lineRule="exact"/>
        <w:ind w:firstLine="525" w:firstLineChars="250"/>
      </w:pPr>
      <w:r>
        <w:rPr>
          <w:rFonts w:hint="eastAsia"/>
        </w:rPr>
        <w:t>（</w:t>
      </w:r>
      <w:r>
        <w:t>2</w:t>
      </w:r>
      <w:r>
        <w:rPr>
          <w:rFonts w:hint="eastAsia"/>
        </w:rPr>
        <w:t>）标底或招标控制价（如果有）；</w:t>
      </w:r>
    </w:p>
    <w:p>
      <w:pPr>
        <w:spacing w:line="360" w:lineRule="exact"/>
        <w:ind w:firstLine="525" w:firstLineChars="250"/>
      </w:pPr>
      <w:r>
        <w:rPr>
          <w:rFonts w:hint="eastAsia"/>
        </w:rPr>
        <w:t>（</w:t>
      </w:r>
      <w:r>
        <w:t>3</w:t>
      </w:r>
      <w:r>
        <w:rPr>
          <w:rFonts w:hint="eastAsia"/>
        </w:rPr>
        <w:t>）投标人已标价的工程量清单；</w:t>
      </w:r>
    </w:p>
    <w:p>
      <w:pPr>
        <w:pStyle w:val="6"/>
        <w:spacing w:line="440" w:lineRule="exact"/>
      </w:pPr>
      <w:r>
        <w:t xml:space="preserve">C3. </w:t>
      </w:r>
      <w:r>
        <w:rPr>
          <w:rFonts w:hint="eastAsia"/>
        </w:rPr>
        <w:t>算术性错误分析和修正</w:t>
      </w:r>
    </w:p>
    <w:p>
      <w:pPr>
        <w:spacing w:after="120" w:afterLines="50" w:line="440" w:lineRule="exact"/>
        <w:ind w:firstLine="472" w:firstLineChars="225"/>
        <w:rPr>
          <w:rFonts w:ascii="宋体" w:cs="Arial"/>
          <w:szCs w:val="21"/>
        </w:rPr>
      </w:pPr>
      <w:r>
        <w:rPr>
          <w:rFonts w:hint="eastAsia" w:ascii="宋体" w:hAnsi="宋体" w:cs="Arial"/>
          <w:szCs w:val="21"/>
        </w:rPr>
        <w:t>评标委员会对已标价工程量清单进行逐项分析，根据</w:t>
      </w:r>
      <w:r>
        <w:fldChar w:fldCharType="begin"/>
      </w:r>
      <w:r>
        <w:instrText xml:space="preserve"> HYPERLINK "file:///H:\\泰州招标文件范本\\泰州市房屋建筑和市政工程施工2016.4.docx" \l "_3.1_评标准备" </w:instrText>
      </w:r>
      <w:r>
        <w:fldChar w:fldCharType="separate"/>
      </w:r>
      <w:r>
        <w:rPr>
          <w:rStyle w:val="21"/>
          <w:rFonts w:hint="eastAsia" w:ascii="宋体" w:hAnsi="宋体" w:cs="Arial"/>
          <w:color w:val="auto"/>
          <w:szCs w:val="21"/>
        </w:rPr>
        <w:t>本章第</w:t>
      </w:r>
      <w:r>
        <w:rPr>
          <w:rStyle w:val="21"/>
          <w:rFonts w:ascii="宋体" w:hAnsi="宋体" w:cs="Arial"/>
          <w:color w:val="auto"/>
          <w:szCs w:val="21"/>
        </w:rPr>
        <w:t>3.2.4</w:t>
      </w:r>
      <w:r>
        <w:rPr>
          <w:rStyle w:val="21"/>
          <w:rFonts w:hint="eastAsia" w:ascii="宋体" w:hAnsi="宋体" w:cs="Arial"/>
          <w:color w:val="auto"/>
          <w:szCs w:val="21"/>
        </w:rPr>
        <w:t>项</w:t>
      </w:r>
      <w:r>
        <w:rPr>
          <w:rStyle w:val="21"/>
          <w:rFonts w:hint="eastAsia" w:ascii="宋体" w:hAnsi="宋体" w:cs="Arial"/>
          <w:color w:val="auto"/>
          <w:szCs w:val="21"/>
        </w:rPr>
        <w:fldChar w:fldCharType="end"/>
      </w:r>
      <w:r>
        <w:rPr>
          <w:rFonts w:hint="eastAsia" w:ascii="宋体" w:hAnsi="宋体" w:cs="Arial"/>
          <w:szCs w:val="21"/>
        </w:rPr>
        <w:t>规定的原则，对投标报价中的算术性错误进行修正。</w:t>
      </w:r>
    </w:p>
    <w:p>
      <w:pPr>
        <w:pStyle w:val="6"/>
        <w:spacing w:line="440" w:lineRule="exact"/>
      </w:pPr>
      <w:r>
        <w:t>C4</w:t>
      </w:r>
      <w:r>
        <w:rPr>
          <w:rFonts w:hint="eastAsia"/>
        </w:rPr>
        <w:t>判断投标报价是否低于成本</w:t>
      </w:r>
    </w:p>
    <w:p>
      <w:pPr>
        <w:spacing w:line="440" w:lineRule="exact"/>
        <w:ind w:firstLine="420" w:firstLineChars="200"/>
        <w:rPr>
          <w:rFonts w:ascii="宋体"/>
          <w:b/>
          <w:bCs/>
          <w:szCs w:val="21"/>
        </w:rPr>
      </w:pPr>
      <w:r>
        <w:t xml:space="preserve">C4.1 </w:t>
      </w:r>
      <w:r>
        <w:rPr>
          <w:rFonts w:hint="eastAsia" w:ascii="宋体" w:hAnsi="宋体"/>
          <w:b/>
          <w:bCs/>
          <w:szCs w:val="21"/>
        </w:rPr>
        <w:t>投标报价总价低于</w:t>
      </w:r>
      <w:r>
        <w:rPr>
          <w:rFonts w:hint="eastAsia"/>
          <w:b/>
          <w:bCs/>
        </w:rPr>
        <w:t>投标成本预警价</w:t>
      </w:r>
      <w:r>
        <w:rPr>
          <w:rFonts w:hint="eastAsia" w:ascii="宋体" w:hAnsi="宋体" w:cs="TimesNewRomanPSMT"/>
          <w:b/>
          <w:bCs/>
          <w:kern w:val="0"/>
          <w:szCs w:val="21"/>
        </w:rPr>
        <w:t>且低于</w:t>
      </w:r>
      <w:r>
        <w:rPr>
          <w:rFonts w:hint="eastAsia" w:ascii="宋体" w:hAnsi="宋体"/>
          <w:b/>
          <w:bCs/>
          <w:szCs w:val="21"/>
        </w:rPr>
        <w:t>投标报价平均值下浮</w:t>
      </w:r>
      <w:r>
        <w:rPr>
          <w:rFonts w:ascii="宋体" w:hAnsi="宋体"/>
          <w:b/>
          <w:bCs/>
          <w:szCs w:val="21"/>
        </w:rPr>
        <w:t>A%</w:t>
      </w:r>
      <w:r>
        <w:rPr>
          <w:rFonts w:hint="eastAsia" w:ascii="宋体" w:hAnsi="宋体"/>
          <w:b/>
          <w:bCs/>
          <w:szCs w:val="21"/>
        </w:rPr>
        <w:t>的</w:t>
      </w:r>
      <w:r>
        <w:rPr>
          <w:rFonts w:ascii="宋体"/>
          <w:b/>
          <w:bCs/>
          <w:szCs w:val="21"/>
        </w:rPr>
        <w:t>,</w:t>
      </w:r>
      <w:r>
        <w:rPr>
          <w:rFonts w:hint="eastAsia" w:ascii="宋体" w:hAnsi="宋体"/>
          <w:b/>
          <w:bCs/>
          <w:szCs w:val="21"/>
        </w:rPr>
        <w:t>评标委员会应直接判定其投标报价低于成本价投标。资格预审项目</w:t>
      </w:r>
      <w:r>
        <w:rPr>
          <w:rFonts w:ascii="宋体" w:hAnsi="宋体"/>
          <w:b/>
          <w:bCs/>
          <w:szCs w:val="21"/>
        </w:rPr>
        <w:t>A=6</w:t>
      </w:r>
      <w:r>
        <w:rPr>
          <w:rFonts w:hint="eastAsia" w:ascii="宋体" w:hAnsi="宋体"/>
          <w:b/>
          <w:bCs/>
          <w:szCs w:val="21"/>
        </w:rPr>
        <w:t>，资格后审项目</w:t>
      </w:r>
      <w:r>
        <w:rPr>
          <w:rFonts w:ascii="宋体" w:hAnsi="宋体"/>
          <w:b/>
          <w:bCs/>
          <w:szCs w:val="21"/>
        </w:rPr>
        <w:t>A=5</w:t>
      </w:r>
      <w:r>
        <w:rPr>
          <w:rFonts w:hint="eastAsia" w:ascii="宋体" w:hAnsi="宋体"/>
          <w:b/>
          <w:bCs/>
          <w:szCs w:val="21"/>
        </w:rPr>
        <w:t>。</w:t>
      </w:r>
    </w:p>
    <w:p>
      <w:pPr>
        <w:spacing w:line="440" w:lineRule="exact"/>
        <w:ind w:firstLine="420" w:firstLineChars="200"/>
        <w:rPr>
          <w:rFonts w:ascii="宋体" w:hAnsi="宋体"/>
          <w:szCs w:val="21"/>
        </w:rPr>
      </w:pPr>
      <w:r>
        <w:rPr>
          <w:szCs w:val="21"/>
        </w:rPr>
        <w:t>C4.2</w:t>
      </w:r>
      <w:r>
        <w:rPr>
          <w:rFonts w:hint="eastAsia" w:ascii="宋体" w:hAnsi="宋体"/>
          <w:szCs w:val="21"/>
        </w:rPr>
        <w:t>投标报价平均值是指经初步评审合格的投标人的投标报价算术平均值。经初步评审合格的投标人为</w:t>
      </w:r>
      <w:r>
        <w:rPr>
          <w:rFonts w:ascii="宋体" w:hAnsi="宋体"/>
          <w:szCs w:val="21"/>
        </w:rPr>
        <w:t>6</w:t>
      </w:r>
      <w:r>
        <w:rPr>
          <w:rFonts w:hint="eastAsia" w:ascii="宋体" w:hAnsi="宋体"/>
          <w:szCs w:val="21"/>
        </w:rPr>
        <w:t>家及以下时，其投标报价全部参与计算算术平均值</w:t>
      </w:r>
      <w:r>
        <w:rPr>
          <w:rFonts w:hint="eastAsia" w:ascii="宋体" w:cs="宋体"/>
          <w:szCs w:val="21"/>
        </w:rPr>
        <w:t>；</w:t>
      </w:r>
      <w:r>
        <w:rPr>
          <w:rFonts w:hint="eastAsia" w:ascii="宋体" w:hAnsi="宋体"/>
          <w:szCs w:val="21"/>
        </w:rPr>
        <w:t>经初步评审合格的投标人为</w:t>
      </w:r>
      <w:r>
        <w:rPr>
          <w:rFonts w:ascii="宋体" w:hAnsi="宋体"/>
          <w:szCs w:val="21"/>
        </w:rPr>
        <w:t>7-13</w:t>
      </w:r>
      <w:r>
        <w:rPr>
          <w:rFonts w:hint="eastAsia" w:ascii="宋体" w:hAnsi="宋体"/>
          <w:szCs w:val="21"/>
        </w:rPr>
        <w:t>家时，去掉其中</w:t>
      </w:r>
      <w:r>
        <w:rPr>
          <w:rFonts w:ascii="宋体" w:hAnsi="宋体"/>
          <w:szCs w:val="21"/>
        </w:rPr>
        <w:t>1</w:t>
      </w:r>
      <w:r>
        <w:rPr>
          <w:rFonts w:hint="eastAsia" w:ascii="宋体" w:hAnsi="宋体"/>
          <w:szCs w:val="21"/>
        </w:rPr>
        <w:t>个最高投标价后计算算术平均值；经初步评审合格的投标人为</w:t>
      </w:r>
      <w:r>
        <w:rPr>
          <w:rFonts w:ascii="宋体" w:hAnsi="宋体"/>
          <w:szCs w:val="21"/>
        </w:rPr>
        <w:t>14-20</w:t>
      </w:r>
      <w:r>
        <w:rPr>
          <w:rFonts w:hint="eastAsia" w:ascii="宋体" w:hAnsi="宋体"/>
          <w:szCs w:val="21"/>
        </w:rPr>
        <w:t>家时，去掉其中1个最低和2个最高投标价后计算算术平均值；经初步评审合格的投标人为</w:t>
      </w:r>
      <w:r>
        <w:rPr>
          <w:rFonts w:ascii="宋体" w:hAnsi="宋体"/>
          <w:szCs w:val="21"/>
        </w:rPr>
        <w:t>21-27</w:t>
      </w:r>
      <w:r>
        <w:rPr>
          <w:rFonts w:hint="eastAsia" w:ascii="宋体" w:hAnsi="宋体"/>
          <w:szCs w:val="21"/>
        </w:rPr>
        <w:t>家时，去掉其中1个最低和3个最高投标价后计算算术平均值；经初步评审合格的投标人为</w:t>
      </w:r>
      <w:r>
        <w:rPr>
          <w:rFonts w:ascii="宋体" w:hAnsi="宋体"/>
          <w:szCs w:val="21"/>
        </w:rPr>
        <w:t>28-34</w:t>
      </w:r>
      <w:r>
        <w:rPr>
          <w:rFonts w:hint="eastAsia" w:ascii="宋体" w:hAnsi="宋体"/>
          <w:szCs w:val="21"/>
        </w:rPr>
        <w:t>家时，去掉其中2个最低和4个最高投标价后计算算术平均值；经初步评审合格的投标人为</w:t>
      </w:r>
      <w:r>
        <w:rPr>
          <w:rFonts w:ascii="宋体" w:hAnsi="宋体"/>
          <w:szCs w:val="21"/>
        </w:rPr>
        <w:t>35</w:t>
      </w:r>
      <w:r>
        <w:rPr>
          <w:rFonts w:hint="eastAsia" w:ascii="宋体" w:hAnsi="宋体"/>
          <w:szCs w:val="21"/>
        </w:rPr>
        <w:t>家及以上时，去掉其中2个最低和5个最高投标价后计算算术平均值。</w:t>
      </w: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line="480" w:lineRule="exact"/>
        <w:ind w:firstLine="420" w:firstLineChars="200"/>
        <w:rPr>
          <w:rFonts w:ascii="宋体"/>
          <w:szCs w:val="21"/>
        </w:rPr>
      </w:pPr>
    </w:p>
    <w:p>
      <w:pPr>
        <w:pStyle w:val="4"/>
      </w:pPr>
      <w:r>
        <w:rPr>
          <w:rFonts w:hint="eastAsia"/>
        </w:rPr>
        <w:t>第四章</w:t>
      </w:r>
      <w:bookmarkEnd w:id="150"/>
      <w:r>
        <w:rPr>
          <w:rFonts w:hint="eastAsia"/>
        </w:rPr>
        <w:t>工程量清单</w:t>
      </w:r>
    </w:p>
    <w:p>
      <w:pPr>
        <w:rPr>
          <w:b/>
          <w:sz w:val="24"/>
        </w:rPr>
      </w:pPr>
      <w:r>
        <w:rPr>
          <w:rFonts w:hint="eastAsia"/>
          <w:b/>
          <w:sz w:val="24"/>
        </w:rPr>
        <w:t>一、项目说明书</w:t>
      </w:r>
    </w:p>
    <w:p>
      <w:pPr>
        <w:autoSpaceDE w:val="0"/>
        <w:autoSpaceDN w:val="0"/>
        <w:spacing w:line="440" w:lineRule="exact"/>
        <w:rPr>
          <w:rFonts w:ascii="宋体" w:hAnsi="宋体" w:cs="宋体"/>
          <w:szCs w:val="21"/>
        </w:rPr>
      </w:pPr>
      <w:r>
        <w:rPr>
          <w:rFonts w:hint="eastAsia" w:ascii="宋体" w:hAnsi="宋体" w:cs="宋体"/>
          <w:szCs w:val="21"/>
        </w:rPr>
        <w:t>1.工程名称：泰州职业技术学院机电实训中心电气改造工程</w:t>
      </w:r>
    </w:p>
    <w:p>
      <w:pPr>
        <w:tabs>
          <w:tab w:val="left" w:pos="420"/>
        </w:tabs>
        <w:autoSpaceDE w:val="0"/>
        <w:autoSpaceDN w:val="0"/>
        <w:spacing w:line="440" w:lineRule="exact"/>
        <w:rPr>
          <w:rFonts w:ascii="宋体" w:hAnsi="宋体" w:cs="宋体"/>
          <w:szCs w:val="21"/>
        </w:rPr>
      </w:pPr>
      <w:r>
        <w:rPr>
          <w:rFonts w:hint="eastAsia" w:ascii="宋体" w:hAnsi="宋体" w:cs="宋体"/>
          <w:szCs w:val="21"/>
        </w:rPr>
        <w:t>2.施工区域</w:t>
      </w:r>
    </w:p>
    <w:p>
      <w:pPr>
        <w:pStyle w:val="2"/>
      </w:pPr>
      <w:r>
        <w:rPr>
          <w:rFonts w:hint="eastAsia"/>
        </w:rPr>
        <w:drawing>
          <wp:inline distT="0" distB="0" distL="0" distR="0">
            <wp:extent cx="5696585" cy="176466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srcRect/>
                    <a:stretch>
                      <a:fillRect/>
                    </a:stretch>
                  </pic:blipFill>
                  <pic:spPr>
                    <a:xfrm>
                      <a:off x="0" y="0"/>
                      <a:ext cx="5696585" cy="1764665"/>
                    </a:xfrm>
                    <a:prstGeom prst="rect">
                      <a:avLst/>
                    </a:prstGeom>
                    <a:noFill/>
                    <a:ln w="9525">
                      <a:noFill/>
                      <a:miter lim="800000"/>
                      <a:headEnd/>
                      <a:tailEnd/>
                    </a:ln>
                  </pic:spPr>
                </pic:pic>
              </a:graphicData>
            </a:graphic>
          </wp:inline>
        </w:drawing>
      </w:r>
    </w:p>
    <w:p>
      <w:pPr>
        <w:pStyle w:val="2"/>
      </w:pPr>
    </w:p>
    <w:p>
      <w:pPr>
        <w:pStyle w:val="2"/>
        <w:jc w:val="center"/>
      </w:pPr>
      <w:r>
        <w:rPr>
          <w:rFonts w:hint="eastAsia"/>
        </w:rPr>
        <w:drawing>
          <wp:inline distT="0" distB="0" distL="0" distR="0">
            <wp:extent cx="4241800" cy="1126490"/>
            <wp:effectExtent l="19050" t="0" r="6096"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srcRect/>
                    <a:stretch>
                      <a:fillRect/>
                    </a:stretch>
                  </pic:blipFill>
                  <pic:spPr>
                    <a:xfrm>
                      <a:off x="0" y="0"/>
                      <a:ext cx="4253399" cy="1129555"/>
                    </a:xfrm>
                    <a:prstGeom prst="rect">
                      <a:avLst/>
                    </a:prstGeom>
                    <a:noFill/>
                    <a:ln w="9525">
                      <a:noFill/>
                      <a:miter lim="800000"/>
                      <a:headEnd/>
                      <a:tailEnd/>
                    </a:ln>
                  </pic:spPr>
                </pic:pic>
              </a:graphicData>
            </a:graphic>
          </wp:inline>
        </w:drawing>
      </w:r>
    </w:p>
    <w:p>
      <w:pPr>
        <w:tabs>
          <w:tab w:val="left" w:pos="420"/>
        </w:tabs>
        <w:autoSpaceDE w:val="0"/>
        <w:autoSpaceDN w:val="0"/>
        <w:spacing w:line="440" w:lineRule="exact"/>
        <w:ind w:firstLine="315" w:firstLineChars="150"/>
        <w:rPr>
          <w:rFonts w:ascii="宋体" w:hAnsi="宋体" w:cs="宋体"/>
          <w:szCs w:val="21"/>
        </w:rPr>
      </w:pPr>
      <w:r>
        <w:rPr>
          <w:rFonts w:hint="eastAsia" w:ascii="宋体" w:hAnsi="宋体" w:cs="宋体"/>
          <w:szCs w:val="21"/>
        </w:rPr>
        <w:t>3.主要材料要求：</w:t>
      </w:r>
    </w:p>
    <w:p>
      <w:pPr>
        <w:tabs>
          <w:tab w:val="left" w:pos="420"/>
        </w:tabs>
        <w:autoSpaceDE w:val="0"/>
        <w:autoSpaceDN w:val="0"/>
        <w:spacing w:line="440" w:lineRule="exact"/>
        <w:ind w:left="420"/>
        <w:rPr>
          <w:rFonts w:ascii="宋体" w:hAnsi="宋体" w:cs="宋体"/>
          <w:color w:val="000000"/>
          <w:szCs w:val="21"/>
        </w:rPr>
      </w:pPr>
      <w:r>
        <w:rPr>
          <w:rFonts w:hint="eastAsia" w:ascii="宋体" w:hAnsi="宋体" w:cs="宋体"/>
          <w:color w:val="000000"/>
          <w:szCs w:val="21"/>
        </w:rPr>
        <w:t>（1）所有电线电缆采用国标，电缆选用品牌：远东、江扬、江淮。</w:t>
      </w:r>
    </w:p>
    <w:p>
      <w:pPr>
        <w:tabs>
          <w:tab w:val="left" w:pos="420"/>
        </w:tabs>
        <w:autoSpaceDE w:val="0"/>
        <w:autoSpaceDN w:val="0"/>
        <w:spacing w:line="440" w:lineRule="exact"/>
        <w:ind w:left="420"/>
        <w:rPr>
          <w:rFonts w:ascii="宋体" w:hAnsi="宋体" w:cs="宋体"/>
          <w:color w:val="000000"/>
          <w:szCs w:val="21"/>
        </w:rPr>
      </w:pPr>
      <w:r>
        <w:rPr>
          <w:rFonts w:hint="eastAsia" w:ascii="宋体" w:hAnsi="宋体" w:cs="宋体"/>
          <w:color w:val="000000"/>
          <w:szCs w:val="21"/>
        </w:rPr>
        <w:t>（2）桥架立柱采用80*80mm热镀锌方管，壁厚2.0mm，顶部支托采用2.0mm铁板直弯制作，基底采用φ150的法兰片焊接。</w:t>
      </w:r>
    </w:p>
    <w:p>
      <w:pPr>
        <w:tabs>
          <w:tab w:val="left" w:pos="420"/>
        </w:tabs>
        <w:autoSpaceDE w:val="0"/>
        <w:autoSpaceDN w:val="0"/>
        <w:spacing w:line="440" w:lineRule="exact"/>
        <w:ind w:left="420"/>
        <w:rPr>
          <w:rFonts w:ascii="宋体" w:hAnsi="宋体" w:cs="宋体"/>
          <w:color w:val="000000"/>
          <w:szCs w:val="21"/>
        </w:rPr>
      </w:pPr>
      <w:r>
        <w:rPr>
          <w:rFonts w:hint="eastAsia" w:ascii="宋体" w:hAnsi="宋体" w:cs="宋体"/>
          <w:color w:val="000000"/>
          <w:szCs w:val="21"/>
        </w:rPr>
        <w:t>（3）桥架立柱喷涂佛碳漆二遍。</w:t>
      </w:r>
    </w:p>
    <w:p>
      <w:pPr>
        <w:tabs>
          <w:tab w:val="left" w:pos="420"/>
        </w:tabs>
        <w:autoSpaceDE w:val="0"/>
        <w:autoSpaceDN w:val="0"/>
        <w:spacing w:line="440" w:lineRule="exact"/>
        <w:ind w:left="420"/>
        <w:rPr>
          <w:rFonts w:ascii="宋体" w:hAnsi="宋体" w:cs="宋体"/>
          <w:color w:val="000000"/>
          <w:szCs w:val="21"/>
        </w:rPr>
      </w:pPr>
      <w:r>
        <w:rPr>
          <w:rFonts w:hint="eastAsia" w:ascii="宋体" w:hAnsi="宋体" w:cs="宋体"/>
          <w:color w:val="000000"/>
          <w:szCs w:val="21"/>
        </w:rPr>
        <w:t>（4）防火桥架采用国标，喷涂佛碳漆二遍。</w:t>
      </w:r>
    </w:p>
    <w:p>
      <w:pPr>
        <w:tabs>
          <w:tab w:val="left" w:pos="420"/>
        </w:tabs>
        <w:autoSpaceDE w:val="0"/>
        <w:autoSpaceDN w:val="0"/>
        <w:spacing w:line="440" w:lineRule="exact"/>
        <w:ind w:left="420"/>
        <w:rPr>
          <w:rFonts w:ascii="宋体" w:hAnsi="宋体" w:cs="宋体"/>
          <w:color w:val="000000"/>
          <w:szCs w:val="21"/>
        </w:rPr>
      </w:pPr>
      <w:r>
        <w:rPr>
          <w:rFonts w:hint="eastAsia" w:ascii="宋体" w:hAnsi="宋体" w:cs="宋体"/>
          <w:color w:val="000000"/>
          <w:szCs w:val="21"/>
        </w:rPr>
        <w:t>（5）每台设备配置一个三相五线制插座，选用品牌：公牛、西门子、TCL。</w:t>
      </w:r>
    </w:p>
    <w:p>
      <w:pPr>
        <w:pStyle w:val="2"/>
        <w:ind w:firstLine="420" w:firstLineChars="200"/>
      </w:pPr>
      <w:r>
        <w:rPr>
          <w:rFonts w:hint="eastAsia" w:ascii="宋体" w:hAnsi="宋体" w:eastAsia="宋体" w:cs="宋体"/>
          <w:color w:val="000000"/>
          <w:sz w:val="21"/>
          <w:szCs w:val="21"/>
        </w:rPr>
        <w:t>（6）主气管采用PPRDN25热水管，选用品牌：上丰、日丰、伟星。</w:t>
      </w:r>
    </w:p>
    <w:p>
      <w:pPr>
        <w:pStyle w:val="2"/>
        <w:rPr>
          <w:rFonts w:asciiTheme="minorEastAsia" w:hAnsiTheme="minorEastAsia" w:eastAsiaTheme="minorEastAsia"/>
        </w:rPr>
      </w:pPr>
      <w:r>
        <w:rPr>
          <w:rFonts w:hint="eastAsia" w:asciiTheme="minorEastAsia" w:hAnsiTheme="minorEastAsia" w:eastAsiaTheme="minorEastAsia"/>
        </w:rPr>
        <w:t>二、图纸</w:t>
      </w:r>
    </w:p>
    <w:p>
      <w:pPr>
        <w:pStyle w:val="2"/>
        <w:rPr>
          <w:rFonts w:asciiTheme="minorEastAsia" w:hAnsiTheme="minorEastAsia" w:eastAsiaTheme="minorEastAsia"/>
        </w:rPr>
      </w:pPr>
      <w:r>
        <w:rPr>
          <w:rFonts w:hint="eastAsia" w:asciiTheme="minorEastAsia" w:hAnsiTheme="minorEastAsia" w:eastAsiaTheme="minorEastAsia"/>
        </w:rPr>
        <w:drawing>
          <wp:inline distT="0" distB="0" distL="0" distR="0">
            <wp:extent cx="5622290" cy="233489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a:srcRect/>
                    <a:stretch>
                      <a:fillRect/>
                    </a:stretch>
                  </pic:blipFill>
                  <pic:spPr>
                    <a:xfrm>
                      <a:off x="0" y="0"/>
                      <a:ext cx="5626559" cy="2336579"/>
                    </a:xfrm>
                    <a:prstGeom prst="rect">
                      <a:avLst/>
                    </a:prstGeom>
                    <a:noFill/>
                    <a:ln w="9525">
                      <a:noFill/>
                      <a:miter lim="800000"/>
                      <a:headEnd/>
                      <a:tailEnd/>
                    </a:ln>
                  </pic:spPr>
                </pic:pic>
              </a:graphicData>
            </a:graphic>
          </wp:inline>
        </w:drawing>
      </w:r>
    </w:p>
    <w:p>
      <w:pPr>
        <w:pStyle w:val="2"/>
      </w:pPr>
      <w:r>
        <w:rPr>
          <w:rFonts w:hint="eastAsia"/>
        </w:rPr>
        <w:drawing>
          <wp:inline distT="0" distB="0" distL="0" distR="0">
            <wp:extent cx="5699760" cy="2520315"/>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a:srcRect/>
                    <a:stretch>
                      <a:fillRect/>
                    </a:stretch>
                  </pic:blipFill>
                  <pic:spPr>
                    <a:xfrm>
                      <a:off x="0" y="0"/>
                      <a:ext cx="5699760" cy="2520689"/>
                    </a:xfrm>
                    <a:prstGeom prst="rect">
                      <a:avLst/>
                    </a:prstGeom>
                    <a:noFill/>
                    <a:ln w="9525">
                      <a:noFill/>
                      <a:miter lim="800000"/>
                      <a:headEnd/>
                      <a:tailEnd/>
                    </a:ln>
                  </pic:spPr>
                </pic:pic>
              </a:graphicData>
            </a:graphic>
          </wp:inline>
        </w:drawing>
      </w:r>
    </w:p>
    <w:p>
      <w:pPr>
        <w:pStyle w:val="2"/>
      </w:pPr>
      <w:r>
        <w:rPr>
          <w:rFonts w:hint="eastAsia"/>
        </w:rPr>
        <w:drawing>
          <wp:inline distT="0" distB="0" distL="0" distR="0">
            <wp:extent cx="5699760" cy="2651125"/>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3"/>
                    <a:srcRect/>
                    <a:stretch>
                      <a:fillRect/>
                    </a:stretch>
                  </pic:blipFill>
                  <pic:spPr>
                    <a:xfrm>
                      <a:off x="0" y="0"/>
                      <a:ext cx="5699760" cy="2651508"/>
                    </a:xfrm>
                    <a:prstGeom prst="rect">
                      <a:avLst/>
                    </a:prstGeom>
                    <a:noFill/>
                    <a:ln w="9525">
                      <a:noFill/>
                      <a:miter lim="800000"/>
                      <a:headEnd/>
                      <a:tailEnd/>
                    </a:ln>
                  </pic:spPr>
                </pic:pic>
              </a:graphicData>
            </a:graphic>
          </wp:inline>
        </w:drawing>
      </w:r>
    </w:p>
    <w:p>
      <w:pPr>
        <w:pStyle w:val="2"/>
        <w:jc w:val="center"/>
      </w:pPr>
      <w:r>
        <w:rPr>
          <w:rFonts w:hint="eastAsia"/>
        </w:rPr>
        <w:drawing>
          <wp:inline distT="0" distB="0" distL="0" distR="0">
            <wp:extent cx="2350135" cy="3227705"/>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4"/>
                    <a:srcRect/>
                    <a:stretch>
                      <a:fillRect/>
                    </a:stretch>
                  </pic:blipFill>
                  <pic:spPr>
                    <a:xfrm>
                      <a:off x="0" y="0"/>
                      <a:ext cx="2350135" cy="3227705"/>
                    </a:xfrm>
                    <a:prstGeom prst="rect">
                      <a:avLst/>
                    </a:prstGeom>
                    <a:noFill/>
                    <a:ln w="9525">
                      <a:noFill/>
                      <a:miter lim="800000"/>
                      <a:headEnd/>
                      <a:tailEnd/>
                    </a:ln>
                  </pic:spPr>
                </pic:pic>
              </a:graphicData>
            </a:graphic>
          </wp:inline>
        </w:drawing>
      </w:r>
    </w:p>
    <w:p>
      <w:pPr>
        <w:pStyle w:val="2"/>
        <w:rPr>
          <w:rFonts w:asciiTheme="minorEastAsia" w:hAnsiTheme="minorEastAsia" w:eastAsiaTheme="minorEastAsia"/>
        </w:rPr>
      </w:pPr>
      <w:r>
        <w:rPr>
          <w:rFonts w:hint="eastAsia" w:asciiTheme="minorEastAsia" w:hAnsiTheme="minorEastAsia" w:eastAsiaTheme="minorEastAsia"/>
        </w:rPr>
        <w:t>三、参考预算价（具体联系吴老师，1</w:t>
      </w:r>
      <w:r>
        <w:rPr>
          <w:rFonts w:asciiTheme="minorEastAsia" w:hAnsiTheme="minorEastAsia" w:eastAsiaTheme="minorEastAsia"/>
        </w:rPr>
        <w:t>3852616429</w:t>
      </w:r>
      <w:r>
        <w:rPr>
          <w:rFonts w:hint="eastAsia" w:asciiTheme="minorEastAsia" w:hAnsiTheme="minorEastAsia" w:eastAsiaTheme="minorEastAsia"/>
        </w:rPr>
        <w:t>）</w:t>
      </w:r>
    </w:p>
    <w:p>
      <w:pPr>
        <w:pStyle w:val="2"/>
        <w:rPr>
          <w:rFonts w:asciiTheme="minorEastAsia" w:hAnsiTheme="minorEastAsia" w:eastAsiaTheme="minorEastAsia"/>
        </w:rPr>
      </w:pPr>
      <w:r>
        <w:rPr>
          <w:rFonts w:hint="eastAsia" w:asciiTheme="minorEastAsia" w:hAnsiTheme="minorEastAsia" w:eastAsiaTheme="minorEastAsia"/>
        </w:rPr>
        <w:t>四、其它：</w:t>
      </w:r>
    </w:p>
    <w:p>
      <w:pPr>
        <w:pStyle w:val="2"/>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各投标人必须准时到现场勘探并在签到表上签名；</w:t>
      </w:r>
    </w:p>
    <w:p>
      <w:pPr>
        <w:pStyle w:val="2"/>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吴老师现场实地讲解工程的具体要求；</w:t>
      </w:r>
    </w:p>
    <w:p>
      <w:pPr>
        <w:pStyle w:val="2"/>
        <w:rPr>
          <w:rFonts w:hint="eastAsia"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各投标人领取现场勘探证明（清晰理解工程具体要求），并将本勘探证明作为附件一并封入投标文件；</w:t>
      </w:r>
    </w:p>
    <w:p>
      <w:pPr>
        <w:pStyle w:val="2"/>
        <w:rPr>
          <w:rFonts w:hint="eastAsia"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本次投标是按照总价合同签订。</w:t>
      </w:r>
    </w:p>
    <w:p>
      <w:pPr>
        <w:pStyle w:val="4"/>
        <w:pageBreakBefore/>
      </w:pPr>
      <w:bookmarkStart w:id="185" w:name="_Toc275956209"/>
      <w:r>
        <w:rPr>
          <w:rFonts w:hint="eastAsia"/>
        </w:rPr>
        <w:t>第五章</w:t>
      </w:r>
      <w:bookmarkEnd w:id="185"/>
      <w:bookmarkStart w:id="186" w:name="_Toc275956215"/>
      <w:r>
        <w:rPr>
          <w:rFonts w:hint="eastAsia"/>
        </w:rPr>
        <w:t>投标文件格式</w:t>
      </w:r>
      <w:bookmarkEnd w:id="186"/>
    </w:p>
    <w:p>
      <w:pPr>
        <w:spacing w:line="400" w:lineRule="exact"/>
      </w:pPr>
    </w:p>
    <w:p>
      <w:pPr>
        <w:jc w:val="center"/>
        <w:rPr>
          <w:rFonts w:eastAsia="黑体"/>
          <w:sz w:val="28"/>
          <w:szCs w:val="28"/>
          <w:u w:val="single"/>
        </w:rPr>
      </w:pPr>
    </w:p>
    <w:p>
      <w:pPr>
        <w:jc w:val="center"/>
        <w:rPr>
          <w:rFonts w:eastAsia="黑体"/>
          <w:sz w:val="20"/>
          <w:szCs w:val="20"/>
        </w:rPr>
      </w:pPr>
      <w:r>
        <w:rPr>
          <w:rFonts w:hint="eastAsia" w:eastAsia="黑体"/>
          <w:b/>
          <w:bCs/>
          <w:sz w:val="36"/>
          <w:szCs w:val="36"/>
          <w:u w:val="single"/>
        </w:rPr>
        <w:t>泰州职业技术学院机电实训中心电气改造工程</w:t>
      </w:r>
    </w:p>
    <w:p>
      <w:pPr>
        <w:rPr>
          <w:rFonts w:eastAsia="黑体"/>
          <w:sz w:val="20"/>
          <w:szCs w:val="20"/>
        </w:rPr>
      </w:pPr>
    </w:p>
    <w:p>
      <w:pPr>
        <w:jc w:val="center"/>
        <w:rPr>
          <w:rFonts w:eastAsia="黑体"/>
          <w:sz w:val="44"/>
          <w:szCs w:val="44"/>
        </w:rPr>
      </w:pPr>
      <w:r>
        <w:rPr>
          <w:rFonts w:hint="eastAsia" w:eastAsia="黑体"/>
          <w:sz w:val="44"/>
          <w:szCs w:val="44"/>
        </w:rPr>
        <w:t>投标文件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line="480" w:lineRule="auto"/>
        <w:jc w:val="center"/>
        <w:rPr>
          <w:rFonts w:eastAsia="黑体"/>
          <w:sz w:val="28"/>
          <w:szCs w:val="28"/>
          <w:u w:val="single"/>
        </w:rPr>
      </w:pPr>
      <w:r>
        <w:rPr>
          <w:rFonts w:hint="eastAsia" w:eastAsia="黑体"/>
          <w:sz w:val="28"/>
          <w:szCs w:val="28"/>
        </w:rPr>
        <w:t>投标人：（盖单位章）</w:t>
      </w:r>
    </w:p>
    <w:p>
      <w:pPr>
        <w:spacing w:line="480" w:lineRule="auto"/>
        <w:jc w:val="center"/>
        <w:rPr>
          <w:rFonts w:eastAsia="黑体"/>
          <w:sz w:val="28"/>
          <w:szCs w:val="28"/>
        </w:rPr>
      </w:pPr>
      <w:r>
        <w:rPr>
          <w:rFonts w:hint="eastAsia" w:eastAsia="黑体"/>
          <w:sz w:val="28"/>
          <w:szCs w:val="28"/>
        </w:rPr>
        <w:t>法定代表人或其委托代理人：（签字或盖章）</w:t>
      </w:r>
    </w:p>
    <w:p>
      <w:pPr>
        <w:spacing w:line="480" w:lineRule="auto"/>
        <w:jc w:val="center"/>
        <w:rPr>
          <w:rFonts w:eastAsia="黑体"/>
          <w:sz w:val="28"/>
          <w:szCs w:val="28"/>
          <w:u w:val="single"/>
        </w:rPr>
      </w:pPr>
    </w:p>
    <w:p>
      <w:pPr>
        <w:spacing w:line="480" w:lineRule="auto"/>
        <w:jc w:val="center"/>
        <w:rPr>
          <w:rFonts w:eastAsia="黑体"/>
          <w:sz w:val="28"/>
          <w:szCs w:val="28"/>
        </w:rPr>
      </w:pPr>
      <w:r>
        <w:rPr>
          <w:rFonts w:hint="eastAsia" w:eastAsia="黑体"/>
          <w:sz w:val="28"/>
          <w:szCs w:val="28"/>
        </w:rPr>
        <w:t>年月日</w:t>
      </w:r>
    </w:p>
    <w:p>
      <w:pPr>
        <w:spacing w:line="400" w:lineRule="exact"/>
      </w:pPr>
    </w:p>
    <w:p>
      <w:pPr>
        <w:spacing w:line="400" w:lineRule="exact"/>
      </w:pPr>
    </w:p>
    <w:p>
      <w:pPr>
        <w:pStyle w:val="36"/>
      </w:pPr>
      <w:bookmarkStart w:id="187" w:name="_Toc241459814"/>
      <w:bookmarkStart w:id="188" w:name="_Toc241484766"/>
      <w:bookmarkStart w:id="189" w:name="_Toc152042576"/>
      <w:bookmarkStart w:id="190" w:name="_Toc275956216"/>
      <w:bookmarkStart w:id="191" w:name="_Toc179632807"/>
      <w:bookmarkStart w:id="192" w:name="_Toc144974856"/>
      <w:bookmarkStart w:id="193" w:name="_Toc152045787"/>
      <w:r>
        <w:rPr>
          <w:rFonts w:hint="eastAsia"/>
        </w:rPr>
        <w:t>目录</w:t>
      </w:r>
      <w:bookmarkEnd w:id="187"/>
      <w:bookmarkEnd w:id="188"/>
      <w:bookmarkEnd w:id="189"/>
      <w:bookmarkEnd w:id="190"/>
      <w:bookmarkEnd w:id="191"/>
      <w:bookmarkEnd w:id="192"/>
      <w:bookmarkEnd w:id="193"/>
    </w:p>
    <w:p>
      <w:pPr>
        <w:pStyle w:val="36"/>
      </w:pPr>
    </w:p>
    <w:p>
      <w:pPr>
        <w:spacing w:line="540" w:lineRule="exact"/>
      </w:pPr>
      <w:r>
        <w:rPr>
          <w:rFonts w:hint="eastAsia"/>
        </w:rPr>
        <w:t>一、投标函及投标函附录</w:t>
      </w:r>
    </w:p>
    <w:p>
      <w:pPr>
        <w:spacing w:line="540" w:lineRule="exact"/>
      </w:pPr>
      <w:r>
        <w:rPr>
          <w:rFonts w:hint="eastAsia"/>
        </w:rPr>
        <w:t>二、法定代表人身份证明</w:t>
      </w:r>
    </w:p>
    <w:p>
      <w:pPr>
        <w:spacing w:line="540" w:lineRule="exact"/>
      </w:pPr>
      <w:r>
        <w:rPr>
          <w:rFonts w:hint="eastAsia"/>
        </w:rPr>
        <w:t>三、授权委托书</w:t>
      </w:r>
    </w:p>
    <w:p>
      <w:pPr>
        <w:spacing w:line="540" w:lineRule="exact"/>
        <w:rPr>
          <w:color w:val="FF0000"/>
        </w:rPr>
      </w:pPr>
      <w:r>
        <w:rPr>
          <w:rFonts w:hint="eastAsia"/>
        </w:rPr>
        <w:t>四、投标保证金或担保函</w:t>
      </w:r>
    </w:p>
    <w:p>
      <w:pPr>
        <w:spacing w:line="540" w:lineRule="exact"/>
      </w:pPr>
      <w:r>
        <w:rPr>
          <w:rFonts w:hint="eastAsia"/>
        </w:rPr>
        <w:t>五、已标价工程量清单</w:t>
      </w:r>
    </w:p>
    <w:p>
      <w:pPr>
        <w:spacing w:line="540" w:lineRule="exact"/>
      </w:pPr>
      <w:r>
        <w:rPr>
          <w:rFonts w:hint="eastAsia"/>
        </w:rPr>
        <w:t>六、项目经理简历表</w:t>
      </w:r>
    </w:p>
    <w:p>
      <w:pPr>
        <w:spacing w:line="540" w:lineRule="exact"/>
      </w:pPr>
      <w:r>
        <w:rPr>
          <w:rFonts w:hint="eastAsia"/>
        </w:rPr>
        <w:t>七、资格审查资料</w:t>
      </w:r>
    </w:p>
    <w:p>
      <w:pPr>
        <w:spacing w:line="360" w:lineRule="auto"/>
      </w:pPr>
      <w:r>
        <w:rPr>
          <w:rFonts w:hint="eastAsia"/>
        </w:rPr>
        <w:t>（一）投标人基本情况表（附企业法人营业执照、资质证书、企业安全生产许可证、企业基本存款账户开户许可证等）</w:t>
      </w:r>
    </w:p>
    <w:p>
      <w:pPr>
        <w:spacing w:line="360" w:lineRule="auto"/>
      </w:pPr>
      <w:r>
        <w:rPr>
          <w:rFonts w:hint="eastAsia"/>
        </w:rPr>
        <w:t>（二）项目管理机构</w:t>
      </w:r>
    </w:p>
    <w:p>
      <w:pPr>
        <w:spacing w:line="360" w:lineRule="auto"/>
      </w:pPr>
      <w:r>
        <w:rPr>
          <w:rFonts w:hint="eastAsia"/>
        </w:rPr>
        <w:t>项目管理机构组成表</w:t>
      </w:r>
    </w:p>
    <w:p>
      <w:pPr>
        <w:spacing w:line="540" w:lineRule="exact"/>
      </w:pPr>
      <w:r>
        <w:rPr>
          <w:rFonts w:hint="eastAsia"/>
        </w:rPr>
        <w:t>八、投标承诺书</w:t>
      </w:r>
    </w:p>
    <w:p>
      <w:pPr>
        <w:pStyle w:val="2"/>
        <w:rPr>
          <w:rFonts w:hint="eastAsia"/>
        </w:rPr>
      </w:pPr>
    </w:p>
    <w:p>
      <w:pPr>
        <w:pStyle w:val="2"/>
        <w:rPr>
          <w:rFonts w:hint="eastAsia"/>
        </w:rPr>
      </w:pPr>
      <w:r>
        <w:rPr>
          <w:rFonts w:hint="eastAsia" w:ascii="Times New Roman" w:eastAsia="宋体"/>
          <w:sz w:val="21"/>
        </w:rPr>
        <w:t>九、现场勘探证明</w:t>
      </w:r>
    </w:p>
    <w:p>
      <w:pPr>
        <w:spacing w:line="540" w:lineRule="exact"/>
      </w:pPr>
      <w:r>
        <w:rPr>
          <w:rFonts w:hint="eastAsia"/>
        </w:rPr>
        <w:t>十、其他投标人认为需要提供的材料</w:t>
      </w:r>
    </w:p>
    <w:p>
      <w:pPr>
        <w:spacing w:line="540" w:lineRule="exact"/>
      </w:pPr>
      <w:r>
        <w:rPr>
          <w:kern w:val="0"/>
        </w:rPr>
        <w:br w:type="page"/>
      </w:r>
    </w:p>
    <w:p>
      <w:pPr>
        <w:pStyle w:val="36"/>
        <w:spacing w:before="0"/>
        <w:outlineLvl w:val="0"/>
        <w:rPr>
          <w:rFonts w:ascii="Arial" w:hAnsi="Arial" w:cs="Times New Roman"/>
          <w:b/>
          <w:bCs/>
          <w:sz w:val="32"/>
          <w:szCs w:val="32"/>
        </w:rPr>
      </w:pPr>
      <w:r>
        <w:rPr>
          <w:rFonts w:hint="eastAsia" w:ascii="Arial" w:hAnsi="Arial" w:cs="Times New Roman"/>
          <w:b/>
          <w:bCs/>
          <w:sz w:val="32"/>
          <w:szCs w:val="32"/>
        </w:rPr>
        <w:t>一、投标函及投标函附录</w:t>
      </w:r>
    </w:p>
    <w:p>
      <w:pPr>
        <w:pStyle w:val="32"/>
        <w:spacing w:line="240" w:lineRule="auto"/>
        <w:jc w:val="center"/>
        <w:rPr>
          <w:rFonts w:ascii="Arial" w:hAnsi="Arial"/>
          <w:b/>
          <w:bCs/>
          <w:sz w:val="21"/>
          <w:szCs w:val="21"/>
        </w:rPr>
      </w:pPr>
      <w:bookmarkStart w:id="194" w:name="_Toc144974858"/>
      <w:bookmarkStart w:id="195" w:name="_Toc152042578"/>
      <w:bookmarkStart w:id="196" w:name="_Toc179632809"/>
      <w:bookmarkStart w:id="197" w:name="_Toc152045789"/>
    </w:p>
    <w:p>
      <w:pPr>
        <w:pStyle w:val="32"/>
        <w:numPr>
          <w:ilvl w:val="0"/>
          <w:numId w:val="4"/>
        </w:numPr>
        <w:jc w:val="center"/>
        <w:rPr>
          <w:rFonts w:ascii="Arial" w:hAnsi="Arial"/>
          <w:b/>
          <w:bCs/>
          <w:sz w:val="32"/>
          <w:szCs w:val="32"/>
        </w:rPr>
      </w:pPr>
      <w:r>
        <w:rPr>
          <w:rFonts w:hint="eastAsia" w:ascii="Arial" w:hAnsi="Arial"/>
          <w:b/>
          <w:bCs/>
          <w:sz w:val="32"/>
          <w:szCs w:val="32"/>
        </w:rPr>
        <w:t>投标函</w:t>
      </w:r>
      <w:bookmarkEnd w:id="194"/>
      <w:bookmarkEnd w:id="195"/>
      <w:bookmarkEnd w:id="196"/>
      <w:bookmarkEnd w:id="197"/>
    </w:p>
    <w:p/>
    <w:p>
      <w:pPr>
        <w:spacing w:line="360" w:lineRule="auto"/>
        <w:rPr>
          <w:sz w:val="24"/>
        </w:rPr>
      </w:pPr>
      <w:r>
        <w:rPr>
          <w:rFonts w:hint="eastAsia"/>
          <w:sz w:val="24"/>
          <w:u w:val="single"/>
        </w:rPr>
        <w:t>泰州职业技术学院</w:t>
      </w:r>
      <w:r>
        <w:rPr>
          <w:rFonts w:hint="eastAsia"/>
          <w:sz w:val="24"/>
        </w:rPr>
        <w:t>(招标人名称)：</w:t>
      </w:r>
    </w:p>
    <w:p>
      <w:pPr>
        <w:spacing w:line="360" w:lineRule="auto"/>
        <w:jc w:val="left"/>
        <w:rPr>
          <w:sz w:val="24"/>
          <w:u w:val="single"/>
        </w:rPr>
      </w:pPr>
      <w:r>
        <w:rPr>
          <w:sz w:val="24"/>
        </w:rPr>
        <w:t>1</w:t>
      </w:r>
      <w:r>
        <w:rPr>
          <w:rFonts w:hint="eastAsia"/>
          <w:sz w:val="24"/>
        </w:rPr>
        <w:t>．我方已仔细研究了</w:t>
      </w:r>
      <w:r>
        <w:rPr>
          <w:rFonts w:hint="eastAsia"/>
          <w:sz w:val="24"/>
          <w:u w:val="single"/>
        </w:rPr>
        <w:t>泰州职业技术学院机电实训中心电气改造工程</w:t>
      </w:r>
      <w:r>
        <w:rPr>
          <w:rFonts w:hint="eastAsia"/>
          <w:sz w:val="24"/>
        </w:rPr>
        <w:t>标段施工招标文件的全部内容，愿意以人民币(大写)</w:t>
      </w:r>
      <w:r>
        <w:rPr>
          <w:rFonts w:hint="eastAsia"/>
          <w:sz w:val="24"/>
          <w:u w:val="single"/>
        </w:rPr>
        <w:t>元(</w:t>
      </w:r>
      <w:r>
        <w:rPr>
          <w:sz w:val="24"/>
          <w:u w:val="single"/>
        </w:rPr>
        <w:t>¥</w:t>
      </w:r>
      <w:r>
        <w:rPr>
          <w:rFonts w:hint="eastAsia"/>
          <w:sz w:val="24"/>
          <w:u w:val="single"/>
        </w:rPr>
        <w:t xml:space="preserve">)      </w:t>
      </w:r>
      <w:r>
        <w:rPr>
          <w:rFonts w:hint="eastAsia"/>
          <w:sz w:val="24"/>
        </w:rPr>
        <w:t>的投标总报价，工期日历天，按合同约定实施和完成承包工程，修补工程中的任何缺陷，工程质量达到</w:t>
      </w:r>
      <w:r>
        <w:rPr>
          <w:rFonts w:hint="eastAsia"/>
          <w:sz w:val="24"/>
          <w:u w:val="single"/>
        </w:rPr>
        <w:t>合格</w:t>
      </w:r>
      <w:r>
        <w:rPr>
          <w:rFonts w:hint="eastAsia"/>
          <w:sz w:val="24"/>
        </w:rPr>
        <w:t>。</w:t>
      </w:r>
    </w:p>
    <w:p>
      <w:pPr>
        <w:spacing w:line="360" w:lineRule="auto"/>
        <w:ind w:firstLine="480" w:firstLineChars="200"/>
        <w:rPr>
          <w:sz w:val="24"/>
        </w:rPr>
      </w:pPr>
      <w:r>
        <w:rPr>
          <w:sz w:val="24"/>
        </w:rPr>
        <w:t>2</w:t>
      </w:r>
      <w:r>
        <w:rPr>
          <w:rFonts w:hint="eastAsia"/>
          <w:sz w:val="24"/>
        </w:rPr>
        <w:t>．我方承诺在投标有效期内不修改、撤销投标文件。</w:t>
      </w:r>
    </w:p>
    <w:p>
      <w:pPr>
        <w:spacing w:line="360" w:lineRule="auto"/>
        <w:ind w:firstLine="480" w:firstLineChars="200"/>
        <w:rPr>
          <w:sz w:val="24"/>
        </w:rPr>
      </w:pPr>
      <w:r>
        <w:rPr>
          <w:rFonts w:hint="eastAsia"/>
          <w:sz w:val="24"/>
        </w:rPr>
        <w:t>3．如我方中标：</w:t>
      </w:r>
    </w:p>
    <w:p>
      <w:pPr>
        <w:spacing w:line="360" w:lineRule="auto"/>
        <w:ind w:firstLine="424" w:firstLineChars="177"/>
        <w:rPr>
          <w:sz w:val="24"/>
        </w:rPr>
      </w:pPr>
      <w:r>
        <w:rPr>
          <w:rFonts w:hint="eastAsia"/>
          <w:sz w:val="24"/>
        </w:rPr>
        <w:t>(</w:t>
      </w:r>
      <w:r>
        <w:rPr>
          <w:sz w:val="24"/>
        </w:rPr>
        <w:t>1</w:t>
      </w:r>
      <w:r>
        <w:rPr>
          <w:rFonts w:hint="eastAsia"/>
          <w:sz w:val="24"/>
        </w:rPr>
        <w:t>)我方承诺在收到中标通知书后，在中标通知书规定的期限内与你方签订合同。</w:t>
      </w:r>
    </w:p>
    <w:p>
      <w:pPr>
        <w:spacing w:line="360" w:lineRule="auto"/>
        <w:ind w:firstLine="424" w:firstLineChars="177"/>
        <w:rPr>
          <w:sz w:val="24"/>
        </w:rPr>
      </w:pPr>
      <w:r>
        <w:rPr>
          <w:rFonts w:hint="eastAsia"/>
          <w:sz w:val="24"/>
        </w:rPr>
        <w:t>(</w:t>
      </w:r>
      <w:r>
        <w:rPr>
          <w:sz w:val="24"/>
        </w:rPr>
        <w:t>2</w:t>
      </w:r>
      <w:r>
        <w:rPr>
          <w:rFonts w:hint="eastAsia"/>
          <w:sz w:val="24"/>
        </w:rPr>
        <w:t>)随同本投标函递交的投标函附录是本投标函的组成部分，对我方构成约束力。</w:t>
      </w:r>
    </w:p>
    <w:p>
      <w:pPr>
        <w:spacing w:line="360" w:lineRule="auto"/>
        <w:ind w:firstLine="424" w:firstLineChars="177"/>
        <w:rPr>
          <w:sz w:val="24"/>
        </w:rPr>
      </w:pPr>
      <w:r>
        <w:rPr>
          <w:rFonts w:hint="eastAsia"/>
          <w:sz w:val="24"/>
        </w:rPr>
        <w:t>(</w:t>
      </w:r>
      <w:r>
        <w:rPr>
          <w:sz w:val="24"/>
        </w:rPr>
        <w:t>3</w:t>
      </w:r>
      <w:r>
        <w:rPr>
          <w:rFonts w:hint="eastAsia"/>
          <w:sz w:val="24"/>
        </w:rPr>
        <w:t>)我方承诺按照招标文件规定向你方递交履约担保。</w:t>
      </w:r>
    </w:p>
    <w:p>
      <w:pPr>
        <w:spacing w:line="360" w:lineRule="auto"/>
        <w:ind w:firstLine="424" w:firstLineChars="177"/>
        <w:rPr>
          <w:sz w:val="24"/>
        </w:rPr>
      </w:pPr>
      <w:r>
        <w:rPr>
          <w:rFonts w:hint="eastAsia"/>
          <w:sz w:val="24"/>
        </w:rPr>
        <w:t>(</w:t>
      </w:r>
      <w:r>
        <w:rPr>
          <w:sz w:val="24"/>
        </w:rPr>
        <w:t>4</w:t>
      </w:r>
      <w:r>
        <w:rPr>
          <w:rFonts w:hint="eastAsia"/>
          <w:sz w:val="24"/>
        </w:rPr>
        <w:t>)我方承诺在合同约定的期限内完成并移交全部合同工程。</w:t>
      </w:r>
    </w:p>
    <w:p>
      <w:pPr>
        <w:spacing w:line="360" w:lineRule="auto"/>
        <w:ind w:firstLine="480" w:firstLineChars="200"/>
        <w:rPr>
          <w:sz w:val="24"/>
        </w:rPr>
      </w:pPr>
      <w:r>
        <w:rPr>
          <w:rFonts w:hint="eastAsia"/>
          <w:sz w:val="24"/>
        </w:rPr>
        <w:t>4．我方在此声明，所递交的投标文件及有关资料内容完整、真实和准确，且不存在第二章“投标人须知”第</w:t>
      </w:r>
      <w:r>
        <w:rPr>
          <w:sz w:val="24"/>
        </w:rPr>
        <w:t>1.4.3</w:t>
      </w:r>
      <w:r>
        <w:rPr>
          <w:rFonts w:hint="eastAsia"/>
          <w:sz w:val="24"/>
        </w:rPr>
        <w:t>项规定的任何一种情形。</w:t>
      </w:r>
    </w:p>
    <w:p>
      <w:pPr>
        <w:spacing w:line="480" w:lineRule="auto"/>
        <w:ind w:firstLine="4200" w:firstLineChars="1750"/>
        <w:rPr>
          <w:sz w:val="24"/>
        </w:rPr>
      </w:pPr>
    </w:p>
    <w:p>
      <w:pPr>
        <w:spacing w:line="480" w:lineRule="auto"/>
        <w:ind w:firstLine="3400" w:firstLineChars="1417"/>
        <w:rPr>
          <w:sz w:val="24"/>
        </w:rPr>
      </w:pPr>
      <w:r>
        <w:rPr>
          <w:rFonts w:hint="eastAsia"/>
          <w:sz w:val="24"/>
        </w:rPr>
        <w:t>投标人：(盖章)</w:t>
      </w:r>
    </w:p>
    <w:p>
      <w:pPr>
        <w:spacing w:line="480" w:lineRule="auto"/>
        <w:ind w:firstLine="3400" w:firstLineChars="1417"/>
        <w:rPr>
          <w:sz w:val="24"/>
        </w:rPr>
      </w:pPr>
      <w:r>
        <w:rPr>
          <w:rFonts w:hint="eastAsia"/>
          <w:sz w:val="24"/>
        </w:rPr>
        <w:t>法定代表人或其委托代理人：(签字或盖章)</w:t>
      </w:r>
    </w:p>
    <w:p>
      <w:pPr>
        <w:spacing w:line="480" w:lineRule="auto"/>
        <w:ind w:firstLine="3400" w:firstLineChars="1417"/>
        <w:rPr>
          <w:sz w:val="24"/>
        </w:rPr>
      </w:pPr>
      <w:r>
        <w:rPr>
          <w:rFonts w:hint="eastAsia"/>
          <w:sz w:val="24"/>
        </w:rPr>
        <w:t>地址：</w:t>
      </w:r>
    </w:p>
    <w:p>
      <w:pPr>
        <w:spacing w:line="480" w:lineRule="auto"/>
        <w:ind w:firstLine="3400" w:firstLineChars="1417"/>
        <w:rPr>
          <w:sz w:val="24"/>
        </w:rPr>
      </w:pPr>
      <w:r>
        <w:rPr>
          <w:rFonts w:hint="eastAsia"/>
          <w:sz w:val="24"/>
        </w:rPr>
        <w:t>电话：</w:t>
      </w:r>
    </w:p>
    <w:p>
      <w:pPr>
        <w:spacing w:line="480" w:lineRule="auto"/>
        <w:ind w:firstLine="5880" w:firstLineChars="2450"/>
        <w:rPr>
          <w:sz w:val="24"/>
        </w:rPr>
      </w:pPr>
      <w:r>
        <w:rPr>
          <w:rFonts w:hint="eastAsia"/>
          <w:sz w:val="24"/>
        </w:rPr>
        <w:t xml:space="preserve">2022年 </w:t>
      </w:r>
      <w:r>
        <w:rPr>
          <w:sz w:val="24"/>
        </w:rPr>
        <w:t xml:space="preserve"> </w:t>
      </w:r>
      <w:r>
        <w:rPr>
          <w:rFonts w:hint="eastAsia"/>
          <w:sz w:val="24"/>
        </w:rPr>
        <w:t xml:space="preserve">月 </w:t>
      </w:r>
      <w:r>
        <w:rPr>
          <w:sz w:val="24"/>
        </w:rPr>
        <w:t xml:space="preserve"> </w:t>
      </w:r>
      <w:r>
        <w:rPr>
          <w:rFonts w:hint="eastAsia"/>
          <w:sz w:val="24"/>
        </w:rPr>
        <w:t>日</w:t>
      </w:r>
    </w:p>
    <w:p>
      <w:pPr>
        <w:spacing w:line="440" w:lineRule="exact"/>
        <w:rPr>
          <w:rFonts w:eastAsia="黑体"/>
          <w:color w:val="000000"/>
          <w:szCs w:val="21"/>
        </w:rPr>
      </w:pPr>
    </w:p>
    <w:p>
      <w:pPr>
        <w:spacing w:line="440" w:lineRule="exact"/>
        <w:rPr>
          <w:rFonts w:eastAsia="黑体"/>
          <w:color w:val="000000"/>
          <w:sz w:val="20"/>
          <w:szCs w:val="20"/>
        </w:rPr>
      </w:pPr>
      <w:r>
        <w:rPr>
          <w:rFonts w:eastAsia="黑体"/>
          <w:color w:val="000000"/>
          <w:sz w:val="20"/>
          <w:szCs w:val="20"/>
        </w:rPr>
        <w:br w:type="page"/>
      </w:r>
    </w:p>
    <w:p>
      <w:pPr>
        <w:pStyle w:val="32"/>
        <w:jc w:val="center"/>
        <w:rPr>
          <w:szCs w:val="23"/>
        </w:rPr>
      </w:pPr>
      <w:bookmarkStart w:id="198" w:name="_Toc152045790"/>
      <w:bookmarkStart w:id="199" w:name="_Toc144974859"/>
      <w:bookmarkStart w:id="200" w:name="_Toc152042579"/>
      <w:bookmarkStart w:id="201" w:name="_Toc179632810"/>
    </w:p>
    <w:p>
      <w:pPr>
        <w:pStyle w:val="32"/>
        <w:jc w:val="center"/>
        <w:rPr>
          <w:rFonts w:ascii="Arial" w:hAnsi="Arial"/>
          <w:b/>
          <w:bCs/>
          <w:sz w:val="32"/>
          <w:szCs w:val="32"/>
        </w:rPr>
      </w:pPr>
      <w:r>
        <w:rPr>
          <w:rFonts w:hint="eastAsia" w:ascii="Arial" w:hAnsi="Arial"/>
          <w:b/>
          <w:bCs/>
          <w:sz w:val="32"/>
          <w:szCs w:val="32"/>
        </w:rPr>
        <w:t>（二）投标函附录</w:t>
      </w:r>
      <w:bookmarkEnd w:id="198"/>
      <w:bookmarkEnd w:id="199"/>
      <w:bookmarkEnd w:id="200"/>
      <w:bookmarkEnd w:id="201"/>
    </w:p>
    <w:p>
      <w:pPr>
        <w:spacing w:line="440" w:lineRule="exact"/>
        <w:rPr>
          <w:rFonts w:eastAsia="黑体"/>
          <w:sz w:val="20"/>
          <w:szCs w:val="20"/>
        </w:rPr>
      </w:pPr>
    </w:p>
    <w:tbl>
      <w:tblPr>
        <w:tblStyle w:val="18"/>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1</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投标人名称</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2</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投标报价</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3</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项目经理</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u w:val="single"/>
              </w:rPr>
            </w:pPr>
            <w:r>
              <w:rPr>
                <w:rFonts w:hint="eastAsia"/>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4</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工期</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u w:val="single"/>
              </w:rPr>
            </w:pPr>
            <w:r>
              <w:rPr>
                <w:rFonts w:hint="eastAsia"/>
                <w:sz w:val="24"/>
              </w:rPr>
              <w:t>天数：日历天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5</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质量</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rFonts w:hint="eastAsia"/>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6</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7</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sz w:val="24"/>
              </w:rPr>
              <w:t>……</w:t>
            </w:r>
          </w:p>
        </w:tc>
      </w:tr>
    </w:tbl>
    <w:p>
      <w:pPr>
        <w:spacing w:line="440" w:lineRule="exact"/>
        <w:ind w:left="840" w:leftChars="400" w:firstLine="2640" w:firstLineChars="1100"/>
        <w:rPr>
          <w:rFonts w:eastAsia="黑体"/>
          <w:sz w:val="24"/>
        </w:rPr>
      </w:pPr>
    </w:p>
    <w:p>
      <w:pPr>
        <w:spacing w:line="480" w:lineRule="auto"/>
        <w:ind w:firstLine="424" w:firstLineChars="177"/>
        <w:rPr>
          <w:sz w:val="24"/>
        </w:rPr>
      </w:pPr>
    </w:p>
    <w:p>
      <w:pPr>
        <w:spacing w:line="480" w:lineRule="auto"/>
        <w:ind w:firstLine="424" w:firstLineChars="177"/>
        <w:rPr>
          <w:sz w:val="24"/>
        </w:rPr>
      </w:pPr>
      <w:r>
        <w:rPr>
          <w:rFonts w:hint="eastAsia"/>
          <w:sz w:val="24"/>
        </w:rPr>
        <w:t>投标人：(盖章)</w:t>
      </w:r>
    </w:p>
    <w:p>
      <w:pPr>
        <w:rPr>
          <w:rFonts w:ascii="宋体" w:hAnsi="宋体"/>
          <w:color w:val="000000"/>
          <w:sz w:val="22"/>
          <w:szCs w:val="22"/>
        </w:rPr>
      </w:pPr>
      <w:r>
        <w:rPr>
          <w:rFonts w:hint="eastAsia" w:ascii="宋体" w:hAnsi="宋体"/>
          <w:color w:val="000000"/>
          <w:sz w:val="22"/>
          <w:szCs w:val="22"/>
        </w:rPr>
        <w:t>法定代表人或其委托代理人：(签字或盖章)</w:t>
      </w:r>
    </w:p>
    <w:p>
      <w:pPr>
        <w:spacing w:line="480" w:lineRule="auto"/>
        <w:ind w:firstLine="424" w:firstLineChars="177"/>
        <w:rPr>
          <w:color w:val="FF0000"/>
          <w:sz w:val="24"/>
          <w:u w:val="single"/>
        </w:rPr>
      </w:pPr>
    </w:p>
    <w:p>
      <w:pPr>
        <w:spacing w:line="480" w:lineRule="auto"/>
        <w:ind w:firstLine="424" w:firstLineChars="177"/>
        <w:rPr>
          <w:color w:val="FF0000"/>
          <w:sz w:val="24"/>
          <w:u w:val="single"/>
        </w:rPr>
      </w:pPr>
    </w:p>
    <w:p>
      <w:pPr>
        <w:spacing w:line="480" w:lineRule="auto"/>
        <w:ind w:right="480" w:firstLine="424" w:firstLineChars="177"/>
        <w:jc w:val="right"/>
        <w:rPr>
          <w:sz w:val="24"/>
        </w:rPr>
      </w:pPr>
      <w:r>
        <w:rPr>
          <w:rFonts w:hint="eastAsia"/>
          <w:sz w:val="24"/>
        </w:rPr>
        <w:t xml:space="preserve">2022年 </w:t>
      </w:r>
      <w:r>
        <w:rPr>
          <w:sz w:val="24"/>
        </w:rPr>
        <w:t xml:space="preserve"> </w:t>
      </w:r>
      <w:r>
        <w:rPr>
          <w:rFonts w:hint="eastAsia"/>
          <w:sz w:val="24"/>
        </w:rPr>
        <w:t xml:space="preserve">月 </w:t>
      </w:r>
      <w:r>
        <w:rPr>
          <w:sz w:val="24"/>
        </w:rPr>
        <w:t xml:space="preserve"> </w:t>
      </w:r>
      <w:r>
        <w:rPr>
          <w:rFonts w:hint="eastAsia"/>
          <w:sz w:val="24"/>
        </w:rPr>
        <w:t>日</w:t>
      </w:r>
    </w:p>
    <w:p>
      <w:pPr>
        <w:rPr>
          <w:color w:val="000000"/>
          <w:sz w:val="24"/>
        </w:rPr>
      </w:pPr>
      <w:r>
        <w:rPr>
          <w:rFonts w:eastAsia="黑体"/>
          <w:sz w:val="24"/>
        </w:rPr>
        <w:br w:type="page"/>
      </w:r>
    </w:p>
    <w:p>
      <w:pPr>
        <w:pStyle w:val="4"/>
      </w:pPr>
      <w:bookmarkStart w:id="202" w:name="_Toc241459818"/>
      <w:bookmarkStart w:id="203" w:name="_Toc241484770"/>
      <w:bookmarkStart w:id="204" w:name="_Toc275956220"/>
    </w:p>
    <w:p>
      <w:pPr>
        <w:pStyle w:val="4"/>
      </w:pPr>
      <w:r>
        <w:rPr>
          <w:rFonts w:hint="eastAsia"/>
        </w:rPr>
        <w:t>二、法定代表人身份证明</w:t>
      </w:r>
      <w:bookmarkEnd w:id="202"/>
      <w:bookmarkEnd w:id="203"/>
      <w:bookmarkEnd w:id="204"/>
    </w:p>
    <w:p>
      <w:pPr>
        <w:spacing w:line="440" w:lineRule="exact"/>
        <w:rPr>
          <w:sz w:val="20"/>
          <w:szCs w:val="20"/>
        </w:rPr>
      </w:pPr>
    </w:p>
    <w:p>
      <w:pPr>
        <w:spacing w:line="360" w:lineRule="auto"/>
        <w:ind w:firstLine="480" w:firstLineChars="200"/>
        <w:rPr>
          <w:rFonts w:ascii="宋体" w:hAnsi="宋体"/>
          <w:sz w:val="24"/>
        </w:rPr>
      </w:pPr>
      <w:r>
        <w:rPr>
          <w:rFonts w:hint="eastAsia" w:ascii="宋体" w:hAnsi="宋体"/>
          <w:sz w:val="24"/>
        </w:rPr>
        <w:t>投 标 人：</w:t>
      </w:r>
    </w:p>
    <w:p>
      <w:pPr>
        <w:spacing w:line="360" w:lineRule="auto"/>
        <w:ind w:firstLine="480" w:firstLineChars="200"/>
        <w:rPr>
          <w:rFonts w:ascii="宋体" w:hAnsi="宋体"/>
          <w:sz w:val="24"/>
        </w:rPr>
      </w:pPr>
      <w:r>
        <w:rPr>
          <w:rFonts w:hint="eastAsia" w:ascii="宋体" w:hAnsi="宋体"/>
          <w:sz w:val="24"/>
        </w:rPr>
        <w:t>单位性质：</w:t>
      </w:r>
    </w:p>
    <w:p>
      <w:pPr>
        <w:spacing w:line="360" w:lineRule="auto"/>
        <w:ind w:firstLine="480" w:firstLineChars="200"/>
        <w:rPr>
          <w:rFonts w:ascii="宋体" w:hAnsi="宋体"/>
          <w:sz w:val="24"/>
        </w:rPr>
      </w:pPr>
      <w:r>
        <w:rPr>
          <w:rFonts w:hint="eastAsia" w:ascii="宋体" w:hAnsi="宋体"/>
          <w:sz w:val="24"/>
        </w:rPr>
        <w:t>地    址：</w:t>
      </w:r>
    </w:p>
    <w:p>
      <w:pPr>
        <w:spacing w:line="360" w:lineRule="auto"/>
        <w:ind w:firstLine="480" w:firstLineChars="200"/>
        <w:rPr>
          <w:rFonts w:ascii="宋体" w:hAnsi="宋体"/>
          <w:sz w:val="24"/>
        </w:rPr>
      </w:pPr>
      <w:r>
        <w:rPr>
          <w:rFonts w:hint="eastAsia" w:ascii="宋体" w:hAnsi="宋体"/>
          <w:sz w:val="24"/>
        </w:rPr>
        <w:t>成立时间： 年 月 日</w:t>
      </w:r>
    </w:p>
    <w:p>
      <w:pPr>
        <w:spacing w:line="360" w:lineRule="auto"/>
        <w:ind w:firstLine="480" w:firstLineChars="200"/>
        <w:rPr>
          <w:rFonts w:ascii="宋体" w:hAnsi="宋体"/>
          <w:sz w:val="24"/>
        </w:rPr>
      </w:pPr>
      <w:r>
        <w:rPr>
          <w:rFonts w:hint="eastAsia" w:ascii="宋体" w:hAnsi="宋体"/>
          <w:sz w:val="24"/>
        </w:rPr>
        <w:t>经营期限：</w:t>
      </w:r>
    </w:p>
    <w:p>
      <w:pPr>
        <w:spacing w:line="360" w:lineRule="auto"/>
        <w:ind w:firstLine="480" w:firstLineChars="200"/>
        <w:rPr>
          <w:rFonts w:ascii="宋体" w:hAnsi="宋体"/>
          <w:sz w:val="24"/>
        </w:rPr>
      </w:pPr>
      <w:r>
        <w:rPr>
          <w:rFonts w:hint="eastAsia" w:ascii="宋体" w:hAnsi="宋体"/>
          <w:sz w:val="24"/>
        </w:rPr>
        <w:t>姓    名： 性     别：</w:t>
      </w:r>
    </w:p>
    <w:p>
      <w:pPr>
        <w:spacing w:line="360" w:lineRule="auto"/>
        <w:ind w:firstLine="480" w:firstLineChars="200"/>
        <w:rPr>
          <w:rFonts w:ascii="宋体" w:hAnsi="宋体"/>
          <w:sz w:val="24"/>
        </w:rPr>
      </w:pPr>
      <w:r>
        <w:rPr>
          <w:rFonts w:hint="eastAsia" w:ascii="宋体" w:hAnsi="宋体"/>
          <w:sz w:val="24"/>
        </w:rPr>
        <w:t>年    龄： 职     务：</w:t>
      </w:r>
    </w:p>
    <w:p>
      <w:pPr>
        <w:spacing w:line="360" w:lineRule="auto"/>
        <w:ind w:firstLine="480" w:firstLineChars="200"/>
        <w:rPr>
          <w:rFonts w:ascii="宋体" w:hAnsi="宋体"/>
          <w:sz w:val="24"/>
        </w:rPr>
      </w:pPr>
      <w:r>
        <w:rPr>
          <w:rFonts w:hint="eastAsia" w:ascii="宋体" w:hAnsi="宋体"/>
          <w:sz w:val="24"/>
        </w:rPr>
        <w:t>系 (投标人名称)的法定代表人。</w:t>
      </w:r>
    </w:p>
    <w:p>
      <w:pPr>
        <w:spacing w:line="440" w:lineRule="exact"/>
        <w:ind w:firstLine="480" w:firstLineChars="200"/>
        <w:rPr>
          <w:rFonts w:ascii="宋体" w:hAnsi="宋体"/>
          <w:sz w:val="24"/>
        </w:rPr>
      </w:pPr>
      <w:r>
        <w:rPr>
          <w:rFonts w:hint="eastAsia" w:ascii="宋体" w:hAnsi="宋体"/>
          <w:sz w:val="24"/>
        </w:rPr>
        <w:t>特此证明。</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 xml:space="preserve">                                  投标人：(盖章)</w:t>
      </w:r>
    </w:p>
    <w:p>
      <w:pPr>
        <w:spacing w:line="440" w:lineRule="exact"/>
        <w:rPr>
          <w:rFonts w:ascii="宋体" w:hAnsi="宋体"/>
          <w:sz w:val="24"/>
        </w:rPr>
      </w:pPr>
    </w:p>
    <w:p>
      <w:pPr>
        <w:spacing w:line="440" w:lineRule="exact"/>
        <w:ind w:firstLine="5880" w:firstLineChars="2450"/>
        <w:rPr>
          <w:sz w:val="24"/>
        </w:rPr>
      </w:pPr>
      <w:r>
        <w:rPr>
          <w:rFonts w:hint="eastAsia"/>
          <w:sz w:val="24"/>
        </w:rPr>
        <w:t xml:space="preserve">2022年 </w:t>
      </w:r>
      <w:r>
        <w:rPr>
          <w:sz w:val="24"/>
        </w:rPr>
        <w:t xml:space="preserve"> </w:t>
      </w:r>
      <w:r>
        <w:rPr>
          <w:rFonts w:hint="eastAsia"/>
          <w:sz w:val="24"/>
        </w:rPr>
        <w:t xml:space="preserve">月 </w:t>
      </w:r>
      <w:r>
        <w:rPr>
          <w:sz w:val="24"/>
        </w:rPr>
        <w:t xml:space="preserve"> </w:t>
      </w:r>
      <w:r>
        <w:rPr>
          <w:rFonts w:hint="eastAsia"/>
          <w:sz w:val="24"/>
        </w:rPr>
        <w:t>日</w:t>
      </w:r>
    </w:p>
    <w:p>
      <w:pPr>
        <w:spacing w:line="440" w:lineRule="exact"/>
        <w:ind w:firstLine="3570" w:firstLineChars="1700"/>
        <w:rPr>
          <w:rFonts w:ascii="宋体" w:hAnsi="宋体"/>
          <w:szCs w:val="21"/>
        </w:rPr>
      </w:pPr>
    </w:p>
    <w:p>
      <w:pPr>
        <w:spacing w:line="440" w:lineRule="exact"/>
        <w:ind w:firstLine="3570" w:firstLineChars="1700"/>
        <w:rPr>
          <w:rFonts w:ascii="宋体" w:hAnsi="宋体"/>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jc w:val="center"/>
        <w:rPr>
          <w:rFonts w:ascii="宋体"/>
          <w:color w:val="000000"/>
          <w:sz w:val="20"/>
          <w:szCs w:val="20"/>
        </w:rPr>
      </w:pPr>
      <w:r>
        <w:rPr>
          <w:rFonts w:ascii="宋体"/>
          <w:color w:val="000000"/>
          <w:kern w:val="0"/>
          <w:sz w:val="20"/>
          <w:szCs w:val="20"/>
        </w:rPr>
        <w:br w:type="page"/>
      </w:r>
    </w:p>
    <w:p>
      <w:pPr>
        <w:pStyle w:val="4"/>
      </w:pPr>
      <w:bookmarkStart w:id="205" w:name="_Toc241459819"/>
      <w:bookmarkStart w:id="206" w:name="_Toc152042581"/>
      <w:bookmarkStart w:id="207" w:name="_Toc152045792"/>
      <w:bookmarkStart w:id="208" w:name="_Toc144974861"/>
      <w:bookmarkStart w:id="209" w:name="_Toc241484771"/>
      <w:bookmarkStart w:id="210" w:name="_Toc275956221"/>
      <w:bookmarkStart w:id="211" w:name="_Toc179632812"/>
    </w:p>
    <w:p>
      <w:pPr>
        <w:pStyle w:val="4"/>
      </w:pPr>
      <w:r>
        <w:rPr>
          <w:rFonts w:hint="eastAsia"/>
        </w:rPr>
        <w:t>三、授权委托书</w:t>
      </w:r>
      <w:bookmarkEnd w:id="205"/>
      <w:bookmarkEnd w:id="206"/>
      <w:bookmarkEnd w:id="207"/>
      <w:bookmarkEnd w:id="208"/>
      <w:bookmarkEnd w:id="209"/>
      <w:bookmarkEnd w:id="210"/>
      <w:bookmarkEnd w:id="211"/>
    </w:p>
    <w:p>
      <w:pPr>
        <w:spacing w:line="440" w:lineRule="exact"/>
        <w:rPr>
          <w:rFonts w:eastAsia="黑体"/>
          <w:szCs w:val="21"/>
        </w:rPr>
      </w:pPr>
    </w:p>
    <w:p>
      <w:pPr>
        <w:topLinePunct/>
        <w:spacing w:line="480" w:lineRule="auto"/>
        <w:ind w:firstLine="480" w:firstLineChars="200"/>
        <w:rPr>
          <w:sz w:val="24"/>
        </w:rPr>
      </w:pPr>
      <w:r>
        <w:rPr>
          <w:rFonts w:hint="eastAsia"/>
          <w:sz w:val="24"/>
        </w:rPr>
        <w:t>本人(姓名)系(投标人名称)的法定代表人，现委托(姓名)为我方代理人。代理人根据授权，以我方名义签署、澄清、说明、补正、递交、撤回、修改泰州职业技术学院机电实训中心电气改造工程标段施工投标文件、签订合同和处理有关事宜，其法律后果由我方承担。</w:t>
      </w:r>
    </w:p>
    <w:p>
      <w:pPr>
        <w:spacing w:line="480" w:lineRule="auto"/>
        <w:ind w:firstLine="435"/>
        <w:rPr>
          <w:sz w:val="24"/>
        </w:rPr>
      </w:pPr>
      <w:r>
        <w:rPr>
          <w:rFonts w:hint="eastAsia"/>
          <w:sz w:val="24"/>
        </w:rPr>
        <w:t>委托期限：。</w:t>
      </w:r>
    </w:p>
    <w:p>
      <w:pPr>
        <w:spacing w:line="480" w:lineRule="auto"/>
        <w:ind w:firstLine="480" w:firstLineChars="200"/>
        <w:rPr>
          <w:sz w:val="24"/>
        </w:rPr>
      </w:pPr>
      <w:r>
        <w:rPr>
          <w:rFonts w:hint="eastAsia"/>
          <w:sz w:val="24"/>
        </w:rPr>
        <w:t>代理人无转委托权。</w:t>
      </w:r>
    </w:p>
    <w:p>
      <w:pPr>
        <w:spacing w:line="480" w:lineRule="auto"/>
        <w:ind w:firstLine="480" w:firstLineChars="200"/>
        <w:rPr>
          <w:sz w:val="24"/>
        </w:rPr>
      </w:pPr>
      <w:r>
        <w:rPr>
          <w:rFonts w:hint="eastAsia"/>
          <w:sz w:val="24"/>
        </w:rPr>
        <w:t>附：</w:t>
      </w:r>
      <w:r>
        <w:rPr>
          <w:rFonts w:hint="eastAsia"/>
          <w:b/>
          <w:bCs/>
          <w:sz w:val="24"/>
        </w:rPr>
        <w:t>法定代表人身份证明，委托身份证复印件</w:t>
      </w:r>
    </w:p>
    <w:p>
      <w:pPr>
        <w:spacing w:line="440" w:lineRule="exact"/>
        <w:rPr>
          <w:szCs w:val="21"/>
        </w:rPr>
      </w:pP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投  标  人：(盖章)</w:t>
      </w: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法定代表人：(签字或盖章)</w:t>
      </w: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身份证号码：</w:t>
      </w:r>
    </w:p>
    <w:p>
      <w:pPr>
        <w:spacing w:line="440" w:lineRule="exact"/>
        <w:ind w:firstLine="2409" w:firstLineChars="1004"/>
        <w:rPr>
          <w:rFonts w:ascii="宋体" w:hAnsi="宋体"/>
          <w:sz w:val="24"/>
        </w:rPr>
      </w:pPr>
    </w:p>
    <w:p>
      <w:pPr>
        <w:spacing w:line="440" w:lineRule="exact"/>
        <w:ind w:firstLine="2409" w:firstLineChars="1004"/>
        <w:rPr>
          <w:rFonts w:ascii="宋体" w:hAnsi="宋体"/>
          <w:sz w:val="24"/>
        </w:rPr>
      </w:pPr>
      <w:r>
        <w:rPr>
          <w:rFonts w:hint="eastAsia" w:ascii="宋体" w:hAnsi="宋体"/>
          <w:sz w:val="24"/>
        </w:rPr>
        <w:t>委托代理人：</w:t>
      </w:r>
    </w:p>
    <w:p>
      <w:pPr>
        <w:spacing w:line="440" w:lineRule="exact"/>
        <w:ind w:firstLine="2409" w:firstLineChars="1004"/>
        <w:rPr>
          <w:rFonts w:ascii="宋体" w:hAnsi="宋体"/>
          <w:sz w:val="24"/>
        </w:rPr>
      </w:pPr>
    </w:p>
    <w:p>
      <w:pPr>
        <w:spacing w:line="440" w:lineRule="exact"/>
        <w:ind w:firstLine="2409" w:firstLineChars="1004"/>
        <w:rPr>
          <w:rFonts w:ascii="宋体" w:hAnsi="宋体"/>
          <w:sz w:val="24"/>
        </w:rPr>
      </w:pPr>
      <w:r>
        <w:rPr>
          <w:rFonts w:hint="eastAsia" w:ascii="宋体" w:hAnsi="宋体"/>
          <w:sz w:val="24"/>
        </w:rPr>
        <w:t>身份证号码：</w:t>
      </w:r>
    </w:p>
    <w:p>
      <w:pPr>
        <w:spacing w:line="440" w:lineRule="exact"/>
        <w:rPr>
          <w:rFonts w:ascii="宋体" w:hAnsi="宋体"/>
          <w:sz w:val="24"/>
        </w:rPr>
      </w:pPr>
    </w:p>
    <w:p>
      <w:pPr>
        <w:spacing w:line="440" w:lineRule="exact"/>
        <w:ind w:firstLine="5880" w:firstLineChars="2450"/>
        <w:rPr>
          <w:sz w:val="24"/>
        </w:rPr>
      </w:pPr>
      <w:r>
        <w:rPr>
          <w:rFonts w:hint="eastAsia"/>
          <w:sz w:val="24"/>
        </w:rPr>
        <w:t xml:space="preserve">2022年 </w:t>
      </w:r>
      <w:r>
        <w:rPr>
          <w:sz w:val="24"/>
        </w:rPr>
        <w:t xml:space="preserve"> </w:t>
      </w:r>
      <w:r>
        <w:rPr>
          <w:rFonts w:hint="eastAsia"/>
          <w:sz w:val="24"/>
        </w:rPr>
        <w:t xml:space="preserve">月 </w:t>
      </w:r>
      <w:r>
        <w:rPr>
          <w:sz w:val="24"/>
        </w:rPr>
        <w:t xml:space="preserve"> </w:t>
      </w:r>
      <w:r>
        <w:rPr>
          <w:rFonts w:hint="eastAsia"/>
          <w:sz w:val="24"/>
        </w:rPr>
        <w:t>日</w:t>
      </w:r>
    </w:p>
    <w:p>
      <w:pPr>
        <w:spacing w:line="440" w:lineRule="exact"/>
        <w:ind w:firstLine="5040" w:firstLineChars="2100"/>
        <w:rPr>
          <w:rFonts w:ascii="宋体" w:hAnsi="宋体"/>
          <w:sz w:val="24"/>
        </w:rPr>
      </w:pPr>
    </w:p>
    <w:p>
      <w:pPr>
        <w:spacing w:line="440" w:lineRule="exact"/>
        <w:ind w:firstLine="4410" w:firstLineChars="2100"/>
        <w:rPr>
          <w:rFonts w:ascii="宋体"/>
          <w:color w:val="000000"/>
          <w:szCs w:val="21"/>
        </w:rPr>
      </w:pPr>
    </w:p>
    <w:p>
      <w:pPr>
        <w:spacing w:line="440" w:lineRule="exact"/>
        <w:ind w:firstLine="4410" w:firstLineChars="2100"/>
        <w:rPr>
          <w:rFonts w:ascii="宋体"/>
          <w:color w:val="000000"/>
          <w:szCs w:val="21"/>
        </w:rPr>
      </w:pPr>
    </w:p>
    <w:p>
      <w:pPr>
        <w:widowControl/>
        <w:jc w:val="left"/>
        <w:rPr>
          <w:rFonts w:ascii="宋体"/>
          <w:color w:val="000000"/>
          <w:kern w:val="0"/>
          <w:szCs w:val="21"/>
        </w:rPr>
        <w:sectPr>
          <w:footerReference r:id="rId3" w:type="default"/>
          <w:footerReference r:id="rId4" w:type="even"/>
          <w:pgSz w:w="11906" w:h="16838"/>
          <w:pgMar w:top="1440" w:right="1133" w:bottom="1440" w:left="1797" w:header="851" w:footer="992" w:gutter="0"/>
          <w:cols w:space="720" w:num="1"/>
          <w:titlePg/>
        </w:sectPr>
      </w:pPr>
    </w:p>
    <w:p>
      <w:pPr>
        <w:pStyle w:val="4"/>
      </w:pPr>
      <w:bookmarkStart w:id="212" w:name="_Toc241459821"/>
      <w:bookmarkStart w:id="213" w:name="_Toc241484773"/>
      <w:bookmarkStart w:id="214" w:name="_Toc275956223"/>
      <w:bookmarkStart w:id="215" w:name="_Toc152045795"/>
      <w:bookmarkStart w:id="216" w:name="_Toc179632815"/>
      <w:bookmarkStart w:id="217" w:name="_Toc144974863"/>
      <w:bookmarkStart w:id="218" w:name="_Toc241484774"/>
      <w:bookmarkStart w:id="219" w:name="_Toc152042584"/>
      <w:bookmarkStart w:id="220" w:name="_Toc275956224"/>
      <w:bookmarkStart w:id="221" w:name="_Toc241459822"/>
    </w:p>
    <w:p>
      <w:pPr>
        <w:pStyle w:val="4"/>
      </w:pPr>
      <w:r>
        <w:rPr>
          <w:rFonts w:hint="eastAsia"/>
        </w:rPr>
        <w:t>四、</w:t>
      </w:r>
      <w:bookmarkEnd w:id="212"/>
      <w:bookmarkEnd w:id="213"/>
      <w:r>
        <w:rPr>
          <w:rFonts w:hint="eastAsia"/>
        </w:rPr>
        <w:t>投标保证金</w:t>
      </w:r>
      <w:bookmarkEnd w:id="214"/>
      <w:r>
        <w:rPr>
          <w:rFonts w:hint="eastAsia"/>
        </w:rPr>
        <w:t>缴纳证明（现金）</w:t>
      </w:r>
    </w:p>
    <w:bookmarkEnd w:id="215"/>
    <w:bookmarkEnd w:id="216"/>
    <w:bookmarkEnd w:id="217"/>
    <w:bookmarkEnd w:id="218"/>
    <w:bookmarkEnd w:id="219"/>
    <w:bookmarkEnd w:id="220"/>
    <w:bookmarkEnd w:id="221"/>
    <w:p>
      <w:pPr>
        <w:pStyle w:val="4"/>
        <w:rPr>
          <w:b w:val="0"/>
          <w:bCs w:val="0"/>
          <w:szCs w:val="21"/>
        </w:rPr>
      </w:pPr>
    </w:p>
    <w:p>
      <w:pPr>
        <w:pStyle w:val="4"/>
      </w:pPr>
      <w:r>
        <w:rPr>
          <w:rFonts w:hint="eastAsia"/>
          <w:b w:val="0"/>
          <w:bCs w:val="0"/>
          <w:szCs w:val="21"/>
        </w:rPr>
        <w:t>五</w:t>
      </w:r>
      <w:r>
        <w:rPr>
          <w:rFonts w:hint="eastAsia"/>
        </w:rPr>
        <w:t>、已标价工程量清单</w:t>
      </w:r>
    </w:p>
    <w:p/>
    <w:p/>
    <w:p>
      <w:pPr>
        <w:rPr>
          <w:rFonts w:ascii="宋体" w:hAnsi="宋体"/>
          <w:color w:val="000000"/>
          <w:sz w:val="22"/>
          <w:szCs w:val="22"/>
        </w:rPr>
      </w:pPr>
      <w:r>
        <w:rPr>
          <w:rFonts w:hint="eastAsia" w:ascii="黑体" w:hAnsi="宋体" w:eastAsia="黑体"/>
          <w:color w:val="000000"/>
          <w:sz w:val="22"/>
          <w:szCs w:val="22"/>
        </w:rPr>
        <w:t>说明：</w:t>
      </w:r>
      <w:r>
        <w:rPr>
          <w:rFonts w:hint="eastAsia" w:ascii="宋体" w:hAnsi="宋体"/>
          <w:color w:val="000000"/>
          <w:sz w:val="22"/>
          <w:szCs w:val="22"/>
        </w:rPr>
        <w:t>已标价工程量清单按</w:t>
      </w:r>
      <w:r>
        <w:fldChar w:fldCharType="begin"/>
      </w:r>
      <w:r>
        <w:instrText xml:space="preserve"> HYPERLINK "file:///H:\\泰州招标文件范本\\泰州市房屋建筑和市政工程施工2016.4.docx" \l "_第五章__工程量清单" </w:instrText>
      </w:r>
      <w:r>
        <w:fldChar w:fldCharType="separate"/>
      </w:r>
      <w:r>
        <w:rPr>
          <w:rFonts w:hint="eastAsia" w:ascii="宋体" w:hAnsi="宋体"/>
          <w:color w:val="000000"/>
          <w:sz w:val="22"/>
          <w:szCs w:val="22"/>
        </w:rPr>
        <w:t>第四章“工程量清单”</w:t>
      </w:r>
      <w:r>
        <w:rPr>
          <w:rFonts w:hint="eastAsia" w:ascii="宋体" w:hAnsi="宋体"/>
          <w:color w:val="000000"/>
          <w:sz w:val="22"/>
          <w:szCs w:val="22"/>
        </w:rPr>
        <w:fldChar w:fldCharType="end"/>
      </w:r>
      <w:r>
        <w:rPr>
          <w:rFonts w:hint="eastAsia" w:ascii="宋体" w:hAnsi="宋体"/>
          <w:color w:val="000000"/>
          <w:sz w:val="22"/>
          <w:szCs w:val="22"/>
        </w:rPr>
        <w:t>中的相关清单表格式填写。构成合同文件的已标价工程量清单包括第五章“工程量清单”有关工程量清单、投标报价以及其他说明的内容。</w:t>
      </w: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pStyle w:val="36"/>
        <w:spacing w:before="0"/>
        <w:outlineLvl w:val="0"/>
        <w:rPr>
          <w:szCs w:val="28"/>
        </w:rPr>
      </w:pPr>
      <w:bookmarkStart w:id="222" w:name="_Toc362253055"/>
    </w:p>
    <w:p>
      <w:pPr>
        <w:pStyle w:val="36"/>
        <w:spacing w:before="0"/>
        <w:outlineLvl w:val="0"/>
        <w:rPr>
          <w:rFonts w:ascii="Arial" w:hAnsi="Arial" w:cs="Times New Roman"/>
          <w:b/>
          <w:bCs/>
          <w:sz w:val="32"/>
          <w:szCs w:val="32"/>
        </w:rPr>
      </w:pPr>
      <w:r>
        <w:rPr>
          <w:rFonts w:hint="eastAsia" w:ascii="Arial" w:hAnsi="Arial" w:cs="Times New Roman"/>
          <w:b/>
          <w:bCs/>
          <w:sz w:val="32"/>
          <w:szCs w:val="32"/>
        </w:rPr>
        <w:t>六、</w:t>
      </w:r>
      <w:bookmarkEnd w:id="222"/>
      <w:r>
        <w:rPr>
          <w:rFonts w:hint="eastAsia" w:ascii="Arial" w:hAnsi="Arial" w:cs="Times New Roman"/>
          <w:b/>
          <w:bCs/>
          <w:sz w:val="32"/>
          <w:szCs w:val="32"/>
        </w:rPr>
        <w:t>项目经理简历表</w:t>
      </w:r>
    </w:p>
    <w:p>
      <w:pPr>
        <w:pStyle w:val="5"/>
        <w:rPr>
          <w:rFonts w:ascii="黑体"/>
          <w:color w:val="000000"/>
          <w:sz w:val="24"/>
        </w:rPr>
      </w:pPr>
    </w:p>
    <w:p>
      <w:pPr>
        <w:spacing w:line="400" w:lineRule="exact"/>
      </w:pPr>
      <w:r>
        <w:rPr>
          <w:rFonts w:hint="eastAsia"/>
          <w:szCs w:val="21"/>
        </w:rPr>
        <w:t>本表后应附有效的</w:t>
      </w:r>
      <w:r>
        <w:rPr>
          <w:rFonts w:hint="eastAsia"/>
        </w:rPr>
        <w:t>项目经理身份证、注册资格证书。类似项目限于以项目经理身份参与的项目。</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4"/>
        <w:gridCol w:w="962"/>
        <w:gridCol w:w="1030"/>
        <w:gridCol w:w="16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1" w:type="dxa"/>
            <w:vAlign w:val="center"/>
          </w:tcPr>
          <w:p>
            <w:pPr>
              <w:spacing w:line="440" w:lineRule="exact"/>
              <w:jc w:val="center"/>
              <w:rPr>
                <w:rFonts w:ascii="宋体"/>
                <w:szCs w:val="21"/>
              </w:rPr>
            </w:pPr>
            <w:r>
              <w:rPr>
                <w:rFonts w:hint="eastAsia" w:ascii="宋体" w:hAnsi="宋体"/>
                <w:szCs w:val="21"/>
              </w:rPr>
              <w:t>姓名</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年龄</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身份证号</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学历</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职称</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职务</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pPr>
              <w:spacing w:line="440" w:lineRule="exact"/>
              <w:jc w:val="center"/>
              <w:rPr>
                <w:rFonts w:ascii="宋体"/>
                <w:szCs w:val="21"/>
              </w:rPr>
            </w:pPr>
            <w:r>
              <w:rPr>
                <w:rFonts w:hint="eastAsia" w:ascii="宋体" w:hAnsi="宋体"/>
                <w:szCs w:val="21"/>
              </w:rPr>
              <w:t>注册建造师执业资格等级</w:t>
            </w:r>
          </w:p>
        </w:tc>
        <w:tc>
          <w:tcPr>
            <w:tcW w:w="1030" w:type="dxa"/>
            <w:vAlign w:val="center"/>
          </w:tcPr>
          <w:p>
            <w:pPr>
              <w:spacing w:line="440" w:lineRule="exact"/>
              <w:ind w:firstLine="525" w:firstLineChars="250"/>
              <w:rPr>
                <w:rFonts w:ascii="宋体"/>
                <w:szCs w:val="21"/>
              </w:rPr>
            </w:pPr>
            <w:r>
              <w:rPr>
                <w:rFonts w:hint="eastAsia" w:ascii="宋体" w:hAnsi="宋体"/>
                <w:szCs w:val="21"/>
              </w:rPr>
              <w:t>级</w:t>
            </w:r>
          </w:p>
        </w:tc>
        <w:tc>
          <w:tcPr>
            <w:tcW w:w="1663" w:type="dxa"/>
            <w:vAlign w:val="center"/>
          </w:tcPr>
          <w:p>
            <w:pPr>
              <w:spacing w:line="440" w:lineRule="exact"/>
              <w:jc w:val="center"/>
              <w:rPr>
                <w:rFonts w:ascii="宋体"/>
                <w:szCs w:val="21"/>
              </w:rPr>
            </w:pPr>
            <w:r>
              <w:rPr>
                <w:rFonts w:hint="eastAsia" w:ascii="宋体" w:hAnsi="宋体"/>
                <w:szCs w:val="21"/>
              </w:rPr>
              <w:t>建造师专业</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毕业学校</w:t>
            </w:r>
          </w:p>
        </w:tc>
        <w:tc>
          <w:tcPr>
            <w:tcW w:w="7421" w:type="dxa"/>
            <w:gridSpan w:val="5"/>
          </w:tcPr>
          <w:p>
            <w:pPr>
              <w:spacing w:line="440" w:lineRule="exact"/>
              <w:ind w:firstLine="1365" w:firstLineChars="650"/>
              <w:rPr>
                <w:rFonts w:asci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spacing w:line="440" w:lineRule="exact"/>
              <w:jc w:val="center"/>
              <w:rPr>
                <w:rFonts w:asci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spacing w:line="440" w:lineRule="exact"/>
              <w:jc w:val="center"/>
              <w:rPr>
                <w:rFonts w:ascii="宋体"/>
                <w:szCs w:val="21"/>
              </w:rPr>
            </w:pPr>
            <w:r>
              <w:rPr>
                <w:rFonts w:hint="eastAsia" w:ascii="宋体" w:hAnsi="宋体"/>
                <w:szCs w:val="21"/>
              </w:rPr>
              <w:t>时间</w:t>
            </w:r>
          </w:p>
        </w:tc>
        <w:tc>
          <w:tcPr>
            <w:tcW w:w="3156" w:type="dxa"/>
            <w:gridSpan w:val="3"/>
            <w:vAlign w:val="center"/>
          </w:tcPr>
          <w:p>
            <w:pPr>
              <w:spacing w:line="440" w:lineRule="exact"/>
              <w:jc w:val="center"/>
              <w:rPr>
                <w:rFonts w:ascii="宋体"/>
                <w:szCs w:val="21"/>
              </w:rPr>
            </w:pPr>
            <w:r>
              <w:rPr>
                <w:rFonts w:hint="eastAsia" w:ascii="宋体" w:hAnsi="宋体"/>
                <w:szCs w:val="21"/>
              </w:rPr>
              <w:t>参加过的类似项目名称</w:t>
            </w:r>
          </w:p>
        </w:tc>
        <w:tc>
          <w:tcPr>
            <w:tcW w:w="1663" w:type="dxa"/>
            <w:vAlign w:val="center"/>
          </w:tcPr>
          <w:p>
            <w:pPr>
              <w:spacing w:line="440" w:lineRule="exact"/>
              <w:jc w:val="center"/>
              <w:rPr>
                <w:rFonts w:ascii="宋体"/>
                <w:szCs w:val="21"/>
              </w:rPr>
            </w:pPr>
            <w:r>
              <w:rPr>
                <w:rFonts w:hint="eastAsia" w:ascii="宋体" w:hAnsi="宋体"/>
                <w:szCs w:val="21"/>
              </w:rPr>
              <w:t>工程概况说明</w:t>
            </w:r>
          </w:p>
        </w:tc>
        <w:tc>
          <w:tcPr>
            <w:tcW w:w="2602" w:type="dxa"/>
            <w:vAlign w:val="center"/>
          </w:tcPr>
          <w:p>
            <w:pPr>
              <w:spacing w:line="440" w:lineRule="exact"/>
              <w:jc w:val="center"/>
              <w:rPr>
                <w:rFonts w:asci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tcPr>
          <w:p>
            <w:pPr>
              <w:spacing w:line="440" w:lineRule="exact"/>
              <w:rPr>
                <w:rFonts w:ascii="宋体"/>
                <w:szCs w:val="21"/>
              </w:rPr>
            </w:pPr>
          </w:p>
        </w:tc>
        <w:tc>
          <w:tcPr>
            <w:tcW w:w="3156" w:type="dxa"/>
            <w:gridSpan w:val="3"/>
          </w:tcPr>
          <w:p>
            <w:pPr>
              <w:spacing w:line="440" w:lineRule="exact"/>
              <w:rPr>
                <w:rFonts w:ascii="宋体"/>
                <w:szCs w:val="21"/>
              </w:rPr>
            </w:pPr>
          </w:p>
        </w:tc>
        <w:tc>
          <w:tcPr>
            <w:tcW w:w="1663" w:type="dxa"/>
          </w:tcPr>
          <w:p>
            <w:pPr>
              <w:spacing w:line="440" w:lineRule="exact"/>
              <w:rPr>
                <w:rFonts w:ascii="宋体"/>
                <w:szCs w:val="21"/>
              </w:rPr>
            </w:pPr>
          </w:p>
        </w:tc>
        <w:tc>
          <w:tcPr>
            <w:tcW w:w="2602" w:type="dxa"/>
          </w:tcPr>
          <w:p>
            <w:pPr>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bl>
    <w:p>
      <w:pPr>
        <w:spacing w:line="400" w:lineRule="exact"/>
        <w:ind w:firstLine="420" w:firstLineChars="200"/>
      </w:pPr>
    </w:p>
    <w:p>
      <w:pPr>
        <w:pStyle w:val="4"/>
        <w:rPr>
          <w:sz w:val="21"/>
          <w:szCs w:val="21"/>
        </w:rPr>
      </w:pPr>
      <w:bookmarkStart w:id="223" w:name="_Toc179632832"/>
      <w:bookmarkStart w:id="224" w:name="_Toc152042601"/>
      <w:bookmarkStart w:id="225" w:name="_Toc152045812"/>
      <w:bookmarkStart w:id="226" w:name="_Toc144974880"/>
    </w:p>
    <w:p>
      <w:pPr>
        <w:pStyle w:val="4"/>
      </w:pPr>
    </w:p>
    <w:p/>
    <w:p/>
    <w:p/>
    <w:p/>
    <w:p/>
    <w:p>
      <w:pPr>
        <w:pStyle w:val="5"/>
        <w:jc w:val="center"/>
        <w:rPr>
          <w:rFonts w:ascii="Arial" w:hAnsi="Arial"/>
          <w:b/>
          <w:bCs/>
          <w:sz w:val="21"/>
          <w:szCs w:val="21"/>
        </w:rPr>
      </w:pPr>
    </w:p>
    <w:p>
      <w:pPr>
        <w:pStyle w:val="5"/>
        <w:jc w:val="center"/>
        <w:rPr>
          <w:rFonts w:ascii="Arial" w:hAnsi="Arial"/>
          <w:b/>
          <w:bCs/>
          <w:sz w:val="32"/>
        </w:rPr>
      </w:pPr>
      <w:r>
        <w:rPr>
          <w:rFonts w:hint="eastAsia" w:ascii="Arial" w:hAnsi="Arial"/>
          <w:b/>
          <w:bCs/>
          <w:sz w:val="32"/>
        </w:rPr>
        <w:t>七、资格审查资料</w:t>
      </w:r>
    </w:p>
    <w:p>
      <w:pPr>
        <w:pStyle w:val="5"/>
        <w:jc w:val="center"/>
      </w:pPr>
      <w:bookmarkStart w:id="227" w:name="_Toc144974876"/>
      <w:bookmarkStart w:id="228" w:name="_Toc241484788"/>
      <w:bookmarkStart w:id="229" w:name="_Toc275956239"/>
      <w:bookmarkStart w:id="230" w:name="_Toc152045808"/>
      <w:bookmarkStart w:id="231" w:name="_Toc152042597"/>
      <w:bookmarkStart w:id="232" w:name="_Toc241459836"/>
      <w:bookmarkStart w:id="233" w:name="_Toc179632828"/>
      <w:r>
        <w:rPr>
          <w:rFonts w:hint="eastAsia"/>
        </w:rPr>
        <w:t>投标人基本情况表</w:t>
      </w:r>
      <w:bookmarkEnd w:id="227"/>
      <w:bookmarkEnd w:id="228"/>
      <w:bookmarkEnd w:id="229"/>
      <w:bookmarkEnd w:id="230"/>
      <w:bookmarkEnd w:id="231"/>
      <w:bookmarkEnd w:id="232"/>
      <w:bookmarkEnd w:id="233"/>
    </w:p>
    <w:tbl>
      <w:tblPr>
        <w:tblStyle w:val="18"/>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投标人名称</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FF"/>
                <w:szCs w:val="21"/>
              </w:rPr>
            </w:pPr>
            <w:r>
              <w:rPr>
                <w:rFonts w:hint="eastAsia"/>
                <w:szCs w:val="21"/>
              </w:rPr>
              <w:t>组织机构代码</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成立时间</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rFonts w:hint="eastAsia"/>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企业资质等级</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营业执照号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注册资金</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开户银行</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账号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5"/>
            </w:pPr>
            <w:r>
              <w:rPr>
                <w:rFonts w:hint="eastAsia"/>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szCs w:val="21"/>
              </w:rPr>
            </w:pPr>
            <w:r>
              <w:rPr>
                <w:rFonts w:hint="eastAsia"/>
                <w:szCs w:val="21"/>
              </w:rPr>
              <w:t>经营范围</w:t>
            </w:r>
          </w:p>
        </w:tc>
        <w:tc>
          <w:tcPr>
            <w:tcW w:w="6839" w:type="dxa"/>
            <w:gridSpan w:val="9"/>
            <w:tcBorders>
              <w:top w:val="single" w:color="auto" w:sz="4" w:space="0"/>
              <w:left w:val="single" w:color="auto" w:sz="4" w:space="0"/>
              <w:bottom w:val="nil"/>
              <w:right w:val="single" w:color="auto" w:sz="4" w:space="0"/>
            </w:tcBorders>
            <w:vAlign w:val="center"/>
          </w:tcPr>
          <w:p>
            <w:pPr>
              <w:topLinePunct/>
              <w:spacing w:line="440" w:lineRule="exact"/>
              <w:jc w:val="center"/>
              <w:rPr>
                <w:szCs w:val="21"/>
              </w:rPr>
            </w:pPr>
          </w:p>
          <w:p>
            <w:pPr>
              <w:topLinePunct/>
              <w:spacing w:line="440" w:lineRule="exact"/>
              <w:jc w:val="center"/>
              <w:rPr>
                <w:szCs w:val="21"/>
              </w:rPr>
            </w:pPr>
          </w:p>
          <w:p>
            <w:pPr>
              <w:topLinePunct/>
              <w:spacing w:line="440" w:lineRule="exact"/>
              <w:jc w:val="center"/>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备注</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szCs w:val="21"/>
              </w:rPr>
            </w:pPr>
            <w:r>
              <w:rPr>
                <w:rFonts w:hint="eastAsia"/>
                <w:szCs w:val="21"/>
              </w:rPr>
              <w:t>账号是指：</w:t>
            </w:r>
            <w:r>
              <w:rPr>
                <w:rFonts w:hint="eastAsia" w:ascii="宋体" w:hAnsi="宋体" w:cs="仿宋_GB2312"/>
                <w:kern w:val="0"/>
                <w:szCs w:val="21"/>
              </w:rPr>
              <w:t>企业基本存款账户开户许可证上载明的账号</w:t>
            </w:r>
          </w:p>
        </w:tc>
      </w:tr>
    </w:tbl>
    <w:p>
      <w:pPr>
        <w:spacing w:line="280" w:lineRule="exact"/>
        <w:ind w:left="400" w:hanging="400" w:hangingChars="200"/>
        <w:rPr>
          <w:szCs w:val="21"/>
        </w:rPr>
      </w:pPr>
      <w:r>
        <w:rPr>
          <w:rFonts w:hint="eastAsia" w:ascii="黑体" w:hAnsi="宋体" w:eastAsia="黑体"/>
          <w:color w:val="000000"/>
          <w:sz w:val="20"/>
          <w:szCs w:val="20"/>
        </w:rPr>
        <w:t>备注：</w:t>
      </w:r>
      <w:r>
        <w:rPr>
          <w:rFonts w:hint="eastAsia"/>
          <w:szCs w:val="21"/>
        </w:rPr>
        <w:t>本表后应附企业法人营业执照、企业资质证书副本、安全生产许可证、</w:t>
      </w:r>
      <w:r>
        <w:rPr>
          <w:rFonts w:hint="eastAsia" w:ascii="宋体" w:hAnsi="宋体" w:cs="仿宋_GB2312"/>
          <w:kern w:val="0"/>
          <w:szCs w:val="21"/>
        </w:rPr>
        <w:t>企业基本存款账户开户许可证</w:t>
      </w:r>
      <w:r>
        <w:rPr>
          <w:rFonts w:hint="eastAsia"/>
          <w:szCs w:val="21"/>
        </w:rPr>
        <w:t>等材料的复印件。</w:t>
      </w:r>
    </w:p>
    <w:bookmarkEnd w:id="223"/>
    <w:bookmarkEnd w:id="224"/>
    <w:bookmarkEnd w:id="225"/>
    <w:bookmarkEnd w:id="226"/>
    <w:p>
      <w:pPr>
        <w:pStyle w:val="5"/>
        <w:jc w:val="center"/>
        <w:rPr>
          <w:rFonts w:ascii="Arial" w:hAnsi="Arial"/>
          <w:b/>
          <w:bCs/>
          <w:sz w:val="32"/>
        </w:rPr>
      </w:pPr>
    </w:p>
    <w:p>
      <w:pPr>
        <w:pStyle w:val="5"/>
        <w:jc w:val="center"/>
        <w:rPr>
          <w:rFonts w:ascii="Arial" w:hAnsi="Arial"/>
          <w:b/>
          <w:bCs/>
          <w:sz w:val="32"/>
        </w:rPr>
      </w:pPr>
      <w:r>
        <w:rPr>
          <w:rFonts w:hint="eastAsia" w:ascii="Arial" w:hAnsi="Arial"/>
          <w:b/>
          <w:bCs/>
          <w:sz w:val="32"/>
        </w:rPr>
        <w:t>八、投标承诺书</w:t>
      </w:r>
    </w:p>
    <w:p>
      <w:pPr>
        <w:spacing w:line="500" w:lineRule="exact"/>
        <w:jc w:val="center"/>
        <w:rPr>
          <w:rFonts w:ascii="宋体" w:hAnsi="宋体"/>
          <w:sz w:val="32"/>
          <w:szCs w:val="32"/>
        </w:rPr>
      </w:pPr>
      <w:r>
        <w:rPr>
          <w:rFonts w:hint="eastAsia" w:ascii="黑体" w:hAnsi="Arial" w:eastAsia="黑体" w:cs="Arial"/>
          <w:sz w:val="32"/>
          <w:szCs w:val="32"/>
        </w:rPr>
        <w:t>投标承诺书</w:t>
      </w:r>
    </w:p>
    <w:p>
      <w:pPr>
        <w:spacing w:line="500" w:lineRule="exact"/>
        <w:rPr>
          <w:rFonts w:ascii="宋体" w:hAnsi="宋体"/>
          <w:sz w:val="24"/>
        </w:rPr>
      </w:pPr>
      <w:r>
        <w:rPr>
          <w:rFonts w:hint="eastAsia" w:ascii="宋体" w:hAnsi="宋体"/>
          <w:sz w:val="24"/>
        </w:rPr>
        <w:t>本公司承诺：</w:t>
      </w:r>
    </w:p>
    <w:p>
      <w:pPr>
        <w:spacing w:line="500" w:lineRule="exact"/>
        <w:ind w:firstLine="480" w:firstLineChars="200"/>
        <w:rPr>
          <w:rFonts w:ascii="宋体" w:hAnsi="宋体"/>
          <w:sz w:val="24"/>
        </w:rPr>
      </w:pPr>
      <w:r>
        <w:rPr>
          <w:rFonts w:hint="eastAsia" w:ascii="宋体" w:hAnsi="宋体"/>
          <w:sz w:val="24"/>
        </w:rPr>
        <w:t>一、不在企业诚信库、建筑市场信用管理平台和投标文件中提供虚假材料、信息。</w:t>
      </w:r>
    </w:p>
    <w:p>
      <w:pPr>
        <w:spacing w:line="500" w:lineRule="exact"/>
        <w:ind w:firstLine="480" w:firstLineChars="200"/>
        <w:rPr>
          <w:rFonts w:ascii="宋体" w:hAnsi="宋体"/>
          <w:sz w:val="24"/>
        </w:rPr>
      </w:pPr>
      <w:r>
        <w:rPr>
          <w:rFonts w:hint="eastAsia" w:ascii="宋体" w:hAnsi="宋体"/>
          <w:sz w:val="24"/>
        </w:rPr>
        <w:t>二、不与招标人（招标代理）或其他投标人串通投标。</w:t>
      </w:r>
    </w:p>
    <w:p>
      <w:pPr>
        <w:spacing w:line="500" w:lineRule="exact"/>
        <w:ind w:firstLine="480" w:firstLineChars="200"/>
        <w:rPr>
          <w:rFonts w:ascii="宋体" w:hAnsi="宋体"/>
          <w:sz w:val="24"/>
        </w:rPr>
      </w:pPr>
      <w:r>
        <w:rPr>
          <w:rFonts w:hint="eastAsia" w:ascii="宋体" w:hAnsi="宋体"/>
          <w:sz w:val="24"/>
        </w:rPr>
        <w:t>三、不向招标人（招标代理）或评标委员会成员行贿，以谋取中标。</w:t>
      </w:r>
    </w:p>
    <w:p>
      <w:pPr>
        <w:spacing w:line="500" w:lineRule="exact"/>
        <w:ind w:firstLine="480" w:firstLineChars="200"/>
        <w:rPr>
          <w:rFonts w:ascii="宋体" w:hAnsi="宋体"/>
          <w:sz w:val="24"/>
        </w:rPr>
      </w:pPr>
      <w:r>
        <w:rPr>
          <w:rFonts w:hint="eastAsia" w:ascii="宋体" w:hAnsi="宋体"/>
          <w:sz w:val="24"/>
        </w:rPr>
        <w:t>四、不以他人名义投标或者其他方式弄虚作假，骗取中标。</w:t>
      </w:r>
    </w:p>
    <w:p>
      <w:pPr>
        <w:spacing w:line="500" w:lineRule="exact"/>
        <w:ind w:firstLine="480" w:firstLineChars="200"/>
        <w:rPr>
          <w:rFonts w:ascii="宋体" w:hAnsi="宋体"/>
          <w:sz w:val="24"/>
        </w:rPr>
      </w:pPr>
      <w:r>
        <w:rPr>
          <w:rFonts w:hint="eastAsia" w:ascii="宋体" w:hAnsi="宋体"/>
          <w:sz w:val="24"/>
        </w:rPr>
        <w:t>五、中标后在招标文件规定的时间内依法与招标人签订合同。</w:t>
      </w:r>
    </w:p>
    <w:p>
      <w:pPr>
        <w:spacing w:line="500" w:lineRule="exact"/>
        <w:ind w:firstLine="480" w:firstLineChars="200"/>
        <w:rPr>
          <w:rFonts w:ascii="宋体" w:hAnsi="宋体"/>
          <w:sz w:val="24"/>
        </w:rPr>
      </w:pPr>
      <w:r>
        <w:rPr>
          <w:rFonts w:hint="eastAsia" w:ascii="宋体" w:hAnsi="宋体"/>
          <w:sz w:val="24"/>
        </w:rPr>
        <w:t>六、不转包、违法分包中标项目。</w:t>
      </w:r>
    </w:p>
    <w:p>
      <w:pPr>
        <w:spacing w:line="500" w:lineRule="exact"/>
        <w:ind w:firstLine="480" w:firstLineChars="200"/>
        <w:rPr>
          <w:rFonts w:ascii="宋体" w:hAnsi="宋体"/>
          <w:sz w:val="24"/>
        </w:rPr>
      </w:pPr>
      <w:r>
        <w:rPr>
          <w:rFonts w:hint="eastAsia" w:ascii="宋体" w:hAnsi="宋体"/>
          <w:sz w:val="24"/>
        </w:rPr>
        <w:t>七、不进行缺乏事实根据或者法律依据的投诉。</w:t>
      </w:r>
    </w:p>
    <w:p>
      <w:pPr>
        <w:spacing w:line="500" w:lineRule="exact"/>
        <w:ind w:firstLine="480" w:firstLineChars="200"/>
        <w:rPr>
          <w:rFonts w:ascii="宋体" w:hAnsi="宋体"/>
          <w:sz w:val="24"/>
        </w:rPr>
      </w:pPr>
      <w:r>
        <w:rPr>
          <w:rFonts w:hint="eastAsia" w:ascii="宋体" w:hAnsi="宋体"/>
          <w:sz w:val="24"/>
        </w:rPr>
        <w:t>八、本公司拟派往本工程的项目经理现阶段没有担任其他在建建设工程项目的项目经理。</w:t>
      </w:r>
    </w:p>
    <w:p>
      <w:pPr>
        <w:spacing w:line="500" w:lineRule="exact"/>
        <w:ind w:firstLine="480" w:firstLineChars="200"/>
        <w:rPr>
          <w:rFonts w:ascii="宋体" w:hAnsi="宋体"/>
          <w:sz w:val="24"/>
        </w:rPr>
      </w:pPr>
      <w:r>
        <w:rPr>
          <w:rFonts w:hint="eastAsia" w:ascii="宋体" w:hAnsi="宋体"/>
          <w:sz w:val="24"/>
        </w:rPr>
        <w:t>本公司一旦违反上述承诺，将无条件接受招标人、主管部门作出的取消中标资格、记入信用档案、不退还投标保证金等处理。</w:t>
      </w:r>
    </w:p>
    <w:p>
      <w:pPr>
        <w:spacing w:line="500" w:lineRule="exact"/>
        <w:ind w:firstLine="480" w:firstLineChars="200"/>
        <w:rPr>
          <w:rFonts w:ascii="宋体" w:hAnsi="宋体"/>
          <w:sz w:val="24"/>
        </w:rPr>
      </w:pPr>
    </w:p>
    <w:p>
      <w:pPr>
        <w:spacing w:line="480" w:lineRule="auto"/>
        <w:ind w:firstLine="424" w:firstLineChars="177"/>
        <w:rPr>
          <w:sz w:val="24"/>
        </w:rPr>
      </w:pPr>
      <w:r>
        <w:rPr>
          <w:rFonts w:hint="eastAsia"/>
          <w:sz w:val="24"/>
        </w:rPr>
        <w:t>投标人：(盖章)</w:t>
      </w:r>
    </w:p>
    <w:p>
      <w:pPr>
        <w:spacing w:line="480" w:lineRule="auto"/>
        <w:ind w:firstLine="424" w:firstLineChars="177"/>
        <w:rPr>
          <w:sz w:val="24"/>
        </w:rPr>
      </w:pPr>
      <w:r>
        <w:rPr>
          <w:rFonts w:hint="eastAsia"/>
          <w:sz w:val="24"/>
        </w:rPr>
        <w:t>法定代表人或其委托代理人：(签字或盖章)</w:t>
      </w:r>
    </w:p>
    <w:p>
      <w:pPr>
        <w:spacing w:line="400" w:lineRule="exact"/>
        <w:rPr>
          <w:szCs w:val="21"/>
        </w:rPr>
      </w:pPr>
    </w:p>
    <w:p>
      <w:pPr>
        <w:spacing w:line="440" w:lineRule="exact"/>
        <w:ind w:firstLine="5880" w:firstLineChars="2450"/>
        <w:rPr>
          <w:sz w:val="24"/>
        </w:rPr>
      </w:pPr>
      <w:r>
        <w:rPr>
          <w:rFonts w:hint="eastAsia"/>
          <w:sz w:val="24"/>
        </w:rPr>
        <w:t xml:space="preserve">2022年 </w:t>
      </w:r>
      <w:r>
        <w:rPr>
          <w:sz w:val="24"/>
        </w:rPr>
        <w:t xml:space="preserve"> </w:t>
      </w:r>
      <w:r>
        <w:rPr>
          <w:rFonts w:hint="eastAsia"/>
          <w:sz w:val="24"/>
        </w:rPr>
        <w:t xml:space="preserve">月 </w:t>
      </w:r>
      <w:r>
        <w:rPr>
          <w:sz w:val="24"/>
        </w:rPr>
        <w:t xml:space="preserve"> </w:t>
      </w:r>
      <w:r>
        <w:rPr>
          <w:rFonts w:hint="eastAsia"/>
          <w:sz w:val="24"/>
        </w:rPr>
        <w:t>日</w:t>
      </w:r>
    </w:p>
    <w:p>
      <w:pPr>
        <w:pStyle w:val="4"/>
        <w:rPr>
          <w:color w:val="000000"/>
        </w:rPr>
      </w:pPr>
      <w:r>
        <w:rPr>
          <w:rFonts w:hint="eastAsia"/>
          <w:color w:val="000000"/>
        </w:rPr>
        <w:t>九、现场勘探证明</w:t>
      </w:r>
    </w:p>
    <w:p>
      <w:pPr>
        <w:pStyle w:val="4"/>
        <w:rPr>
          <w:color w:val="000000"/>
        </w:rPr>
      </w:pPr>
    </w:p>
    <w:p>
      <w:pPr>
        <w:pStyle w:val="4"/>
        <w:rPr>
          <w:color w:val="000000"/>
        </w:rPr>
      </w:pPr>
    </w:p>
    <w:p>
      <w:pPr>
        <w:pStyle w:val="4"/>
        <w:rPr>
          <w:color w:val="000000"/>
        </w:rPr>
      </w:pPr>
    </w:p>
    <w:p>
      <w:pPr>
        <w:pStyle w:val="4"/>
        <w:rPr>
          <w:color w:val="000000"/>
        </w:rPr>
      </w:pPr>
    </w:p>
    <w:p>
      <w:pPr>
        <w:pStyle w:val="4"/>
        <w:rPr>
          <w:color w:val="000000"/>
        </w:rPr>
      </w:pPr>
      <w:r>
        <w:rPr>
          <w:rFonts w:hint="eastAsia"/>
          <w:color w:val="000000"/>
        </w:rPr>
        <w:t>十、其他材料</w:t>
      </w:r>
    </w:p>
    <w:p>
      <w:pPr>
        <w:pStyle w:val="36"/>
        <w:spacing w:before="0"/>
        <w:jc w:val="both"/>
        <w:outlineLvl w:val="0"/>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宋体e眠副浡渀.">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34</w:t>
    </w:r>
    <w:r>
      <w:rPr>
        <w:rStyle w:val="20"/>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39</w:t>
    </w:r>
    <w:r>
      <w:rPr>
        <w:rStyle w:val="20"/>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C3740"/>
    <w:multiLevelType w:val="multilevel"/>
    <w:tmpl w:val="3EEC3740"/>
    <w:lvl w:ilvl="0" w:tentative="0">
      <w:start w:val="1"/>
      <w:numFmt w:val="japaneseCounting"/>
      <w:lvlText w:val="（%1）"/>
      <w:lvlJc w:val="left"/>
      <w:pPr>
        <w:ind w:left="1035" w:hanging="10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578F02"/>
    <w:multiLevelType w:val="singleLevel"/>
    <w:tmpl w:val="58578F02"/>
    <w:lvl w:ilvl="0" w:tentative="0">
      <w:start w:val="1"/>
      <w:numFmt w:val="decimal"/>
      <w:suff w:val="nothing"/>
      <w:lvlText w:val="%1、"/>
      <w:lvlJc w:val="left"/>
      <w:rPr>
        <w:rFonts w:cs="Times New Roman"/>
      </w:rPr>
    </w:lvl>
  </w:abstractNum>
  <w:abstractNum w:abstractNumId="2">
    <w:nsid w:val="5858E57E"/>
    <w:multiLevelType w:val="singleLevel"/>
    <w:tmpl w:val="5858E57E"/>
    <w:lvl w:ilvl="0" w:tentative="0">
      <w:start w:val="2"/>
      <w:numFmt w:val="decimal"/>
      <w:suff w:val="nothing"/>
      <w:lvlText w:val="（%1）"/>
      <w:lvlJc w:val="left"/>
      <w:rPr>
        <w:rFonts w:cs="Times New Roman"/>
      </w:rPr>
    </w:lvl>
  </w:abstractNum>
  <w:abstractNum w:abstractNumId="3">
    <w:nsid w:val="587232BC"/>
    <w:multiLevelType w:val="singleLevel"/>
    <w:tmpl w:val="587232BC"/>
    <w:lvl w:ilvl="0" w:tentative="0">
      <w:start w:val="1"/>
      <w:numFmt w:val="decimal"/>
      <w:suff w:val="nothing"/>
      <w:lvlText w:val="%1."/>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ZDQ0ODk1MjE0ZWM4YzYxNzQwY2FmNDY3MjY0YzgifQ=="/>
  </w:docVars>
  <w:rsids>
    <w:rsidRoot w:val="446F6F73"/>
    <w:rsid w:val="0000036A"/>
    <w:rsid w:val="00006598"/>
    <w:rsid w:val="0001665A"/>
    <w:rsid w:val="0001781E"/>
    <w:rsid w:val="00020033"/>
    <w:rsid w:val="000207AC"/>
    <w:rsid w:val="00021F3C"/>
    <w:rsid w:val="00024AAD"/>
    <w:rsid w:val="00027190"/>
    <w:rsid w:val="00027A30"/>
    <w:rsid w:val="00030CE9"/>
    <w:rsid w:val="000330D7"/>
    <w:rsid w:val="000476F6"/>
    <w:rsid w:val="00047904"/>
    <w:rsid w:val="0006079C"/>
    <w:rsid w:val="000608C5"/>
    <w:rsid w:val="00061731"/>
    <w:rsid w:val="00062F71"/>
    <w:rsid w:val="00065AD3"/>
    <w:rsid w:val="00074989"/>
    <w:rsid w:val="000760C6"/>
    <w:rsid w:val="00083D29"/>
    <w:rsid w:val="00087CFC"/>
    <w:rsid w:val="0009519B"/>
    <w:rsid w:val="00095621"/>
    <w:rsid w:val="000A117E"/>
    <w:rsid w:val="000A3ADF"/>
    <w:rsid w:val="000A4FE5"/>
    <w:rsid w:val="000B2E59"/>
    <w:rsid w:val="000B5EAF"/>
    <w:rsid w:val="000B7D43"/>
    <w:rsid w:val="000C06A0"/>
    <w:rsid w:val="000C1B43"/>
    <w:rsid w:val="000D1170"/>
    <w:rsid w:val="000F3721"/>
    <w:rsid w:val="000F6522"/>
    <w:rsid w:val="000F726A"/>
    <w:rsid w:val="00101389"/>
    <w:rsid w:val="0010285A"/>
    <w:rsid w:val="001048D7"/>
    <w:rsid w:val="00112A0D"/>
    <w:rsid w:val="00114458"/>
    <w:rsid w:val="001204BD"/>
    <w:rsid w:val="00122321"/>
    <w:rsid w:val="001228A6"/>
    <w:rsid w:val="00123BBC"/>
    <w:rsid w:val="0012651F"/>
    <w:rsid w:val="00133F65"/>
    <w:rsid w:val="00136B80"/>
    <w:rsid w:val="0014760D"/>
    <w:rsid w:val="00153AE8"/>
    <w:rsid w:val="0016123B"/>
    <w:rsid w:val="0016357D"/>
    <w:rsid w:val="0017661E"/>
    <w:rsid w:val="00176777"/>
    <w:rsid w:val="001802F4"/>
    <w:rsid w:val="00180453"/>
    <w:rsid w:val="001865A3"/>
    <w:rsid w:val="0019001E"/>
    <w:rsid w:val="001A7F92"/>
    <w:rsid w:val="001C0805"/>
    <w:rsid w:val="001C2811"/>
    <w:rsid w:val="001C3D2E"/>
    <w:rsid w:val="001C4072"/>
    <w:rsid w:val="001D044D"/>
    <w:rsid w:val="00201F82"/>
    <w:rsid w:val="00204946"/>
    <w:rsid w:val="0020525F"/>
    <w:rsid w:val="00206014"/>
    <w:rsid w:val="0021771C"/>
    <w:rsid w:val="00225A3E"/>
    <w:rsid w:val="00226033"/>
    <w:rsid w:val="00233F41"/>
    <w:rsid w:val="002436CA"/>
    <w:rsid w:val="0025415D"/>
    <w:rsid w:val="002568CE"/>
    <w:rsid w:val="00256B8B"/>
    <w:rsid w:val="00257F31"/>
    <w:rsid w:val="00261F91"/>
    <w:rsid w:val="00264BAB"/>
    <w:rsid w:val="00265717"/>
    <w:rsid w:val="00272873"/>
    <w:rsid w:val="002819D5"/>
    <w:rsid w:val="00282CC6"/>
    <w:rsid w:val="00285BE9"/>
    <w:rsid w:val="00290425"/>
    <w:rsid w:val="0029196C"/>
    <w:rsid w:val="002A0AC0"/>
    <w:rsid w:val="002A1FEC"/>
    <w:rsid w:val="002A39E5"/>
    <w:rsid w:val="002B17D0"/>
    <w:rsid w:val="002C1D10"/>
    <w:rsid w:val="002C3F00"/>
    <w:rsid w:val="002C4317"/>
    <w:rsid w:val="002D24B5"/>
    <w:rsid w:val="002D3002"/>
    <w:rsid w:val="002D32A8"/>
    <w:rsid w:val="002E6DE0"/>
    <w:rsid w:val="002F1116"/>
    <w:rsid w:val="002F1123"/>
    <w:rsid w:val="002F15FB"/>
    <w:rsid w:val="002F3B9E"/>
    <w:rsid w:val="002F4B09"/>
    <w:rsid w:val="002F7B50"/>
    <w:rsid w:val="00302497"/>
    <w:rsid w:val="00305037"/>
    <w:rsid w:val="00307171"/>
    <w:rsid w:val="00312ED5"/>
    <w:rsid w:val="00316C8E"/>
    <w:rsid w:val="00321406"/>
    <w:rsid w:val="00321495"/>
    <w:rsid w:val="00332DE1"/>
    <w:rsid w:val="00334E78"/>
    <w:rsid w:val="0034288C"/>
    <w:rsid w:val="003450C0"/>
    <w:rsid w:val="00351379"/>
    <w:rsid w:val="00351B56"/>
    <w:rsid w:val="00356265"/>
    <w:rsid w:val="00356680"/>
    <w:rsid w:val="00360D38"/>
    <w:rsid w:val="003621AA"/>
    <w:rsid w:val="00370C7B"/>
    <w:rsid w:val="00373798"/>
    <w:rsid w:val="00374C2F"/>
    <w:rsid w:val="00377750"/>
    <w:rsid w:val="00377752"/>
    <w:rsid w:val="003807B6"/>
    <w:rsid w:val="003874A2"/>
    <w:rsid w:val="00391822"/>
    <w:rsid w:val="0039333D"/>
    <w:rsid w:val="003936A1"/>
    <w:rsid w:val="00394E41"/>
    <w:rsid w:val="003A2DFC"/>
    <w:rsid w:val="003A3239"/>
    <w:rsid w:val="003A3EE3"/>
    <w:rsid w:val="003A7724"/>
    <w:rsid w:val="003B3FE3"/>
    <w:rsid w:val="003B4943"/>
    <w:rsid w:val="003B759F"/>
    <w:rsid w:val="003C1923"/>
    <w:rsid w:val="003C2FCE"/>
    <w:rsid w:val="003C5142"/>
    <w:rsid w:val="003D3D38"/>
    <w:rsid w:val="003D704A"/>
    <w:rsid w:val="003E1B26"/>
    <w:rsid w:val="003E21B0"/>
    <w:rsid w:val="003F017D"/>
    <w:rsid w:val="003F0B1E"/>
    <w:rsid w:val="003F5887"/>
    <w:rsid w:val="003F7FAC"/>
    <w:rsid w:val="00400281"/>
    <w:rsid w:val="00400D1B"/>
    <w:rsid w:val="00401300"/>
    <w:rsid w:val="00406F6E"/>
    <w:rsid w:val="004129B0"/>
    <w:rsid w:val="0044149D"/>
    <w:rsid w:val="00447878"/>
    <w:rsid w:val="00467D07"/>
    <w:rsid w:val="0047599F"/>
    <w:rsid w:val="00484ACD"/>
    <w:rsid w:val="004916FA"/>
    <w:rsid w:val="00495C8D"/>
    <w:rsid w:val="004A6BD5"/>
    <w:rsid w:val="004B253B"/>
    <w:rsid w:val="004B255D"/>
    <w:rsid w:val="004B33FF"/>
    <w:rsid w:val="004B37C1"/>
    <w:rsid w:val="004B4B2A"/>
    <w:rsid w:val="004B62EC"/>
    <w:rsid w:val="004B699F"/>
    <w:rsid w:val="004C6AB1"/>
    <w:rsid w:val="004D253F"/>
    <w:rsid w:val="004D26B7"/>
    <w:rsid w:val="004D291B"/>
    <w:rsid w:val="004D31AF"/>
    <w:rsid w:val="004E34E6"/>
    <w:rsid w:val="004E6D73"/>
    <w:rsid w:val="004F3D09"/>
    <w:rsid w:val="0050076D"/>
    <w:rsid w:val="00503BDC"/>
    <w:rsid w:val="005225F1"/>
    <w:rsid w:val="00523F10"/>
    <w:rsid w:val="0052414C"/>
    <w:rsid w:val="00533E6D"/>
    <w:rsid w:val="00534C17"/>
    <w:rsid w:val="00541852"/>
    <w:rsid w:val="00544607"/>
    <w:rsid w:val="00546B3D"/>
    <w:rsid w:val="005512DB"/>
    <w:rsid w:val="00551DFD"/>
    <w:rsid w:val="0056297D"/>
    <w:rsid w:val="00563DF9"/>
    <w:rsid w:val="00570F1C"/>
    <w:rsid w:val="00571616"/>
    <w:rsid w:val="00571B25"/>
    <w:rsid w:val="00574A80"/>
    <w:rsid w:val="00574B05"/>
    <w:rsid w:val="0057527A"/>
    <w:rsid w:val="005757C2"/>
    <w:rsid w:val="005769C2"/>
    <w:rsid w:val="00577350"/>
    <w:rsid w:val="005842C6"/>
    <w:rsid w:val="005862B4"/>
    <w:rsid w:val="00586618"/>
    <w:rsid w:val="00594DE9"/>
    <w:rsid w:val="005952E4"/>
    <w:rsid w:val="005A145B"/>
    <w:rsid w:val="005A2F12"/>
    <w:rsid w:val="005A395A"/>
    <w:rsid w:val="005A3DBD"/>
    <w:rsid w:val="005A7C5E"/>
    <w:rsid w:val="005B0BC5"/>
    <w:rsid w:val="005B64CD"/>
    <w:rsid w:val="005C4056"/>
    <w:rsid w:val="005C4123"/>
    <w:rsid w:val="005C57E8"/>
    <w:rsid w:val="005C7CED"/>
    <w:rsid w:val="005D50D2"/>
    <w:rsid w:val="005D5845"/>
    <w:rsid w:val="005E0EAE"/>
    <w:rsid w:val="005E6B1E"/>
    <w:rsid w:val="006022F1"/>
    <w:rsid w:val="00602FF5"/>
    <w:rsid w:val="00605856"/>
    <w:rsid w:val="00607098"/>
    <w:rsid w:val="006075BD"/>
    <w:rsid w:val="00625497"/>
    <w:rsid w:val="0063155F"/>
    <w:rsid w:val="00631A51"/>
    <w:rsid w:val="00633C72"/>
    <w:rsid w:val="006458CC"/>
    <w:rsid w:val="0064693D"/>
    <w:rsid w:val="00654614"/>
    <w:rsid w:val="00654C66"/>
    <w:rsid w:val="00654CE9"/>
    <w:rsid w:val="0065568B"/>
    <w:rsid w:val="00660DBE"/>
    <w:rsid w:val="00673C2E"/>
    <w:rsid w:val="006746FF"/>
    <w:rsid w:val="006755B4"/>
    <w:rsid w:val="00677471"/>
    <w:rsid w:val="00680D9C"/>
    <w:rsid w:val="006904A7"/>
    <w:rsid w:val="00692DD7"/>
    <w:rsid w:val="0069525A"/>
    <w:rsid w:val="0069583C"/>
    <w:rsid w:val="006B127A"/>
    <w:rsid w:val="006B3D57"/>
    <w:rsid w:val="006B4B9B"/>
    <w:rsid w:val="006B7700"/>
    <w:rsid w:val="006C367B"/>
    <w:rsid w:val="006C44B1"/>
    <w:rsid w:val="006C6622"/>
    <w:rsid w:val="006C67A3"/>
    <w:rsid w:val="006D0FE9"/>
    <w:rsid w:val="006D1B7E"/>
    <w:rsid w:val="006D5098"/>
    <w:rsid w:val="006D5D9F"/>
    <w:rsid w:val="006E26C9"/>
    <w:rsid w:val="006E791C"/>
    <w:rsid w:val="006F166F"/>
    <w:rsid w:val="006F4F5F"/>
    <w:rsid w:val="00702516"/>
    <w:rsid w:val="00707FB2"/>
    <w:rsid w:val="0071264A"/>
    <w:rsid w:val="007134EE"/>
    <w:rsid w:val="007178EE"/>
    <w:rsid w:val="00721BD8"/>
    <w:rsid w:val="00721D1E"/>
    <w:rsid w:val="007362BB"/>
    <w:rsid w:val="007444EC"/>
    <w:rsid w:val="007449E1"/>
    <w:rsid w:val="00755061"/>
    <w:rsid w:val="00761A3D"/>
    <w:rsid w:val="007673AC"/>
    <w:rsid w:val="007709E3"/>
    <w:rsid w:val="00772BDC"/>
    <w:rsid w:val="00776707"/>
    <w:rsid w:val="007829E5"/>
    <w:rsid w:val="00785331"/>
    <w:rsid w:val="00790B57"/>
    <w:rsid w:val="007964FA"/>
    <w:rsid w:val="00797DA8"/>
    <w:rsid w:val="007B252E"/>
    <w:rsid w:val="007B33F5"/>
    <w:rsid w:val="007C6D29"/>
    <w:rsid w:val="007D0515"/>
    <w:rsid w:val="007D06F5"/>
    <w:rsid w:val="007D7312"/>
    <w:rsid w:val="007E2ADF"/>
    <w:rsid w:val="007F1298"/>
    <w:rsid w:val="007F3043"/>
    <w:rsid w:val="008022B3"/>
    <w:rsid w:val="008024A7"/>
    <w:rsid w:val="0081268D"/>
    <w:rsid w:val="00812FAE"/>
    <w:rsid w:val="00820DDA"/>
    <w:rsid w:val="00822F24"/>
    <w:rsid w:val="008257D6"/>
    <w:rsid w:val="00825C2F"/>
    <w:rsid w:val="00826E2A"/>
    <w:rsid w:val="008311D2"/>
    <w:rsid w:val="00832C27"/>
    <w:rsid w:val="008357CB"/>
    <w:rsid w:val="0084394F"/>
    <w:rsid w:val="008453C5"/>
    <w:rsid w:val="008553FB"/>
    <w:rsid w:val="00857CC8"/>
    <w:rsid w:val="00860FD2"/>
    <w:rsid w:val="00864806"/>
    <w:rsid w:val="00865EA7"/>
    <w:rsid w:val="0088514F"/>
    <w:rsid w:val="0088606E"/>
    <w:rsid w:val="0088710D"/>
    <w:rsid w:val="00890693"/>
    <w:rsid w:val="0089337B"/>
    <w:rsid w:val="0089434A"/>
    <w:rsid w:val="00896865"/>
    <w:rsid w:val="008B07FC"/>
    <w:rsid w:val="008B47B4"/>
    <w:rsid w:val="008C389E"/>
    <w:rsid w:val="008C5F6A"/>
    <w:rsid w:val="008C604E"/>
    <w:rsid w:val="008D143B"/>
    <w:rsid w:val="008E0CB6"/>
    <w:rsid w:val="008E4B94"/>
    <w:rsid w:val="008E5237"/>
    <w:rsid w:val="008F07A2"/>
    <w:rsid w:val="008F422D"/>
    <w:rsid w:val="008F6F20"/>
    <w:rsid w:val="008F71D9"/>
    <w:rsid w:val="00901F55"/>
    <w:rsid w:val="009048D3"/>
    <w:rsid w:val="00910902"/>
    <w:rsid w:val="00915380"/>
    <w:rsid w:val="009168CD"/>
    <w:rsid w:val="0092109A"/>
    <w:rsid w:val="009250A7"/>
    <w:rsid w:val="00926F19"/>
    <w:rsid w:val="00930D23"/>
    <w:rsid w:val="00951D63"/>
    <w:rsid w:val="00956309"/>
    <w:rsid w:val="00961325"/>
    <w:rsid w:val="00964D6B"/>
    <w:rsid w:val="00964E1F"/>
    <w:rsid w:val="00966140"/>
    <w:rsid w:val="00970AF2"/>
    <w:rsid w:val="00971CBB"/>
    <w:rsid w:val="00975F0C"/>
    <w:rsid w:val="009764D0"/>
    <w:rsid w:val="00982543"/>
    <w:rsid w:val="00985153"/>
    <w:rsid w:val="00987307"/>
    <w:rsid w:val="00987D0E"/>
    <w:rsid w:val="009938D8"/>
    <w:rsid w:val="009A3A08"/>
    <w:rsid w:val="009A4AA6"/>
    <w:rsid w:val="009A7B94"/>
    <w:rsid w:val="009B17D2"/>
    <w:rsid w:val="009B3680"/>
    <w:rsid w:val="009C4925"/>
    <w:rsid w:val="009C5027"/>
    <w:rsid w:val="009D664E"/>
    <w:rsid w:val="009E3821"/>
    <w:rsid w:val="009F001D"/>
    <w:rsid w:val="009F4EF8"/>
    <w:rsid w:val="009F7218"/>
    <w:rsid w:val="00A10F1D"/>
    <w:rsid w:val="00A14B90"/>
    <w:rsid w:val="00A15905"/>
    <w:rsid w:val="00A226DA"/>
    <w:rsid w:val="00A22C4C"/>
    <w:rsid w:val="00A23E8C"/>
    <w:rsid w:val="00A25272"/>
    <w:rsid w:val="00A26E68"/>
    <w:rsid w:val="00A34EAB"/>
    <w:rsid w:val="00A364A0"/>
    <w:rsid w:val="00A408EB"/>
    <w:rsid w:val="00A40E15"/>
    <w:rsid w:val="00A4131B"/>
    <w:rsid w:val="00A4148E"/>
    <w:rsid w:val="00A419FA"/>
    <w:rsid w:val="00A43D41"/>
    <w:rsid w:val="00A46D69"/>
    <w:rsid w:val="00A5466E"/>
    <w:rsid w:val="00A567AE"/>
    <w:rsid w:val="00A62021"/>
    <w:rsid w:val="00A6328A"/>
    <w:rsid w:val="00A63885"/>
    <w:rsid w:val="00A663E8"/>
    <w:rsid w:val="00A71E82"/>
    <w:rsid w:val="00A808E7"/>
    <w:rsid w:val="00A84C2D"/>
    <w:rsid w:val="00A8507A"/>
    <w:rsid w:val="00A8603C"/>
    <w:rsid w:val="00AA1D81"/>
    <w:rsid w:val="00AA4EE0"/>
    <w:rsid w:val="00AA758F"/>
    <w:rsid w:val="00AB19BE"/>
    <w:rsid w:val="00AB1D89"/>
    <w:rsid w:val="00AB5A32"/>
    <w:rsid w:val="00AC6AB0"/>
    <w:rsid w:val="00AC7008"/>
    <w:rsid w:val="00AD57E0"/>
    <w:rsid w:val="00AD701C"/>
    <w:rsid w:val="00AE1221"/>
    <w:rsid w:val="00AE7794"/>
    <w:rsid w:val="00AF3C8F"/>
    <w:rsid w:val="00B00414"/>
    <w:rsid w:val="00B06A87"/>
    <w:rsid w:val="00B07F5C"/>
    <w:rsid w:val="00B16D42"/>
    <w:rsid w:val="00B207DA"/>
    <w:rsid w:val="00B264FC"/>
    <w:rsid w:val="00B362E8"/>
    <w:rsid w:val="00B403BD"/>
    <w:rsid w:val="00B4165A"/>
    <w:rsid w:val="00B42367"/>
    <w:rsid w:val="00B62732"/>
    <w:rsid w:val="00B77DE7"/>
    <w:rsid w:val="00B8093E"/>
    <w:rsid w:val="00B84480"/>
    <w:rsid w:val="00BA2A55"/>
    <w:rsid w:val="00BA4215"/>
    <w:rsid w:val="00BC588F"/>
    <w:rsid w:val="00BD5B2D"/>
    <w:rsid w:val="00BD5EEC"/>
    <w:rsid w:val="00BD622A"/>
    <w:rsid w:val="00BE0417"/>
    <w:rsid w:val="00BF57ED"/>
    <w:rsid w:val="00C02115"/>
    <w:rsid w:val="00C05E95"/>
    <w:rsid w:val="00C07ADD"/>
    <w:rsid w:val="00C16AAB"/>
    <w:rsid w:val="00C21125"/>
    <w:rsid w:val="00C23097"/>
    <w:rsid w:val="00C33A46"/>
    <w:rsid w:val="00C36F3F"/>
    <w:rsid w:val="00C41179"/>
    <w:rsid w:val="00C413ED"/>
    <w:rsid w:val="00C53BD1"/>
    <w:rsid w:val="00C5733D"/>
    <w:rsid w:val="00C57812"/>
    <w:rsid w:val="00C73E34"/>
    <w:rsid w:val="00C75464"/>
    <w:rsid w:val="00C812A3"/>
    <w:rsid w:val="00C82B11"/>
    <w:rsid w:val="00C84EA3"/>
    <w:rsid w:val="00C96F8C"/>
    <w:rsid w:val="00CA0A6C"/>
    <w:rsid w:val="00CA1E14"/>
    <w:rsid w:val="00CA41B6"/>
    <w:rsid w:val="00CA573C"/>
    <w:rsid w:val="00CB21F9"/>
    <w:rsid w:val="00CB2A12"/>
    <w:rsid w:val="00CB5B6F"/>
    <w:rsid w:val="00CC129C"/>
    <w:rsid w:val="00CC2BFC"/>
    <w:rsid w:val="00CC3783"/>
    <w:rsid w:val="00CC432E"/>
    <w:rsid w:val="00CC7B20"/>
    <w:rsid w:val="00CD0CE6"/>
    <w:rsid w:val="00CD150B"/>
    <w:rsid w:val="00CD2819"/>
    <w:rsid w:val="00CD461F"/>
    <w:rsid w:val="00CD539A"/>
    <w:rsid w:val="00CE1738"/>
    <w:rsid w:val="00CE6B00"/>
    <w:rsid w:val="00CE6EE1"/>
    <w:rsid w:val="00CE77AA"/>
    <w:rsid w:val="00CF0910"/>
    <w:rsid w:val="00CF1B9F"/>
    <w:rsid w:val="00CF3365"/>
    <w:rsid w:val="00D0184D"/>
    <w:rsid w:val="00D054C2"/>
    <w:rsid w:val="00D10891"/>
    <w:rsid w:val="00D10E43"/>
    <w:rsid w:val="00D21152"/>
    <w:rsid w:val="00D245E7"/>
    <w:rsid w:val="00D25D0B"/>
    <w:rsid w:val="00D33801"/>
    <w:rsid w:val="00D35706"/>
    <w:rsid w:val="00D412D0"/>
    <w:rsid w:val="00D42ED5"/>
    <w:rsid w:val="00D52A63"/>
    <w:rsid w:val="00D629BE"/>
    <w:rsid w:val="00D63741"/>
    <w:rsid w:val="00D81D2C"/>
    <w:rsid w:val="00D971E9"/>
    <w:rsid w:val="00DA0123"/>
    <w:rsid w:val="00DA51D9"/>
    <w:rsid w:val="00DB49CB"/>
    <w:rsid w:val="00DC5A8C"/>
    <w:rsid w:val="00DE7E7D"/>
    <w:rsid w:val="00DF0B0A"/>
    <w:rsid w:val="00DF1617"/>
    <w:rsid w:val="00DF4442"/>
    <w:rsid w:val="00DF455F"/>
    <w:rsid w:val="00E220C7"/>
    <w:rsid w:val="00E2425A"/>
    <w:rsid w:val="00E276D5"/>
    <w:rsid w:val="00E33988"/>
    <w:rsid w:val="00E3571E"/>
    <w:rsid w:val="00E36007"/>
    <w:rsid w:val="00E4017E"/>
    <w:rsid w:val="00E40502"/>
    <w:rsid w:val="00E40B7A"/>
    <w:rsid w:val="00E44AE2"/>
    <w:rsid w:val="00E47F34"/>
    <w:rsid w:val="00E637AB"/>
    <w:rsid w:val="00E739DC"/>
    <w:rsid w:val="00E75749"/>
    <w:rsid w:val="00E83390"/>
    <w:rsid w:val="00E84169"/>
    <w:rsid w:val="00E8487A"/>
    <w:rsid w:val="00E96198"/>
    <w:rsid w:val="00EA003F"/>
    <w:rsid w:val="00EA1823"/>
    <w:rsid w:val="00EA4345"/>
    <w:rsid w:val="00EA604E"/>
    <w:rsid w:val="00EA710D"/>
    <w:rsid w:val="00EB3DF6"/>
    <w:rsid w:val="00EB42EF"/>
    <w:rsid w:val="00EB7853"/>
    <w:rsid w:val="00EC282C"/>
    <w:rsid w:val="00EC655D"/>
    <w:rsid w:val="00ED066C"/>
    <w:rsid w:val="00ED28CC"/>
    <w:rsid w:val="00ED34AE"/>
    <w:rsid w:val="00EE0A06"/>
    <w:rsid w:val="00EF0702"/>
    <w:rsid w:val="00EF0B9A"/>
    <w:rsid w:val="00EF6C13"/>
    <w:rsid w:val="00F04F1D"/>
    <w:rsid w:val="00F10605"/>
    <w:rsid w:val="00F12E9E"/>
    <w:rsid w:val="00F2634F"/>
    <w:rsid w:val="00F4159C"/>
    <w:rsid w:val="00F51673"/>
    <w:rsid w:val="00F5585F"/>
    <w:rsid w:val="00F63442"/>
    <w:rsid w:val="00F75A5A"/>
    <w:rsid w:val="00F76AF4"/>
    <w:rsid w:val="00F82711"/>
    <w:rsid w:val="00F83D05"/>
    <w:rsid w:val="00F84A38"/>
    <w:rsid w:val="00F86D9F"/>
    <w:rsid w:val="00F92D50"/>
    <w:rsid w:val="00F92F6F"/>
    <w:rsid w:val="00F94C5E"/>
    <w:rsid w:val="00F979C5"/>
    <w:rsid w:val="00F97D03"/>
    <w:rsid w:val="00FA2081"/>
    <w:rsid w:val="00FA2363"/>
    <w:rsid w:val="00FA6CA3"/>
    <w:rsid w:val="00FB59E7"/>
    <w:rsid w:val="00FB7E3B"/>
    <w:rsid w:val="00FC60B6"/>
    <w:rsid w:val="00FD2FF5"/>
    <w:rsid w:val="00FD61A2"/>
    <w:rsid w:val="00FE31B9"/>
    <w:rsid w:val="00FE3979"/>
    <w:rsid w:val="00FE49C9"/>
    <w:rsid w:val="00FF521B"/>
    <w:rsid w:val="00FF61C8"/>
    <w:rsid w:val="010337E8"/>
    <w:rsid w:val="010E46DA"/>
    <w:rsid w:val="014577FB"/>
    <w:rsid w:val="014B4E57"/>
    <w:rsid w:val="014C344B"/>
    <w:rsid w:val="015379B7"/>
    <w:rsid w:val="016E6EDC"/>
    <w:rsid w:val="01764982"/>
    <w:rsid w:val="017723AF"/>
    <w:rsid w:val="01AF679A"/>
    <w:rsid w:val="01C5097C"/>
    <w:rsid w:val="01D34F77"/>
    <w:rsid w:val="01D451AE"/>
    <w:rsid w:val="01E00FE0"/>
    <w:rsid w:val="01E30102"/>
    <w:rsid w:val="01F00C43"/>
    <w:rsid w:val="01F614AC"/>
    <w:rsid w:val="01F764D3"/>
    <w:rsid w:val="02054C4A"/>
    <w:rsid w:val="02155AE1"/>
    <w:rsid w:val="022B5A88"/>
    <w:rsid w:val="023D2F6C"/>
    <w:rsid w:val="0250623D"/>
    <w:rsid w:val="02544A7D"/>
    <w:rsid w:val="025E145E"/>
    <w:rsid w:val="02882158"/>
    <w:rsid w:val="0289226D"/>
    <w:rsid w:val="02905E63"/>
    <w:rsid w:val="02952452"/>
    <w:rsid w:val="02A03EC8"/>
    <w:rsid w:val="02A96B2C"/>
    <w:rsid w:val="02F16A4E"/>
    <w:rsid w:val="03066456"/>
    <w:rsid w:val="033E158A"/>
    <w:rsid w:val="033E7817"/>
    <w:rsid w:val="035F48B0"/>
    <w:rsid w:val="03613018"/>
    <w:rsid w:val="038A3960"/>
    <w:rsid w:val="038C3DBF"/>
    <w:rsid w:val="03984B39"/>
    <w:rsid w:val="03A10B3E"/>
    <w:rsid w:val="03B857B1"/>
    <w:rsid w:val="03E71972"/>
    <w:rsid w:val="03EC0C8A"/>
    <w:rsid w:val="03F55B11"/>
    <w:rsid w:val="04092651"/>
    <w:rsid w:val="04244465"/>
    <w:rsid w:val="04270D95"/>
    <w:rsid w:val="04405BD2"/>
    <w:rsid w:val="047662E2"/>
    <w:rsid w:val="047A30D4"/>
    <w:rsid w:val="04991307"/>
    <w:rsid w:val="04BE0DA1"/>
    <w:rsid w:val="04C731EB"/>
    <w:rsid w:val="04E10F1F"/>
    <w:rsid w:val="04E62DD8"/>
    <w:rsid w:val="05157209"/>
    <w:rsid w:val="051905E9"/>
    <w:rsid w:val="052B6704"/>
    <w:rsid w:val="052E4A18"/>
    <w:rsid w:val="0558245B"/>
    <w:rsid w:val="05665589"/>
    <w:rsid w:val="057905CB"/>
    <w:rsid w:val="057A6DDD"/>
    <w:rsid w:val="058D4CE2"/>
    <w:rsid w:val="05A17E44"/>
    <w:rsid w:val="05B21504"/>
    <w:rsid w:val="05E14510"/>
    <w:rsid w:val="05E32A68"/>
    <w:rsid w:val="06076244"/>
    <w:rsid w:val="06090FD9"/>
    <w:rsid w:val="060D2707"/>
    <w:rsid w:val="060E41DC"/>
    <w:rsid w:val="060F0DF9"/>
    <w:rsid w:val="06222960"/>
    <w:rsid w:val="06302494"/>
    <w:rsid w:val="06425E9A"/>
    <w:rsid w:val="064C75F3"/>
    <w:rsid w:val="06724BB7"/>
    <w:rsid w:val="06775941"/>
    <w:rsid w:val="06994096"/>
    <w:rsid w:val="069B7D25"/>
    <w:rsid w:val="06A92430"/>
    <w:rsid w:val="06F0659F"/>
    <w:rsid w:val="06F06710"/>
    <w:rsid w:val="070172DE"/>
    <w:rsid w:val="0734330C"/>
    <w:rsid w:val="075A75A7"/>
    <w:rsid w:val="076945BB"/>
    <w:rsid w:val="07741DE1"/>
    <w:rsid w:val="079E2671"/>
    <w:rsid w:val="07A2157A"/>
    <w:rsid w:val="07B90289"/>
    <w:rsid w:val="07C80397"/>
    <w:rsid w:val="07D064D3"/>
    <w:rsid w:val="080009B9"/>
    <w:rsid w:val="08093DDE"/>
    <w:rsid w:val="080B6BFB"/>
    <w:rsid w:val="080D344B"/>
    <w:rsid w:val="080E6FDB"/>
    <w:rsid w:val="081C10CF"/>
    <w:rsid w:val="081C7983"/>
    <w:rsid w:val="081F1FAC"/>
    <w:rsid w:val="08AC3E15"/>
    <w:rsid w:val="08C52D1F"/>
    <w:rsid w:val="08D56624"/>
    <w:rsid w:val="08E06F2B"/>
    <w:rsid w:val="08F15C13"/>
    <w:rsid w:val="090018AD"/>
    <w:rsid w:val="090719E8"/>
    <w:rsid w:val="091657B0"/>
    <w:rsid w:val="0926428A"/>
    <w:rsid w:val="092C0C65"/>
    <w:rsid w:val="093774D6"/>
    <w:rsid w:val="094301E5"/>
    <w:rsid w:val="0974627A"/>
    <w:rsid w:val="09AA0B4C"/>
    <w:rsid w:val="09B82E75"/>
    <w:rsid w:val="09C94FE3"/>
    <w:rsid w:val="09DE26B4"/>
    <w:rsid w:val="09F44806"/>
    <w:rsid w:val="0A14361B"/>
    <w:rsid w:val="0A396F9B"/>
    <w:rsid w:val="0A516EC4"/>
    <w:rsid w:val="0A670967"/>
    <w:rsid w:val="0A6A3854"/>
    <w:rsid w:val="0A802215"/>
    <w:rsid w:val="0AB04CB6"/>
    <w:rsid w:val="0AB97EC8"/>
    <w:rsid w:val="0AC770BB"/>
    <w:rsid w:val="0ADA483A"/>
    <w:rsid w:val="0ADD096A"/>
    <w:rsid w:val="0AE63489"/>
    <w:rsid w:val="0AFB6903"/>
    <w:rsid w:val="0B1C201D"/>
    <w:rsid w:val="0B1E6B0F"/>
    <w:rsid w:val="0B232E6E"/>
    <w:rsid w:val="0B2536F4"/>
    <w:rsid w:val="0B4D592E"/>
    <w:rsid w:val="0B545624"/>
    <w:rsid w:val="0B6658B6"/>
    <w:rsid w:val="0B676D53"/>
    <w:rsid w:val="0B8E0BF1"/>
    <w:rsid w:val="0BA1268D"/>
    <w:rsid w:val="0BCC0CE0"/>
    <w:rsid w:val="0BD2356C"/>
    <w:rsid w:val="0BE04EDE"/>
    <w:rsid w:val="0BEA724F"/>
    <w:rsid w:val="0BEB52D5"/>
    <w:rsid w:val="0BF40BC7"/>
    <w:rsid w:val="0BF43B92"/>
    <w:rsid w:val="0C0671D3"/>
    <w:rsid w:val="0C1D6E9F"/>
    <w:rsid w:val="0C3060D9"/>
    <w:rsid w:val="0C78746C"/>
    <w:rsid w:val="0C890EA5"/>
    <w:rsid w:val="0C8B68CA"/>
    <w:rsid w:val="0C9116FE"/>
    <w:rsid w:val="0CB21A4C"/>
    <w:rsid w:val="0CC43322"/>
    <w:rsid w:val="0CF1370F"/>
    <w:rsid w:val="0D216D73"/>
    <w:rsid w:val="0D2D6BAC"/>
    <w:rsid w:val="0D42272B"/>
    <w:rsid w:val="0D731D3C"/>
    <w:rsid w:val="0DF13432"/>
    <w:rsid w:val="0DF21A80"/>
    <w:rsid w:val="0E0B033E"/>
    <w:rsid w:val="0E0C2CBF"/>
    <w:rsid w:val="0E254A5A"/>
    <w:rsid w:val="0E577B14"/>
    <w:rsid w:val="0E803B6C"/>
    <w:rsid w:val="0EA74205"/>
    <w:rsid w:val="0EB81479"/>
    <w:rsid w:val="0EEE7C89"/>
    <w:rsid w:val="0F133F24"/>
    <w:rsid w:val="0F135A3C"/>
    <w:rsid w:val="0F136D08"/>
    <w:rsid w:val="0F1A13DA"/>
    <w:rsid w:val="0F1A28BC"/>
    <w:rsid w:val="0F1A2AEE"/>
    <w:rsid w:val="0F2227FE"/>
    <w:rsid w:val="0F32672C"/>
    <w:rsid w:val="0F41770C"/>
    <w:rsid w:val="0F4725AF"/>
    <w:rsid w:val="0F552DBC"/>
    <w:rsid w:val="0F761CA8"/>
    <w:rsid w:val="0F80106B"/>
    <w:rsid w:val="0F8A7010"/>
    <w:rsid w:val="0FA82709"/>
    <w:rsid w:val="0FC61D0B"/>
    <w:rsid w:val="0FE648D0"/>
    <w:rsid w:val="0FFE1C9B"/>
    <w:rsid w:val="1006731E"/>
    <w:rsid w:val="100976E6"/>
    <w:rsid w:val="101A64DB"/>
    <w:rsid w:val="101D7F0A"/>
    <w:rsid w:val="10263FF0"/>
    <w:rsid w:val="104C0AEB"/>
    <w:rsid w:val="10513F0F"/>
    <w:rsid w:val="105969FC"/>
    <w:rsid w:val="10683E04"/>
    <w:rsid w:val="108E38CA"/>
    <w:rsid w:val="109423C7"/>
    <w:rsid w:val="109D43A5"/>
    <w:rsid w:val="10B05DE1"/>
    <w:rsid w:val="10D5622C"/>
    <w:rsid w:val="10F45325"/>
    <w:rsid w:val="10F5366D"/>
    <w:rsid w:val="10F7291E"/>
    <w:rsid w:val="11077B84"/>
    <w:rsid w:val="111F7C44"/>
    <w:rsid w:val="11226C73"/>
    <w:rsid w:val="1133314B"/>
    <w:rsid w:val="1136125D"/>
    <w:rsid w:val="113F625F"/>
    <w:rsid w:val="115D7AFF"/>
    <w:rsid w:val="11863365"/>
    <w:rsid w:val="11881AA9"/>
    <w:rsid w:val="118C3010"/>
    <w:rsid w:val="118F7A1F"/>
    <w:rsid w:val="11940358"/>
    <w:rsid w:val="11AD2EBC"/>
    <w:rsid w:val="11B82E4E"/>
    <w:rsid w:val="11B91976"/>
    <w:rsid w:val="11C06681"/>
    <w:rsid w:val="11D07A49"/>
    <w:rsid w:val="11D40EC9"/>
    <w:rsid w:val="11E54A43"/>
    <w:rsid w:val="11E54C2D"/>
    <w:rsid w:val="12173200"/>
    <w:rsid w:val="121B366D"/>
    <w:rsid w:val="122E2C51"/>
    <w:rsid w:val="12407887"/>
    <w:rsid w:val="12A713D5"/>
    <w:rsid w:val="12B0209B"/>
    <w:rsid w:val="12C776A4"/>
    <w:rsid w:val="12DA5FBA"/>
    <w:rsid w:val="12E26A68"/>
    <w:rsid w:val="12F233D5"/>
    <w:rsid w:val="132C17D9"/>
    <w:rsid w:val="134B4466"/>
    <w:rsid w:val="13680BE8"/>
    <w:rsid w:val="13831A73"/>
    <w:rsid w:val="13854AEC"/>
    <w:rsid w:val="138826B8"/>
    <w:rsid w:val="13A21009"/>
    <w:rsid w:val="13B2680F"/>
    <w:rsid w:val="13C8377A"/>
    <w:rsid w:val="13D41C60"/>
    <w:rsid w:val="13D75A72"/>
    <w:rsid w:val="13E70B95"/>
    <w:rsid w:val="13E74F7A"/>
    <w:rsid w:val="140F493F"/>
    <w:rsid w:val="142C780D"/>
    <w:rsid w:val="14305A83"/>
    <w:rsid w:val="14565C9A"/>
    <w:rsid w:val="145B6DCE"/>
    <w:rsid w:val="14693E01"/>
    <w:rsid w:val="148046A4"/>
    <w:rsid w:val="14856B83"/>
    <w:rsid w:val="14857897"/>
    <w:rsid w:val="148E7405"/>
    <w:rsid w:val="14B762F2"/>
    <w:rsid w:val="14B92328"/>
    <w:rsid w:val="14D061F1"/>
    <w:rsid w:val="14D472EA"/>
    <w:rsid w:val="14DA3DFA"/>
    <w:rsid w:val="14DB4584"/>
    <w:rsid w:val="14E84251"/>
    <w:rsid w:val="14EC5EF5"/>
    <w:rsid w:val="14EE713A"/>
    <w:rsid w:val="14F912BA"/>
    <w:rsid w:val="14FB4544"/>
    <w:rsid w:val="151C5F82"/>
    <w:rsid w:val="15227AC5"/>
    <w:rsid w:val="15410EFD"/>
    <w:rsid w:val="155A5536"/>
    <w:rsid w:val="15627B5D"/>
    <w:rsid w:val="157025B6"/>
    <w:rsid w:val="159F75E7"/>
    <w:rsid w:val="15A23F73"/>
    <w:rsid w:val="15B40047"/>
    <w:rsid w:val="15B9274F"/>
    <w:rsid w:val="15BC1090"/>
    <w:rsid w:val="15D40482"/>
    <w:rsid w:val="15D555E6"/>
    <w:rsid w:val="160C342C"/>
    <w:rsid w:val="16235917"/>
    <w:rsid w:val="16380F7D"/>
    <w:rsid w:val="16382DE0"/>
    <w:rsid w:val="163B345B"/>
    <w:rsid w:val="164A563F"/>
    <w:rsid w:val="16546F2D"/>
    <w:rsid w:val="166E1058"/>
    <w:rsid w:val="167C1848"/>
    <w:rsid w:val="16821721"/>
    <w:rsid w:val="1684140D"/>
    <w:rsid w:val="168D6B33"/>
    <w:rsid w:val="16D12419"/>
    <w:rsid w:val="17055E6E"/>
    <w:rsid w:val="1728269E"/>
    <w:rsid w:val="172B28DA"/>
    <w:rsid w:val="174A632B"/>
    <w:rsid w:val="175B0419"/>
    <w:rsid w:val="176B4A78"/>
    <w:rsid w:val="17820812"/>
    <w:rsid w:val="17920598"/>
    <w:rsid w:val="17936AB5"/>
    <w:rsid w:val="17A63D52"/>
    <w:rsid w:val="17DC40A7"/>
    <w:rsid w:val="17E747F4"/>
    <w:rsid w:val="17F2607D"/>
    <w:rsid w:val="17F553C8"/>
    <w:rsid w:val="17F72FAD"/>
    <w:rsid w:val="181D13D7"/>
    <w:rsid w:val="182E164F"/>
    <w:rsid w:val="18445D4E"/>
    <w:rsid w:val="18794590"/>
    <w:rsid w:val="187E3FD4"/>
    <w:rsid w:val="18947250"/>
    <w:rsid w:val="18990935"/>
    <w:rsid w:val="18AE3720"/>
    <w:rsid w:val="18C620CB"/>
    <w:rsid w:val="18CF38A0"/>
    <w:rsid w:val="19127C37"/>
    <w:rsid w:val="191B3002"/>
    <w:rsid w:val="192B4A98"/>
    <w:rsid w:val="194342E3"/>
    <w:rsid w:val="19494113"/>
    <w:rsid w:val="196806D1"/>
    <w:rsid w:val="1969269C"/>
    <w:rsid w:val="197E3959"/>
    <w:rsid w:val="19915D1D"/>
    <w:rsid w:val="199F17C4"/>
    <w:rsid w:val="19A152BE"/>
    <w:rsid w:val="19AC1408"/>
    <w:rsid w:val="19B81AD2"/>
    <w:rsid w:val="19BA3722"/>
    <w:rsid w:val="19CC4083"/>
    <w:rsid w:val="19EE122D"/>
    <w:rsid w:val="1A0D6899"/>
    <w:rsid w:val="1A19627C"/>
    <w:rsid w:val="1A1B5C23"/>
    <w:rsid w:val="1A2E481A"/>
    <w:rsid w:val="1A487A53"/>
    <w:rsid w:val="1A4C4BC8"/>
    <w:rsid w:val="1A4D6BBB"/>
    <w:rsid w:val="1A5C0B41"/>
    <w:rsid w:val="1AA8158A"/>
    <w:rsid w:val="1AC4505D"/>
    <w:rsid w:val="1AFD68BC"/>
    <w:rsid w:val="1B0A1593"/>
    <w:rsid w:val="1B123C33"/>
    <w:rsid w:val="1B1241CA"/>
    <w:rsid w:val="1B2C4CBB"/>
    <w:rsid w:val="1B4A338D"/>
    <w:rsid w:val="1B9400E0"/>
    <w:rsid w:val="1B947D91"/>
    <w:rsid w:val="1BBF6D37"/>
    <w:rsid w:val="1BDD301F"/>
    <w:rsid w:val="1BE42BED"/>
    <w:rsid w:val="1BFC2DCA"/>
    <w:rsid w:val="1C084D5C"/>
    <w:rsid w:val="1C284A2C"/>
    <w:rsid w:val="1C4579DA"/>
    <w:rsid w:val="1C486214"/>
    <w:rsid w:val="1C5B24CA"/>
    <w:rsid w:val="1C825096"/>
    <w:rsid w:val="1C927717"/>
    <w:rsid w:val="1CA2341D"/>
    <w:rsid w:val="1CDA316A"/>
    <w:rsid w:val="1D2D3D67"/>
    <w:rsid w:val="1D4816AE"/>
    <w:rsid w:val="1D891172"/>
    <w:rsid w:val="1D8C2588"/>
    <w:rsid w:val="1DCC3694"/>
    <w:rsid w:val="1DD429F2"/>
    <w:rsid w:val="1E0B5D01"/>
    <w:rsid w:val="1E1E1F3F"/>
    <w:rsid w:val="1E480A4B"/>
    <w:rsid w:val="1E4E0FFE"/>
    <w:rsid w:val="1E5B00B9"/>
    <w:rsid w:val="1E630D88"/>
    <w:rsid w:val="1E8533A5"/>
    <w:rsid w:val="1E8F1789"/>
    <w:rsid w:val="1EE2438C"/>
    <w:rsid w:val="1F00021F"/>
    <w:rsid w:val="1F0574FB"/>
    <w:rsid w:val="1F075172"/>
    <w:rsid w:val="1F4B17D9"/>
    <w:rsid w:val="1F4E2338"/>
    <w:rsid w:val="1F5C3BF2"/>
    <w:rsid w:val="1FBB76CD"/>
    <w:rsid w:val="1FCF53D2"/>
    <w:rsid w:val="1FDF6672"/>
    <w:rsid w:val="1FE45056"/>
    <w:rsid w:val="1FF51B66"/>
    <w:rsid w:val="1FFE6FC2"/>
    <w:rsid w:val="20224882"/>
    <w:rsid w:val="202830B2"/>
    <w:rsid w:val="205D6973"/>
    <w:rsid w:val="206115B1"/>
    <w:rsid w:val="206664DD"/>
    <w:rsid w:val="208F7CDB"/>
    <w:rsid w:val="20974961"/>
    <w:rsid w:val="20B72EF2"/>
    <w:rsid w:val="20BE5B58"/>
    <w:rsid w:val="20D63D6E"/>
    <w:rsid w:val="20E424F0"/>
    <w:rsid w:val="20E73350"/>
    <w:rsid w:val="20F0558A"/>
    <w:rsid w:val="20FA43BF"/>
    <w:rsid w:val="21113545"/>
    <w:rsid w:val="211B1329"/>
    <w:rsid w:val="21373BBB"/>
    <w:rsid w:val="21420B91"/>
    <w:rsid w:val="21503907"/>
    <w:rsid w:val="215E44C8"/>
    <w:rsid w:val="216A1E2B"/>
    <w:rsid w:val="217730D5"/>
    <w:rsid w:val="217F74BA"/>
    <w:rsid w:val="219A0C7F"/>
    <w:rsid w:val="219A6388"/>
    <w:rsid w:val="219E3CD8"/>
    <w:rsid w:val="21C372AC"/>
    <w:rsid w:val="21CF7CF3"/>
    <w:rsid w:val="21D853EB"/>
    <w:rsid w:val="21F61F3B"/>
    <w:rsid w:val="220E15B1"/>
    <w:rsid w:val="22347812"/>
    <w:rsid w:val="22592FDD"/>
    <w:rsid w:val="225B26B9"/>
    <w:rsid w:val="226F701A"/>
    <w:rsid w:val="227E2A4F"/>
    <w:rsid w:val="22980FF7"/>
    <w:rsid w:val="22A019DE"/>
    <w:rsid w:val="22EA693A"/>
    <w:rsid w:val="22F06A07"/>
    <w:rsid w:val="22F93413"/>
    <w:rsid w:val="232F7D23"/>
    <w:rsid w:val="233C30F0"/>
    <w:rsid w:val="23591D32"/>
    <w:rsid w:val="235B734F"/>
    <w:rsid w:val="235F1DDF"/>
    <w:rsid w:val="23687130"/>
    <w:rsid w:val="23816358"/>
    <w:rsid w:val="238D4549"/>
    <w:rsid w:val="2391358D"/>
    <w:rsid w:val="239E1131"/>
    <w:rsid w:val="23A27DDA"/>
    <w:rsid w:val="23A97538"/>
    <w:rsid w:val="23D53EB0"/>
    <w:rsid w:val="23D80339"/>
    <w:rsid w:val="23E057B0"/>
    <w:rsid w:val="23E43306"/>
    <w:rsid w:val="244B60B9"/>
    <w:rsid w:val="245D32FF"/>
    <w:rsid w:val="247B3AE6"/>
    <w:rsid w:val="248851CA"/>
    <w:rsid w:val="24A26B80"/>
    <w:rsid w:val="24AE4601"/>
    <w:rsid w:val="24DF66DD"/>
    <w:rsid w:val="24F701CD"/>
    <w:rsid w:val="24FA4C15"/>
    <w:rsid w:val="24FB36D6"/>
    <w:rsid w:val="252546E8"/>
    <w:rsid w:val="252634A2"/>
    <w:rsid w:val="252B05F2"/>
    <w:rsid w:val="2539357C"/>
    <w:rsid w:val="2551246C"/>
    <w:rsid w:val="25674446"/>
    <w:rsid w:val="256D46DC"/>
    <w:rsid w:val="256E1757"/>
    <w:rsid w:val="25716CDF"/>
    <w:rsid w:val="2584109A"/>
    <w:rsid w:val="25917CB8"/>
    <w:rsid w:val="25A4555F"/>
    <w:rsid w:val="25BC1F5B"/>
    <w:rsid w:val="25C0635D"/>
    <w:rsid w:val="25C56EF1"/>
    <w:rsid w:val="25CB3D5E"/>
    <w:rsid w:val="25F62F8F"/>
    <w:rsid w:val="261A57B1"/>
    <w:rsid w:val="26357D75"/>
    <w:rsid w:val="26520004"/>
    <w:rsid w:val="26562F89"/>
    <w:rsid w:val="26586B19"/>
    <w:rsid w:val="265A5AD1"/>
    <w:rsid w:val="266814CD"/>
    <w:rsid w:val="26AF226F"/>
    <w:rsid w:val="26C43EC7"/>
    <w:rsid w:val="26C907F7"/>
    <w:rsid w:val="26E33F3A"/>
    <w:rsid w:val="26E845DA"/>
    <w:rsid w:val="26F7330C"/>
    <w:rsid w:val="270E7C35"/>
    <w:rsid w:val="271350E7"/>
    <w:rsid w:val="273E3660"/>
    <w:rsid w:val="276D0969"/>
    <w:rsid w:val="2777754F"/>
    <w:rsid w:val="27937370"/>
    <w:rsid w:val="27AC0A41"/>
    <w:rsid w:val="27BC331F"/>
    <w:rsid w:val="27BF27A0"/>
    <w:rsid w:val="27BF3972"/>
    <w:rsid w:val="27D06637"/>
    <w:rsid w:val="27D439E2"/>
    <w:rsid w:val="27DD41C3"/>
    <w:rsid w:val="27E5433A"/>
    <w:rsid w:val="27EF61B4"/>
    <w:rsid w:val="28095D39"/>
    <w:rsid w:val="28197B91"/>
    <w:rsid w:val="283835EA"/>
    <w:rsid w:val="283A4493"/>
    <w:rsid w:val="283A626B"/>
    <w:rsid w:val="28406960"/>
    <w:rsid w:val="2845199A"/>
    <w:rsid w:val="28452A6C"/>
    <w:rsid w:val="285E7AA0"/>
    <w:rsid w:val="28967EAD"/>
    <w:rsid w:val="289C0A28"/>
    <w:rsid w:val="28B841F4"/>
    <w:rsid w:val="28BC74DE"/>
    <w:rsid w:val="28CB3419"/>
    <w:rsid w:val="28D24C25"/>
    <w:rsid w:val="28F03283"/>
    <w:rsid w:val="29095102"/>
    <w:rsid w:val="29100FAF"/>
    <w:rsid w:val="291C57A0"/>
    <w:rsid w:val="29283527"/>
    <w:rsid w:val="292A1E1F"/>
    <w:rsid w:val="294D00FA"/>
    <w:rsid w:val="29594643"/>
    <w:rsid w:val="296827EA"/>
    <w:rsid w:val="29753330"/>
    <w:rsid w:val="298375D0"/>
    <w:rsid w:val="29BB78B4"/>
    <w:rsid w:val="29BF3741"/>
    <w:rsid w:val="29D86ED7"/>
    <w:rsid w:val="29DA2310"/>
    <w:rsid w:val="29EC716B"/>
    <w:rsid w:val="29F71E79"/>
    <w:rsid w:val="2A0308B0"/>
    <w:rsid w:val="2A031E0C"/>
    <w:rsid w:val="2A0C48F7"/>
    <w:rsid w:val="2A117042"/>
    <w:rsid w:val="2A2823F5"/>
    <w:rsid w:val="2A591472"/>
    <w:rsid w:val="2A6B494E"/>
    <w:rsid w:val="2A8F219B"/>
    <w:rsid w:val="2A8F5984"/>
    <w:rsid w:val="2AA23B74"/>
    <w:rsid w:val="2AA43877"/>
    <w:rsid w:val="2AA5392F"/>
    <w:rsid w:val="2AAD6EC9"/>
    <w:rsid w:val="2AC8761B"/>
    <w:rsid w:val="2ACB5FA9"/>
    <w:rsid w:val="2ADB7D15"/>
    <w:rsid w:val="2B1B20EA"/>
    <w:rsid w:val="2B1D5948"/>
    <w:rsid w:val="2B1E4545"/>
    <w:rsid w:val="2B21177E"/>
    <w:rsid w:val="2B3B2351"/>
    <w:rsid w:val="2B420D26"/>
    <w:rsid w:val="2B53695D"/>
    <w:rsid w:val="2B601D18"/>
    <w:rsid w:val="2BA4459F"/>
    <w:rsid w:val="2BB30B98"/>
    <w:rsid w:val="2BBC1879"/>
    <w:rsid w:val="2BD1623B"/>
    <w:rsid w:val="2BE614D9"/>
    <w:rsid w:val="2C003C6B"/>
    <w:rsid w:val="2C0D539E"/>
    <w:rsid w:val="2C115AD9"/>
    <w:rsid w:val="2C491FDE"/>
    <w:rsid w:val="2C637127"/>
    <w:rsid w:val="2C796D8B"/>
    <w:rsid w:val="2C7D70C1"/>
    <w:rsid w:val="2C850B51"/>
    <w:rsid w:val="2C894E4C"/>
    <w:rsid w:val="2C9D1377"/>
    <w:rsid w:val="2CAF6062"/>
    <w:rsid w:val="2CB824E8"/>
    <w:rsid w:val="2D4205F3"/>
    <w:rsid w:val="2D501832"/>
    <w:rsid w:val="2D6929D4"/>
    <w:rsid w:val="2D774852"/>
    <w:rsid w:val="2D857C0D"/>
    <w:rsid w:val="2D897FC3"/>
    <w:rsid w:val="2D9E3FAB"/>
    <w:rsid w:val="2DA57A9C"/>
    <w:rsid w:val="2DC5334D"/>
    <w:rsid w:val="2DCF5B0E"/>
    <w:rsid w:val="2DDC525F"/>
    <w:rsid w:val="2E0D5A00"/>
    <w:rsid w:val="2E1129B4"/>
    <w:rsid w:val="2E12635D"/>
    <w:rsid w:val="2E14037E"/>
    <w:rsid w:val="2E2750F2"/>
    <w:rsid w:val="2E63496A"/>
    <w:rsid w:val="2E9F17FA"/>
    <w:rsid w:val="2EB44641"/>
    <w:rsid w:val="2EC94CDE"/>
    <w:rsid w:val="2ED5006B"/>
    <w:rsid w:val="2EDA1C17"/>
    <w:rsid w:val="2EE028B3"/>
    <w:rsid w:val="2EE842F7"/>
    <w:rsid w:val="2EEB59D0"/>
    <w:rsid w:val="2EFA23B5"/>
    <w:rsid w:val="2EFA2439"/>
    <w:rsid w:val="2EFC037C"/>
    <w:rsid w:val="2EFC7A58"/>
    <w:rsid w:val="2EFF5537"/>
    <w:rsid w:val="2F04596D"/>
    <w:rsid w:val="2F207F33"/>
    <w:rsid w:val="2F247993"/>
    <w:rsid w:val="2F260154"/>
    <w:rsid w:val="2F2C3A4D"/>
    <w:rsid w:val="2F2D40A3"/>
    <w:rsid w:val="2F91497C"/>
    <w:rsid w:val="2F9A21D3"/>
    <w:rsid w:val="2FD05FC8"/>
    <w:rsid w:val="300E4B53"/>
    <w:rsid w:val="30114E63"/>
    <w:rsid w:val="3016553A"/>
    <w:rsid w:val="30171502"/>
    <w:rsid w:val="30177A62"/>
    <w:rsid w:val="302E6DEA"/>
    <w:rsid w:val="304D18A5"/>
    <w:rsid w:val="30541426"/>
    <w:rsid w:val="305C5EEF"/>
    <w:rsid w:val="30687E8C"/>
    <w:rsid w:val="30706DED"/>
    <w:rsid w:val="30781A2D"/>
    <w:rsid w:val="307A2BED"/>
    <w:rsid w:val="3089349D"/>
    <w:rsid w:val="30A47491"/>
    <w:rsid w:val="30A56E8B"/>
    <w:rsid w:val="30CD5DD2"/>
    <w:rsid w:val="30D43F00"/>
    <w:rsid w:val="30D541D8"/>
    <w:rsid w:val="30F03FBE"/>
    <w:rsid w:val="31241065"/>
    <w:rsid w:val="3127645A"/>
    <w:rsid w:val="31330475"/>
    <w:rsid w:val="314F3EF7"/>
    <w:rsid w:val="316D0500"/>
    <w:rsid w:val="31775D7D"/>
    <w:rsid w:val="319A68D8"/>
    <w:rsid w:val="31C60B59"/>
    <w:rsid w:val="31D26057"/>
    <w:rsid w:val="31E15DD5"/>
    <w:rsid w:val="32013E5D"/>
    <w:rsid w:val="32077328"/>
    <w:rsid w:val="32132BEF"/>
    <w:rsid w:val="32281C34"/>
    <w:rsid w:val="32325A2A"/>
    <w:rsid w:val="325912C4"/>
    <w:rsid w:val="326F55A8"/>
    <w:rsid w:val="3285160A"/>
    <w:rsid w:val="328B2AB2"/>
    <w:rsid w:val="328D4B5C"/>
    <w:rsid w:val="32B3587A"/>
    <w:rsid w:val="32D32C59"/>
    <w:rsid w:val="32DB385B"/>
    <w:rsid w:val="32E15C20"/>
    <w:rsid w:val="3359225A"/>
    <w:rsid w:val="337027E7"/>
    <w:rsid w:val="33842183"/>
    <w:rsid w:val="339F62A9"/>
    <w:rsid w:val="33A635D1"/>
    <w:rsid w:val="33B96950"/>
    <w:rsid w:val="33CA5530"/>
    <w:rsid w:val="33E54B36"/>
    <w:rsid w:val="3409330B"/>
    <w:rsid w:val="340C0A96"/>
    <w:rsid w:val="34221E5F"/>
    <w:rsid w:val="34354420"/>
    <w:rsid w:val="34386E6D"/>
    <w:rsid w:val="349A13E5"/>
    <w:rsid w:val="34BF3B89"/>
    <w:rsid w:val="34C07B3C"/>
    <w:rsid w:val="34D973CD"/>
    <w:rsid w:val="34E7055B"/>
    <w:rsid w:val="34EC2E8A"/>
    <w:rsid w:val="34F25B77"/>
    <w:rsid w:val="34F819D8"/>
    <w:rsid w:val="34F86957"/>
    <w:rsid w:val="35123CD2"/>
    <w:rsid w:val="3517109F"/>
    <w:rsid w:val="352D6C01"/>
    <w:rsid w:val="356027E6"/>
    <w:rsid w:val="357813C1"/>
    <w:rsid w:val="357B533D"/>
    <w:rsid w:val="35927AC8"/>
    <w:rsid w:val="35964DBB"/>
    <w:rsid w:val="35AE7BA4"/>
    <w:rsid w:val="35BA1F1B"/>
    <w:rsid w:val="35C239A4"/>
    <w:rsid w:val="35CC4B44"/>
    <w:rsid w:val="35CD03D9"/>
    <w:rsid w:val="35D36E1F"/>
    <w:rsid w:val="35D70FF8"/>
    <w:rsid w:val="35F870D7"/>
    <w:rsid w:val="3613186A"/>
    <w:rsid w:val="36475479"/>
    <w:rsid w:val="365D7B00"/>
    <w:rsid w:val="366B2770"/>
    <w:rsid w:val="36857E34"/>
    <w:rsid w:val="36A46B62"/>
    <w:rsid w:val="37006948"/>
    <w:rsid w:val="37024B2F"/>
    <w:rsid w:val="37407AF3"/>
    <w:rsid w:val="376B0557"/>
    <w:rsid w:val="3794594B"/>
    <w:rsid w:val="37A638CA"/>
    <w:rsid w:val="37BD2615"/>
    <w:rsid w:val="37BE09E5"/>
    <w:rsid w:val="37DC7FCA"/>
    <w:rsid w:val="37E319F4"/>
    <w:rsid w:val="37EB2DB1"/>
    <w:rsid w:val="38206C0C"/>
    <w:rsid w:val="382B1938"/>
    <w:rsid w:val="38644550"/>
    <w:rsid w:val="38774D05"/>
    <w:rsid w:val="38AC347A"/>
    <w:rsid w:val="38B04B1C"/>
    <w:rsid w:val="38BC4D2B"/>
    <w:rsid w:val="38D87708"/>
    <w:rsid w:val="38F14651"/>
    <w:rsid w:val="38FF2C00"/>
    <w:rsid w:val="391530D9"/>
    <w:rsid w:val="392E5478"/>
    <w:rsid w:val="39456F92"/>
    <w:rsid w:val="394E2BCB"/>
    <w:rsid w:val="39567D9F"/>
    <w:rsid w:val="39622FB3"/>
    <w:rsid w:val="396A3290"/>
    <w:rsid w:val="397120B6"/>
    <w:rsid w:val="397630F9"/>
    <w:rsid w:val="39A76DC0"/>
    <w:rsid w:val="39E42021"/>
    <w:rsid w:val="39F8380E"/>
    <w:rsid w:val="3A007680"/>
    <w:rsid w:val="3A16373D"/>
    <w:rsid w:val="3A2424EB"/>
    <w:rsid w:val="3A2911D4"/>
    <w:rsid w:val="3A3176E3"/>
    <w:rsid w:val="3A323A9F"/>
    <w:rsid w:val="3A3F5BEF"/>
    <w:rsid w:val="3A5D3485"/>
    <w:rsid w:val="3A672AC0"/>
    <w:rsid w:val="3A6776B7"/>
    <w:rsid w:val="3A824AE7"/>
    <w:rsid w:val="3AA64460"/>
    <w:rsid w:val="3AC044CA"/>
    <w:rsid w:val="3AC33F09"/>
    <w:rsid w:val="3AD74C69"/>
    <w:rsid w:val="3AD9238A"/>
    <w:rsid w:val="3ADA1C32"/>
    <w:rsid w:val="3AF41593"/>
    <w:rsid w:val="3B125784"/>
    <w:rsid w:val="3B1F793F"/>
    <w:rsid w:val="3B22188F"/>
    <w:rsid w:val="3B341F80"/>
    <w:rsid w:val="3B3F5188"/>
    <w:rsid w:val="3B455353"/>
    <w:rsid w:val="3B4700DD"/>
    <w:rsid w:val="3B49555F"/>
    <w:rsid w:val="3B5D25D9"/>
    <w:rsid w:val="3B5F2DAD"/>
    <w:rsid w:val="3B6113E2"/>
    <w:rsid w:val="3B7C4FEE"/>
    <w:rsid w:val="3B80785C"/>
    <w:rsid w:val="3B8B21C7"/>
    <w:rsid w:val="3B976352"/>
    <w:rsid w:val="3BA64C2D"/>
    <w:rsid w:val="3BB04B8C"/>
    <w:rsid w:val="3BC93FE5"/>
    <w:rsid w:val="3BD63345"/>
    <w:rsid w:val="3BE067AC"/>
    <w:rsid w:val="3BE953A2"/>
    <w:rsid w:val="3BF729A1"/>
    <w:rsid w:val="3BFC038B"/>
    <w:rsid w:val="3BFD2201"/>
    <w:rsid w:val="3C1D4EC7"/>
    <w:rsid w:val="3C447623"/>
    <w:rsid w:val="3C5568D9"/>
    <w:rsid w:val="3C606999"/>
    <w:rsid w:val="3C680981"/>
    <w:rsid w:val="3C730DA2"/>
    <w:rsid w:val="3C9A5180"/>
    <w:rsid w:val="3CAC2EA1"/>
    <w:rsid w:val="3CFF18A7"/>
    <w:rsid w:val="3D0B2D9F"/>
    <w:rsid w:val="3D2615D0"/>
    <w:rsid w:val="3D26659A"/>
    <w:rsid w:val="3D426527"/>
    <w:rsid w:val="3D566086"/>
    <w:rsid w:val="3D615884"/>
    <w:rsid w:val="3D683E97"/>
    <w:rsid w:val="3D6C7DCB"/>
    <w:rsid w:val="3DCB2DC7"/>
    <w:rsid w:val="3DCE0520"/>
    <w:rsid w:val="3DCE2EAD"/>
    <w:rsid w:val="3DD57C30"/>
    <w:rsid w:val="3DDA526D"/>
    <w:rsid w:val="3DDE6517"/>
    <w:rsid w:val="3E2106A9"/>
    <w:rsid w:val="3E2148E6"/>
    <w:rsid w:val="3E2730A1"/>
    <w:rsid w:val="3E48475A"/>
    <w:rsid w:val="3E4C74CF"/>
    <w:rsid w:val="3E52176A"/>
    <w:rsid w:val="3E8E111C"/>
    <w:rsid w:val="3E9A4029"/>
    <w:rsid w:val="3EA3568C"/>
    <w:rsid w:val="3ECA29CE"/>
    <w:rsid w:val="3ECD70C6"/>
    <w:rsid w:val="3EDB1FC3"/>
    <w:rsid w:val="3EF506CC"/>
    <w:rsid w:val="3F1A432E"/>
    <w:rsid w:val="3F235E7A"/>
    <w:rsid w:val="3F2E07D1"/>
    <w:rsid w:val="3F35641D"/>
    <w:rsid w:val="3F364B01"/>
    <w:rsid w:val="3F4E102C"/>
    <w:rsid w:val="3F62087F"/>
    <w:rsid w:val="3F6A7193"/>
    <w:rsid w:val="3F6F54DF"/>
    <w:rsid w:val="3F7C3D9C"/>
    <w:rsid w:val="3F894D9E"/>
    <w:rsid w:val="3F9E4154"/>
    <w:rsid w:val="3FB4789A"/>
    <w:rsid w:val="3FC410C5"/>
    <w:rsid w:val="3FC738A2"/>
    <w:rsid w:val="3FCC3961"/>
    <w:rsid w:val="3FD42B4F"/>
    <w:rsid w:val="400075EB"/>
    <w:rsid w:val="400E20D1"/>
    <w:rsid w:val="40181D19"/>
    <w:rsid w:val="40266AEA"/>
    <w:rsid w:val="403927B4"/>
    <w:rsid w:val="403F3F4B"/>
    <w:rsid w:val="407A6915"/>
    <w:rsid w:val="40A1621A"/>
    <w:rsid w:val="40E63509"/>
    <w:rsid w:val="41246B2B"/>
    <w:rsid w:val="412B5FCA"/>
    <w:rsid w:val="4132771E"/>
    <w:rsid w:val="41335D4E"/>
    <w:rsid w:val="41380B8F"/>
    <w:rsid w:val="413E7575"/>
    <w:rsid w:val="415C597C"/>
    <w:rsid w:val="41634773"/>
    <w:rsid w:val="41901E2C"/>
    <w:rsid w:val="419D7B29"/>
    <w:rsid w:val="419F47B5"/>
    <w:rsid w:val="41BC0AE8"/>
    <w:rsid w:val="41C625AF"/>
    <w:rsid w:val="41CE133A"/>
    <w:rsid w:val="41CF051C"/>
    <w:rsid w:val="41E25ED1"/>
    <w:rsid w:val="41F05DA9"/>
    <w:rsid w:val="421620DF"/>
    <w:rsid w:val="42744649"/>
    <w:rsid w:val="429E2461"/>
    <w:rsid w:val="42BE2361"/>
    <w:rsid w:val="42D33F12"/>
    <w:rsid w:val="42DC32C4"/>
    <w:rsid w:val="4304061E"/>
    <w:rsid w:val="43055F9E"/>
    <w:rsid w:val="4321600F"/>
    <w:rsid w:val="434C5AB8"/>
    <w:rsid w:val="435931C4"/>
    <w:rsid w:val="43787DEB"/>
    <w:rsid w:val="438A6999"/>
    <w:rsid w:val="43D755DE"/>
    <w:rsid w:val="43DF438F"/>
    <w:rsid w:val="43E07C2F"/>
    <w:rsid w:val="43E32E0D"/>
    <w:rsid w:val="43FC4722"/>
    <w:rsid w:val="44013E70"/>
    <w:rsid w:val="441409B3"/>
    <w:rsid w:val="441C2F28"/>
    <w:rsid w:val="44207E07"/>
    <w:rsid w:val="44481958"/>
    <w:rsid w:val="444D276C"/>
    <w:rsid w:val="446C481B"/>
    <w:rsid w:val="446F6F73"/>
    <w:rsid w:val="44782CCD"/>
    <w:rsid w:val="448118D2"/>
    <w:rsid w:val="44890AEF"/>
    <w:rsid w:val="448C5777"/>
    <w:rsid w:val="44B304B5"/>
    <w:rsid w:val="44B47891"/>
    <w:rsid w:val="44C65ACB"/>
    <w:rsid w:val="451326F7"/>
    <w:rsid w:val="451A617D"/>
    <w:rsid w:val="452071C9"/>
    <w:rsid w:val="45237113"/>
    <w:rsid w:val="4527197B"/>
    <w:rsid w:val="45284EA7"/>
    <w:rsid w:val="45421343"/>
    <w:rsid w:val="45572EFE"/>
    <w:rsid w:val="457838D8"/>
    <w:rsid w:val="4582115D"/>
    <w:rsid w:val="458A268A"/>
    <w:rsid w:val="45D05F53"/>
    <w:rsid w:val="45E30B2E"/>
    <w:rsid w:val="46014C78"/>
    <w:rsid w:val="461146FC"/>
    <w:rsid w:val="461F4C35"/>
    <w:rsid w:val="46336B40"/>
    <w:rsid w:val="46452E23"/>
    <w:rsid w:val="464D3D4D"/>
    <w:rsid w:val="4665426A"/>
    <w:rsid w:val="469B605E"/>
    <w:rsid w:val="46AA1F11"/>
    <w:rsid w:val="46BB7AA0"/>
    <w:rsid w:val="46C17788"/>
    <w:rsid w:val="46CC546D"/>
    <w:rsid w:val="46CE74F8"/>
    <w:rsid w:val="46E324AF"/>
    <w:rsid w:val="46EC49C0"/>
    <w:rsid w:val="4720222D"/>
    <w:rsid w:val="47355EC7"/>
    <w:rsid w:val="47764DB6"/>
    <w:rsid w:val="477D26D7"/>
    <w:rsid w:val="47854777"/>
    <w:rsid w:val="478E4F70"/>
    <w:rsid w:val="47B114A3"/>
    <w:rsid w:val="47E31599"/>
    <w:rsid w:val="483F1627"/>
    <w:rsid w:val="48420AC3"/>
    <w:rsid w:val="484272A9"/>
    <w:rsid w:val="484910C2"/>
    <w:rsid w:val="485405BC"/>
    <w:rsid w:val="486B2735"/>
    <w:rsid w:val="488B56AC"/>
    <w:rsid w:val="48C020E5"/>
    <w:rsid w:val="48C432AD"/>
    <w:rsid w:val="48C90F50"/>
    <w:rsid w:val="48CC3954"/>
    <w:rsid w:val="48D54E9A"/>
    <w:rsid w:val="48D60259"/>
    <w:rsid w:val="48E05DB7"/>
    <w:rsid w:val="48E93806"/>
    <w:rsid w:val="48EA49EB"/>
    <w:rsid w:val="491639D3"/>
    <w:rsid w:val="49250EED"/>
    <w:rsid w:val="49364290"/>
    <w:rsid w:val="49866979"/>
    <w:rsid w:val="49926336"/>
    <w:rsid w:val="49A52DE3"/>
    <w:rsid w:val="49A92383"/>
    <w:rsid w:val="49B478E7"/>
    <w:rsid w:val="4A186B76"/>
    <w:rsid w:val="4A1913D2"/>
    <w:rsid w:val="4A38287C"/>
    <w:rsid w:val="4A682188"/>
    <w:rsid w:val="4A6A314B"/>
    <w:rsid w:val="4A860DC3"/>
    <w:rsid w:val="4A8B3647"/>
    <w:rsid w:val="4A9A71E4"/>
    <w:rsid w:val="4AB22EF1"/>
    <w:rsid w:val="4ACA5F47"/>
    <w:rsid w:val="4AEA4871"/>
    <w:rsid w:val="4B026B8B"/>
    <w:rsid w:val="4B0C3DB9"/>
    <w:rsid w:val="4B1C270A"/>
    <w:rsid w:val="4B3D354C"/>
    <w:rsid w:val="4B455C1F"/>
    <w:rsid w:val="4B4655D6"/>
    <w:rsid w:val="4B616F89"/>
    <w:rsid w:val="4B6976A2"/>
    <w:rsid w:val="4B6F7C86"/>
    <w:rsid w:val="4B893011"/>
    <w:rsid w:val="4B8F2702"/>
    <w:rsid w:val="4BA91D4A"/>
    <w:rsid w:val="4BB17858"/>
    <w:rsid w:val="4BC64415"/>
    <w:rsid w:val="4BD12CAE"/>
    <w:rsid w:val="4C135B9E"/>
    <w:rsid w:val="4C1E6B87"/>
    <w:rsid w:val="4C2D5CCB"/>
    <w:rsid w:val="4C387FE4"/>
    <w:rsid w:val="4C643419"/>
    <w:rsid w:val="4C774252"/>
    <w:rsid w:val="4C8153E8"/>
    <w:rsid w:val="4C862E6A"/>
    <w:rsid w:val="4C893252"/>
    <w:rsid w:val="4CB768E0"/>
    <w:rsid w:val="4CB77D88"/>
    <w:rsid w:val="4CC01FB4"/>
    <w:rsid w:val="4CD76701"/>
    <w:rsid w:val="4CF30483"/>
    <w:rsid w:val="4D0345C8"/>
    <w:rsid w:val="4D084134"/>
    <w:rsid w:val="4D1C679A"/>
    <w:rsid w:val="4D2A1C2C"/>
    <w:rsid w:val="4D2A58BA"/>
    <w:rsid w:val="4D4229F8"/>
    <w:rsid w:val="4D54607B"/>
    <w:rsid w:val="4D6F2D06"/>
    <w:rsid w:val="4D7A46FC"/>
    <w:rsid w:val="4D7C1A86"/>
    <w:rsid w:val="4D7E2FE3"/>
    <w:rsid w:val="4D8A4CD1"/>
    <w:rsid w:val="4DA2388A"/>
    <w:rsid w:val="4DAD2868"/>
    <w:rsid w:val="4DB1717A"/>
    <w:rsid w:val="4DBD5A5E"/>
    <w:rsid w:val="4DC67A1F"/>
    <w:rsid w:val="4DC7024C"/>
    <w:rsid w:val="4DCC2F54"/>
    <w:rsid w:val="4DCC5705"/>
    <w:rsid w:val="4DEC4AEC"/>
    <w:rsid w:val="4E1F0D00"/>
    <w:rsid w:val="4E295DAB"/>
    <w:rsid w:val="4E336F9E"/>
    <w:rsid w:val="4E4126DA"/>
    <w:rsid w:val="4E58357B"/>
    <w:rsid w:val="4E786253"/>
    <w:rsid w:val="4EA230BC"/>
    <w:rsid w:val="4EA6700A"/>
    <w:rsid w:val="4EC037AC"/>
    <w:rsid w:val="4EEF0C05"/>
    <w:rsid w:val="4F142BFD"/>
    <w:rsid w:val="4F164C15"/>
    <w:rsid w:val="4F225C4A"/>
    <w:rsid w:val="4F68323D"/>
    <w:rsid w:val="4F6D41D5"/>
    <w:rsid w:val="4F7261BB"/>
    <w:rsid w:val="4F9C6295"/>
    <w:rsid w:val="4FC8506F"/>
    <w:rsid w:val="4FD02497"/>
    <w:rsid w:val="4FEB4163"/>
    <w:rsid w:val="4FF00E27"/>
    <w:rsid w:val="4FF256D5"/>
    <w:rsid w:val="50104D61"/>
    <w:rsid w:val="50214AAC"/>
    <w:rsid w:val="50414293"/>
    <w:rsid w:val="504A26DB"/>
    <w:rsid w:val="505B2A9D"/>
    <w:rsid w:val="5061635A"/>
    <w:rsid w:val="506E3666"/>
    <w:rsid w:val="507035CF"/>
    <w:rsid w:val="507C4D08"/>
    <w:rsid w:val="50A35AA0"/>
    <w:rsid w:val="50B74DFE"/>
    <w:rsid w:val="50B8474C"/>
    <w:rsid w:val="50CB7A8A"/>
    <w:rsid w:val="50CE6B47"/>
    <w:rsid w:val="50F76041"/>
    <w:rsid w:val="510737C2"/>
    <w:rsid w:val="51580B71"/>
    <w:rsid w:val="515F72B2"/>
    <w:rsid w:val="517F39A6"/>
    <w:rsid w:val="51B15952"/>
    <w:rsid w:val="51CE7AA5"/>
    <w:rsid w:val="51D65839"/>
    <w:rsid w:val="51E8496C"/>
    <w:rsid w:val="520872C7"/>
    <w:rsid w:val="523B64FE"/>
    <w:rsid w:val="52835A7F"/>
    <w:rsid w:val="52870086"/>
    <w:rsid w:val="52962B65"/>
    <w:rsid w:val="52A249F1"/>
    <w:rsid w:val="52A75B83"/>
    <w:rsid w:val="52B778B3"/>
    <w:rsid w:val="52D967C0"/>
    <w:rsid w:val="52E71C77"/>
    <w:rsid w:val="52EA35F6"/>
    <w:rsid w:val="53130B62"/>
    <w:rsid w:val="531C5F8C"/>
    <w:rsid w:val="53294022"/>
    <w:rsid w:val="534303F0"/>
    <w:rsid w:val="537E609F"/>
    <w:rsid w:val="539415B3"/>
    <w:rsid w:val="53A708BB"/>
    <w:rsid w:val="53AE7E38"/>
    <w:rsid w:val="53BC117C"/>
    <w:rsid w:val="53BC40A7"/>
    <w:rsid w:val="53C30F5B"/>
    <w:rsid w:val="54115660"/>
    <w:rsid w:val="54276378"/>
    <w:rsid w:val="54333283"/>
    <w:rsid w:val="544B15D9"/>
    <w:rsid w:val="54614F62"/>
    <w:rsid w:val="54700509"/>
    <w:rsid w:val="54711DD5"/>
    <w:rsid w:val="54A857FB"/>
    <w:rsid w:val="54D8441B"/>
    <w:rsid w:val="54DD12F9"/>
    <w:rsid w:val="54EA1308"/>
    <w:rsid w:val="551727AE"/>
    <w:rsid w:val="551A62B7"/>
    <w:rsid w:val="551E742C"/>
    <w:rsid w:val="55271AB4"/>
    <w:rsid w:val="55510A1A"/>
    <w:rsid w:val="55555437"/>
    <w:rsid w:val="55791872"/>
    <w:rsid w:val="559536F4"/>
    <w:rsid w:val="559D2FCE"/>
    <w:rsid w:val="55AC1C92"/>
    <w:rsid w:val="55AE7637"/>
    <w:rsid w:val="55BB6FD4"/>
    <w:rsid w:val="55C73405"/>
    <w:rsid w:val="55D902FE"/>
    <w:rsid w:val="55E9591E"/>
    <w:rsid w:val="560D71B7"/>
    <w:rsid w:val="56361DAB"/>
    <w:rsid w:val="56372709"/>
    <w:rsid w:val="56466800"/>
    <w:rsid w:val="564D76C4"/>
    <w:rsid w:val="5651688B"/>
    <w:rsid w:val="565B7294"/>
    <w:rsid w:val="56657C8B"/>
    <w:rsid w:val="56826393"/>
    <w:rsid w:val="56961D9D"/>
    <w:rsid w:val="56A557B2"/>
    <w:rsid w:val="56C17F4A"/>
    <w:rsid w:val="56D01F0B"/>
    <w:rsid w:val="56D10242"/>
    <w:rsid w:val="570C25E7"/>
    <w:rsid w:val="572D1F31"/>
    <w:rsid w:val="57456833"/>
    <w:rsid w:val="57594468"/>
    <w:rsid w:val="575B258A"/>
    <w:rsid w:val="575C4B2A"/>
    <w:rsid w:val="575E2713"/>
    <w:rsid w:val="57936F71"/>
    <w:rsid w:val="57A4616D"/>
    <w:rsid w:val="57CF196D"/>
    <w:rsid w:val="57CF6926"/>
    <w:rsid w:val="57CF770A"/>
    <w:rsid w:val="57D66786"/>
    <w:rsid w:val="57DD4699"/>
    <w:rsid w:val="57FF1753"/>
    <w:rsid w:val="581838E1"/>
    <w:rsid w:val="58397A17"/>
    <w:rsid w:val="583C1CAD"/>
    <w:rsid w:val="586B6234"/>
    <w:rsid w:val="587C27B5"/>
    <w:rsid w:val="588615FB"/>
    <w:rsid w:val="58A7021B"/>
    <w:rsid w:val="58BE1ECF"/>
    <w:rsid w:val="58BE475E"/>
    <w:rsid w:val="58DC7276"/>
    <w:rsid w:val="58F01CD7"/>
    <w:rsid w:val="590638FA"/>
    <w:rsid w:val="590C6909"/>
    <w:rsid w:val="591E2113"/>
    <w:rsid w:val="592133CA"/>
    <w:rsid w:val="593E2AD4"/>
    <w:rsid w:val="594303C0"/>
    <w:rsid w:val="598A2F5F"/>
    <w:rsid w:val="59B3095B"/>
    <w:rsid w:val="59C17738"/>
    <w:rsid w:val="59CF6F64"/>
    <w:rsid w:val="59D22124"/>
    <w:rsid w:val="59D77167"/>
    <w:rsid w:val="59EC57FA"/>
    <w:rsid w:val="59FD3EE5"/>
    <w:rsid w:val="5A0F1B5B"/>
    <w:rsid w:val="5A2B4255"/>
    <w:rsid w:val="5A570274"/>
    <w:rsid w:val="5A5B3749"/>
    <w:rsid w:val="5A9155FA"/>
    <w:rsid w:val="5AA65860"/>
    <w:rsid w:val="5AB22D41"/>
    <w:rsid w:val="5ABC2445"/>
    <w:rsid w:val="5AE53974"/>
    <w:rsid w:val="5AE731B8"/>
    <w:rsid w:val="5AFA4F8A"/>
    <w:rsid w:val="5B0B4B3D"/>
    <w:rsid w:val="5B3A1E20"/>
    <w:rsid w:val="5B3C68B4"/>
    <w:rsid w:val="5B462075"/>
    <w:rsid w:val="5B497211"/>
    <w:rsid w:val="5B50466F"/>
    <w:rsid w:val="5B521B3E"/>
    <w:rsid w:val="5B5C070D"/>
    <w:rsid w:val="5B5D10C4"/>
    <w:rsid w:val="5B6B230D"/>
    <w:rsid w:val="5B6D27E1"/>
    <w:rsid w:val="5B7B3AD9"/>
    <w:rsid w:val="5B8C6B05"/>
    <w:rsid w:val="5B9F029A"/>
    <w:rsid w:val="5BA206A7"/>
    <w:rsid w:val="5BAE0432"/>
    <w:rsid w:val="5BBF5A6E"/>
    <w:rsid w:val="5BD16844"/>
    <w:rsid w:val="5BF32245"/>
    <w:rsid w:val="5C0C5329"/>
    <w:rsid w:val="5C225FA7"/>
    <w:rsid w:val="5C47161F"/>
    <w:rsid w:val="5C7155D3"/>
    <w:rsid w:val="5C7A091C"/>
    <w:rsid w:val="5C877CE2"/>
    <w:rsid w:val="5C885B85"/>
    <w:rsid w:val="5CA91110"/>
    <w:rsid w:val="5CEF1C2C"/>
    <w:rsid w:val="5D155BE1"/>
    <w:rsid w:val="5D206E8C"/>
    <w:rsid w:val="5D215412"/>
    <w:rsid w:val="5D261DE6"/>
    <w:rsid w:val="5D464CFA"/>
    <w:rsid w:val="5D4E5502"/>
    <w:rsid w:val="5D564D85"/>
    <w:rsid w:val="5D5A1BF7"/>
    <w:rsid w:val="5D7B43B7"/>
    <w:rsid w:val="5D8D3969"/>
    <w:rsid w:val="5DA2236F"/>
    <w:rsid w:val="5DC618B0"/>
    <w:rsid w:val="5DEC2C3F"/>
    <w:rsid w:val="5DF96054"/>
    <w:rsid w:val="5E011B92"/>
    <w:rsid w:val="5E0621C0"/>
    <w:rsid w:val="5E071EE3"/>
    <w:rsid w:val="5E0C7E67"/>
    <w:rsid w:val="5E3E7C27"/>
    <w:rsid w:val="5E74686B"/>
    <w:rsid w:val="5E9B130F"/>
    <w:rsid w:val="5EBA34AB"/>
    <w:rsid w:val="5EE05833"/>
    <w:rsid w:val="5EE51409"/>
    <w:rsid w:val="5EF870D7"/>
    <w:rsid w:val="5F1E0A55"/>
    <w:rsid w:val="5F2821E0"/>
    <w:rsid w:val="5F2A36D9"/>
    <w:rsid w:val="5F3736F7"/>
    <w:rsid w:val="5F5972B5"/>
    <w:rsid w:val="5F5C3BD5"/>
    <w:rsid w:val="5F5D3471"/>
    <w:rsid w:val="5F650B30"/>
    <w:rsid w:val="5F7009A6"/>
    <w:rsid w:val="5F785507"/>
    <w:rsid w:val="5F7A56A9"/>
    <w:rsid w:val="5FB577CD"/>
    <w:rsid w:val="5FBC4062"/>
    <w:rsid w:val="5FC506E9"/>
    <w:rsid w:val="5FD05297"/>
    <w:rsid w:val="5FDD42FC"/>
    <w:rsid w:val="5FE14711"/>
    <w:rsid w:val="5FF14751"/>
    <w:rsid w:val="5FF35C4A"/>
    <w:rsid w:val="60004C71"/>
    <w:rsid w:val="60140341"/>
    <w:rsid w:val="60200C42"/>
    <w:rsid w:val="60361B67"/>
    <w:rsid w:val="60387C15"/>
    <w:rsid w:val="607428BE"/>
    <w:rsid w:val="6084510D"/>
    <w:rsid w:val="608B1314"/>
    <w:rsid w:val="608D1835"/>
    <w:rsid w:val="60991E33"/>
    <w:rsid w:val="60BD3698"/>
    <w:rsid w:val="60C04DD2"/>
    <w:rsid w:val="60DC265F"/>
    <w:rsid w:val="60DE745E"/>
    <w:rsid w:val="610B7C07"/>
    <w:rsid w:val="615148FB"/>
    <w:rsid w:val="616D5353"/>
    <w:rsid w:val="618B606A"/>
    <w:rsid w:val="618D7445"/>
    <w:rsid w:val="61970B21"/>
    <w:rsid w:val="61AC3A1F"/>
    <w:rsid w:val="61B1530F"/>
    <w:rsid w:val="61B4061F"/>
    <w:rsid w:val="61C601F3"/>
    <w:rsid w:val="61C631F6"/>
    <w:rsid w:val="61C87DD7"/>
    <w:rsid w:val="61D05DA6"/>
    <w:rsid w:val="61DE2D9D"/>
    <w:rsid w:val="620060AA"/>
    <w:rsid w:val="62007BB5"/>
    <w:rsid w:val="620B159A"/>
    <w:rsid w:val="62156EF3"/>
    <w:rsid w:val="62465AA7"/>
    <w:rsid w:val="624D214A"/>
    <w:rsid w:val="624E07D6"/>
    <w:rsid w:val="62552914"/>
    <w:rsid w:val="62554171"/>
    <w:rsid w:val="626F4CF3"/>
    <w:rsid w:val="628606CA"/>
    <w:rsid w:val="62AD0364"/>
    <w:rsid w:val="62C30AFA"/>
    <w:rsid w:val="62E14E70"/>
    <w:rsid w:val="62F457A7"/>
    <w:rsid w:val="62F831CB"/>
    <w:rsid w:val="62F9794D"/>
    <w:rsid w:val="63042F74"/>
    <w:rsid w:val="63110157"/>
    <w:rsid w:val="63163450"/>
    <w:rsid w:val="633749CC"/>
    <w:rsid w:val="63653F0D"/>
    <w:rsid w:val="63853736"/>
    <w:rsid w:val="638C082D"/>
    <w:rsid w:val="639A0C3D"/>
    <w:rsid w:val="639A38C8"/>
    <w:rsid w:val="63A116AB"/>
    <w:rsid w:val="63B47FC2"/>
    <w:rsid w:val="63C90225"/>
    <w:rsid w:val="63E35E53"/>
    <w:rsid w:val="63EA5B4B"/>
    <w:rsid w:val="64124993"/>
    <w:rsid w:val="6415242C"/>
    <w:rsid w:val="64197F20"/>
    <w:rsid w:val="64207756"/>
    <w:rsid w:val="64255C0D"/>
    <w:rsid w:val="64380B9D"/>
    <w:rsid w:val="64533937"/>
    <w:rsid w:val="6459143F"/>
    <w:rsid w:val="646475EB"/>
    <w:rsid w:val="6470611F"/>
    <w:rsid w:val="647771E8"/>
    <w:rsid w:val="64D25A06"/>
    <w:rsid w:val="64D83B69"/>
    <w:rsid w:val="64EB5880"/>
    <w:rsid w:val="65023850"/>
    <w:rsid w:val="6514260D"/>
    <w:rsid w:val="652003AC"/>
    <w:rsid w:val="653757D5"/>
    <w:rsid w:val="654140A9"/>
    <w:rsid w:val="654516C2"/>
    <w:rsid w:val="659106D2"/>
    <w:rsid w:val="65AE2BD8"/>
    <w:rsid w:val="65B6019B"/>
    <w:rsid w:val="65C21893"/>
    <w:rsid w:val="661560A2"/>
    <w:rsid w:val="66166F38"/>
    <w:rsid w:val="661852C6"/>
    <w:rsid w:val="661D6ACD"/>
    <w:rsid w:val="66304D13"/>
    <w:rsid w:val="663A106C"/>
    <w:rsid w:val="663D3E1A"/>
    <w:rsid w:val="665208AB"/>
    <w:rsid w:val="66602964"/>
    <w:rsid w:val="66633D4D"/>
    <w:rsid w:val="667C44BA"/>
    <w:rsid w:val="66857477"/>
    <w:rsid w:val="66A22514"/>
    <w:rsid w:val="66AF2759"/>
    <w:rsid w:val="66B95340"/>
    <w:rsid w:val="6712717F"/>
    <w:rsid w:val="67242EAA"/>
    <w:rsid w:val="67293416"/>
    <w:rsid w:val="67546B21"/>
    <w:rsid w:val="675A5144"/>
    <w:rsid w:val="67621B26"/>
    <w:rsid w:val="67773D11"/>
    <w:rsid w:val="679A1153"/>
    <w:rsid w:val="679B652F"/>
    <w:rsid w:val="67B87998"/>
    <w:rsid w:val="67EE6639"/>
    <w:rsid w:val="67FC76B8"/>
    <w:rsid w:val="6800753B"/>
    <w:rsid w:val="68074459"/>
    <w:rsid w:val="683B09FD"/>
    <w:rsid w:val="683C3851"/>
    <w:rsid w:val="68416C0E"/>
    <w:rsid w:val="68470F5F"/>
    <w:rsid w:val="6851301E"/>
    <w:rsid w:val="685263C7"/>
    <w:rsid w:val="687A3803"/>
    <w:rsid w:val="68893C7F"/>
    <w:rsid w:val="688D3042"/>
    <w:rsid w:val="68B77C06"/>
    <w:rsid w:val="68C416C2"/>
    <w:rsid w:val="68C835E6"/>
    <w:rsid w:val="68F35C7E"/>
    <w:rsid w:val="690078FC"/>
    <w:rsid w:val="69021059"/>
    <w:rsid w:val="69142624"/>
    <w:rsid w:val="69253A48"/>
    <w:rsid w:val="692D5CD4"/>
    <w:rsid w:val="694F3806"/>
    <w:rsid w:val="695556F1"/>
    <w:rsid w:val="695F4647"/>
    <w:rsid w:val="696B5BE5"/>
    <w:rsid w:val="697F38E6"/>
    <w:rsid w:val="699242DF"/>
    <w:rsid w:val="69A9760B"/>
    <w:rsid w:val="69BB4267"/>
    <w:rsid w:val="69C14413"/>
    <w:rsid w:val="69C50256"/>
    <w:rsid w:val="69D75658"/>
    <w:rsid w:val="69DD789A"/>
    <w:rsid w:val="69F951AF"/>
    <w:rsid w:val="6A092AC7"/>
    <w:rsid w:val="6A0B3498"/>
    <w:rsid w:val="6A7B381F"/>
    <w:rsid w:val="6A981298"/>
    <w:rsid w:val="6A9D6330"/>
    <w:rsid w:val="6AA1791F"/>
    <w:rsid w:val="6AA57095"/>
    <w:rsid w:val="6AAD71A8"/>
    <w:rsid w:val="6ABA47B1"/>
    <w:rsid w:val="6AC742F1"/>
    <w:rsid w:val="6ACD4857"/>
    <w:rsid w:val="6AE42C06"/>
    <w:rsid w:val="6B3A7BC1"/>
    <w:rsid w:val="6B496245"/>
    <w:rsid w:val="6B4A78F9"/>
    <w:rsid w:val="6B5D3802"/>
    <w:rsid w:val="6B727713"/>
    <w:rsid w:val="6B7975A2"/>
    <w:rsid w:val="6B7D1EE4"/>
    <w:rsid w:val="6B9C69F1"/>
    <w:rsid w:val="6BA31E24"/>
    <w:rsid w:val="6BC90B44"/>
    <w:rsid w:val="6BD0637C"/>
    <w:rsid w:val="6BD5266B"/>
    <w:rsid w:val="6BE168A6"/>
    <w:rsid w:val="6C144133"/>
    <w:rsid w:val="6C66496C"/>
    <w:rsid w:val="6C953FB6"/>
    <w:rsid w:val="6C954E4D"/>
    <w:rsid w:val="6C972D91"/>
    <w:rsid w:val="6C9C1971"/>
    <w:rsid w:val="6C9E7751"/>
    <w:rsid w:val="6CA71E85"/>
    <w:rsid w:val="6CB43B69"/>
    <w:rsid w:val="6CBC431E"/>
    <w:rsid w:val="6CDC3283"/>
    <w:rsid w:val="6CE635EB"/>
    <w:rsid w:val="6D0E1251"/>
    <w:rsid w:val="6D2329D9"/>
    <w:rsid w:val="6D256854"/>
    <w:rsid w:val="6D337701"/>
    <w:rsid w:val="6D432F76"/>
    <w:rsid w:val="6D5371CE"/>
    <w:rsid w:val="6D5E51D0"/>
    <w:rsid w:val="6D611FC3"/>
    <w:rsid w:val="6D8E20EA"/>
    <w:rsid w:val="6D9D71E3"/>
    <w:rsid w:val="6DA012D8"/>
    <w:rsid w:val="6DAD0FAF"/>
    <w:rsid w:val="6DAD76D7"/>
    <w:rsid w:val="6DCF4F92"/>
    <w:rsid w:val="6DD42D8C"/>
    <w:rsid w:val="6DD639C7"/>
    <w:rsid w:val="6DE35F7C"/>
    <w:rsid w:val="6DEA1D4F"/>
    <w:rsid w:val="6DFC0194"/>
    <w:rsid w:val="6E011A4E"/>
    <w:rsid w:val="6E1365DC"/>
    <w:rsid w:val="6E205A5D"/>
    <w:rsid w:val="6E28030A"/>
    <w:rsid w:val="6E2A314C"/>
    <w:rsid w:val="6E2C1337"/>
    <w:rsid w:val="6E3E3F17"/>
    <w:rsid w:val="6E3E496D"/>
    <w:rsid w:val="6E730F64"/>
    <w:rsid w:val="6E780F21"/>
    <w:rsid w:val="6E8503D9"/>
    <w:rsid w:val="6E877239"/>
    <w:rsid w:val="6EB06D86"/>
    <w:rsid w:val="6EBF588C"/>
    <w:rsid w:val="6EC63E60"/>
    <w:rsid w:val="6EFF1CAD"/>
    <w:rsid w:val="6F0577A8"/>
    <w:rsid w:val="6F222E62"/>
    <w:rsid w:val="6F541C16"/>
    <w:rsid w:val="6F5903AF"/>
    <w:rsid w:val="6F591CEC"/>
    <w:rsid w:val="6F734DB9"/>
    <w:rsid w:val="6F887AD1"/>
    <w:rsid w:val="6F96351B"/>
    <w:rsid w:val="6FB2118C"/>
    <w:rsid w:val="6FB311E5"/>
    <w:rsid w:val="6FBB3ABC"/>
    <w:rsid w:val="6FCA1481"/>
    <w:rsid w:val="6FE25552"/>
    <w:rsid w:val="6FEA7830"/>
    <w:rsid w:val="700134AA"/>
    <w:rsid w:val="700700F7"/>
    <w:rsid w:val="70093EB1"/>
    <w:rsid w:val="70094F86"/>
    <w:rsid w:val="700A1845"/>
    <w:rsid w:val="705802FB"/>
    <w:rsid w:val="705C5C76"/>
    <w:rsid w:val="706502DB"/>
    <w:rsid w:val="70653DE6"/>
    <w:rsid w:val="7086384E"/>
    <w:rsid w:val="70CB0A7C"/>
    <w:rsid w:val="70D2143E"/>
    <w:rsid w:val="71052DE1"/>
    <w:rsid w:val="71202CB5"/>
    <w:rsid w:val="71540696"/>
    <w:rsid w:val="718F0F81"/>
    <w:rsid w:val="719B1355"/>
    <w:rsid w:val="71AC7FA4"/>
    <w:rsid w:val="71C07997"/>
    <w:rsid w:val="71C138D1"/>
    <w:rsid w:val="71D7617B"/>
    <w:rsid w:val="71DB2123"/>
    <w:rsid w:val="71E41E9A"/>
    <w:rsid w:val="71EE11EF"/>
    <w:rsid w:val="71EE461B"/>
    <w:rsid w:val="71F66ABB"/>
    <w:rsid w:val="720134A3"/>
    <w:rsid w:val="72195DC1"/>
    <w:rsid w:val="721C2315"/>
    <w:rsid w:val="721F4573"/>
    <w:rsid w:val="722542A3"/>
    <w:rsid w:val="72257E5C"/>
    <w:rsid w:val="7239292E"/>
    <w:rsid w:val="72433156"/>
    <w:rsid w:val="72695AC8"/>
    <w:rsid w:val="728B181F"/>
    <w:rsid w:val="729A506B"/>
    <w:rsid w:val="72A51228"/>
    <w:rsid w:val="72D26676"/>
    <w:rsid w:val="72E44B0B"/>
    <w:rsid w:val="72E522DC"/>
    <w:rsid w:val="730F704C"/>
    <w:rsid w:val="7368498D"/>
    <w:rsid w:val="736C0EE8"/>
    <w:rsid w:val="73891B24"/>
    <w:rsid w:val="73AC559E"/>
    <w:rsid w:val="73B34071"/>
    <w:rsid w:val="73F317FC"/>
    <w:rsid w:val="74214815"/>
    <w:rsid w:val="74443D60"/>
    <w:rsid w:val="744F5867"/>
    <w:rsid w:val="7450002F"/>
    <w:rsid w:val="74807369"/>
    <w:rsid w:val="748C5385"/>
    <w:rsid w:val="748E1B2A"/>
    <w:rsid w:val="74B23BEA"/>
    <w:rsid w:val="74BA6292"/>
    <w:rsid w:val="74D707AF"/>
    <w:rsid w:val="74DC3986"/>
    <w:rsid w:val="74F96ACC"/>
    <w:rsid w:val="751308C7"/>
    <w:rsid w:val="7530069E"/>
    <w:rsid w:val="754C3AA7"/>
    <w:rsid w:val="75526B55"/>
    <w:rsid w:val="756366FA"/>
    <w:rsid w:val="758E7DBB"/>
    <w:rsid w:val="75B55351"/>
    <w:rsid w:val="75B64648"/>
    <w:rsid w:val="75BD2DF8"/>
    <w:rsid w:val="75D47AED"/>
    <w:rsid w:val="75E336A0"/>
    <w:rsid w:val="75E430AA"/>
    <w:rsid w:val="75E554A0"/>
    <w:rsid w:val="76024A0A"/>
    <w:rsid w:val="76352ADC"/>
    <w:rsid w:val="76416161"/>
    <w:rsid w:val="76464C3F"/>
    <w:rsid w:val="7648231B"/>
    <w:rsid w:val="766107C7"/>
    <w:rsid w:val="767C4975"/>
    <w:rsid w:val="76894804"/>
    <w:rsid w:val="76915069"/>
    <w:rsid w:val="769369CF"/>
    <w:rsid w:val="76962A71"/>
    <w:rsid w:val="76D00E44"/>
    <w:rsid w:val="76F52BE3"/>
    <w:rsid w:val="76F90963"/>
    <w:rsid w:val="77021823"/>
    <w:rsid w:val="77213A07"/>
    <w:rsid w:val="772C2612"/>
    <w:rsid w:val="77315274"/>
    <w:rsid w:val="77486DE8"/>
    <w:rsid w:val="774C2B98"/>
    <w:rsid w:val="775153D4"/>
    <w:rsid w:val="77534405"/>
    <w:rsid w:val="77616742"/>
    <w:rsid w:val="7762727C"/>
    <w:rsid w:val="776A1AE3"/>
    <w:rsid w:val="777C76F2"/>
    <w:rsid w:val="77853090"/>
    <w:rsid w:val="778C4DFC"/>
    <w:rsid w:val="77B062EF"/>
    <w:rsid w:val="77F91F88"/>
    <w:rsid w:val="7823056C"/>
    <w:rsid w:val="78354704"/>
    <w:rsid w:val="784D1317"/>
    <w:rsid w:val="78901767"/>
    <w:rsid w:val="78D741CC"/>
    <w:rsid w:val="78E149C4"/>
    <w:rsid w:val="78E45ADF"/>
    <w:rsid w:val="78EE3344"/>
    <w:rsid w:val="78FC3EE6"/>
    <w:rsid w:val="790611D7"/>
    <w:rsid w:val="791D6F6D"/>
    <w:rsid w:val="793D3BB1"/>
    <w:rsid w:val="794A2F1B"/>
    <w:rsid w:val="79553245"/>
    <w:rsid w:val="797A2A0C"/>
    <w:rsid w:val="799F4F4E"/>
    <w:rsid w:val="79A075BD"/>
    <w:rsid w:val="79AC7FAC"/>
    <w:rsid w:val="79D32140"/>
    <w:rsid w:val="79DE2100"/>
    <w:rsid w:val="7A0200B7"/>
    <w:rsid w:val="7A2E04CC"/>
    <w:rsid w:val="7A532AD7"/>
    <w:rsid w:val="7A602904"/>
    <w:rsid w:val="7A6F6402"/>
    <w:rsid w:val="7A704EDB"/>
    <w:rsid w:val="7A7549CC"/>
    <w:rsid w:val="7A933F01"/>
    <w:rsid w:val="7ACF737E"/>
    <w:rsid w:val="7ADA7EEF"/>
    <w:rsid w:val="7AF31DC6"/>
    <w:rsid w:val="7AFF6ABC"/>
    <w:rsid w:val="7B0458BF"/>
    <w:rsid w:val="7B0D54FF"/>
    <w:rsid w:val="7B4664A3"/>
    <w:rsid w:val="7BA12185"/>
    <w:rsid w:val="7BC459F1"/>
    <w:rsid w:val="7BE17EE7"/>
    <w:rsid w:val="7BF567AE"/>
    <w:rsid w:val="7C1A70F3"/>
    <w:rsid w:val="7C1D5ECC"/>
    <w:rsid w:val="7C947B48"/>
    <w:rsid w:val="7CB05E0B"/>
    <w:rsid w:val="7CBC4880"/>
    <w:rsid w:val="7CF219C5"/>
    <w:rsid w:val="7D200427"/>
    <w:rsid w:val="7D233218"/>
    <w:rsid w:val="7D497236"/>
    <w:rsid w:val="7D546BC4"/>
    <w:rsid w:val="7D60281D"/>
    <w:rsid w:val="7D6767FA"/>
    <w:rsid w:val="7D6825CB"/>
    <w:rsid w:val="7D85436B"/>
    <w:rsid w:val="7D931F5E"/>
    <w:rsid w:val="7D9D416A"/>
    <w:rsid w:val="7DAD6003"/>
    <w:rsid w:val="7DB313DD"/>
    <w:rsid w:val="7DBB4EC4"/>
    <w:rsid w:val="7DDB4010"/>
    <w:rsid w:val="7DDD7E37"/>
    <w:rsid w:val="7E1677FE"/>
    <w:rsid w:val="7E230CA6"/>
    <w:rsid w:val="7E3835FD"/>
    <w:rsid w:val="7E38795B"/>
    <w:rsid w:val="7E5A7DBC"/>
    <w:rsid w:val="7E5E1AC1"/>
    <w:rsid w:val="7E677AFF"/>
    <w:rsid w:val="7E712E92"/>
    <w:rsid w:val="7E753DE4"/>
    <w:rsid w:val="7E872530"/>
    <w:rsid w:val="7EB9724B"/>
    <w:rsid w:val="7EC145B8"/>
    <w:rsid w:val="7ECA40E2"/>
    <w:rsid w:val="7ED55C37"/>
    <w:rsid w:val="7EE03800"/>
    <w:rsid w:val="7F191935"/>
    <w:rsid w:val="7F1D178A"/>
    <w:rsid w:val="7F3D6401"/>
    <w:rsid w:val="7F5B1A55"/>
    <w:rsid w:val="7F9D1FD9"/>
    <w:rsid w:val="7FAF743D"/>
    <w:rsid w:val="7FB930F4"/>
    <w:rsid w:val="7FC07296"/>
    <w:rsid w:val="7FC43944"/>
    <w:rsid w:val="7FD860E1"/>
    <w:rsid w:val="7FDC3B78"/>
    <w:rsid w:val="7FEC1F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120" w:after="120"/>
      <w:jc w:val="center"/>
      <w:outlineLvl w:val="0"/>
    </w:pPr>
    <w:rPr>
      <w:rFonts w:eastAsia="黑体"/>
      <w:b/>
      <w:bCs/>
      <w:kern w:val="0"/>
      <w:sz w:val="72"/>
      <w:szCs w:val="44"/>
    </w:rPr>
  </w:style>
  <w:style w:type="paragraph" w:styleId="4">
    <w:name w:val="heading 2"/>
    <w:basedOn w:val="1"/>
    <w:next w:val="1"/>
    <w:link w:val="24"/>
    <w:qFormat/>
    <w:uiPriority w:val="0"/>
    <w:pPr>
      <w:keepNext/>
      <w:keepLines/>
      <w:spacing w:before="120" w:after="120"/>
      <w:jc w:val="center"/>
      <w:outlineLvl w:val="1"/>
    </w:pPr>
    <w:rPr>
      <w:rFonts w:ascii="Arial" w:hAnsi="Arial" w:eastAsia="黑体"/>
      <w:b/>
      <w:bCs/>
      <w:kern w:val="0"/>
      <w:sz w:val="32"/>
      <w:szCs w:val="32"/>
    </w:rPr>
  </w:style>
  <w:style w:type="paragraph" w:styleId="5">
    <w:name w:val="heading 3"/>
    <w:basedOn w:val="1"/>
    <w:next w:val="1"/>
    <w:link w:val="25"/>
    <w:qFormat/>
    <w:uiPriority w:val="0"/>
    <w:pPr>
      <w:keepNext/>
      <w:keepLines/>
      <w:spacing w:before="20" w:after="20"/>
      <w:outlineLvl w:val="2"/>
    </w:pPr>
    <w:rPr>
      <w:rFonts w:eastAsia="黑体"/>
      <w:kern w:val="0"/>
      <w:sz w:val="28"/>
      <w:szCs w:val="32"/>
    </w:rPr>
  </w:style>
  <w:style w:type="paragraph" w:styleId="6">
    <w:name w:val="heading 4"/>
    <w:basedOn w:val="1"/>
    <w:next w:val="1"/>
    <w:link w:val="26"/>
    <w:qFormat/>
    <w:uiPriority w:val="99"/>
    <w:pPr>
      <w:keepNext/>
      <w:keepLines/>
      <w:outlineLvl w:val="3"/>
    </w:pPr>
    <w:rPr>
      <w:rFonts w:ascii="Arial" w:hAnsi="Arial" w:eastAsia="黑体"/>
      <w:bCs/>
      <w:kern w:val="0"/>
      <w:sz w:val="24"/>
      <w:szCs w:val="28"/>
    </w:rPr>
  </w:style>
  <w:style w:type="paragraph" w:styleId="7">
    <w:name w:val="heading 5"/>
    <w:basedOn w:val="1"/>
    <w:next w:val="1"/>
    <w:link w:val="27"/>
    <w:qFormat/>
    <w:uiPriority w:val="99"/>
    <w:pPr>
      <w:keepNext/>
      <w:keepLines/>
      <w:jc w:val="center"/>
      <w:outlineLvl w:val="4"/>
    </w:pPr>
    <w:rPr>
      <w:rFonts w:ascii="宋体" w:hAnsi="宋体"/>
      <w:b/>
      <w:bCs/>
      <w:szCs w:val="21"/>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仿宋_GB2312" w:eastAsia="仿宋_GB2312"/>
      <w:sz w:val="24"/>
    </w:rPr>
  </w:style>
  <w:style w:type="paragraph" w:styleId="8">
    <w:name w:val="Normal Indent"/>
    <w:basedOn w:val="1"/>
    <w:qFormat/>
    <w:uiPriority w:val="0"/>
    <w:pPr>
      <w:ind w:firstLine="420" w:firstLineChars="200"/>
    </w:pPr>
  </w:style>
  <w:style w:type="paragraph" w:styleId="9">
    <w:name w:val="Document Map"/>
    <w:basedOn w:val="1"/>
    <w:qFormat/>
    <w:uiPriority w:val="99"/>
    <w:pPr>
      <w:shd w:val="clear" w:color="auto" w:fill="000080"/>
    </w:pPr>
  </w:style>
  <w:style w:type="paragraph" w:styleId="10">
    <w:name w:val="annotation text"/>
    <w:basedOn w:val="1"/>
    <w:link w:val="28"/>
    <w:qFormat/>
    <w:uiPriority w:val="99"/>
    <w:pPr>
      <w:jc w:val="left"/>
    </w:pPr>
  </w:style>
  <w:style w:type="paragraph" w:styleId="11">
    <w:name w:val="Date"/>
    <w:basedOn w:val="1"/>
    <w:next w:val="1"/>
    <w:link w:val="29"/>
    <w:qFormat/>
    <w:uiPriority w:val="0"/>
    <w:pPr>
      <w:adjustRightInd w:val="0"/>
      <w:spacing w:line="360" w:lineRule="atLeast"/>
    </w:pPr>
    <w:rPr>
      <w:rFonts w:ascii="宋体"/>
      <w:kern w:val="0"/>
      <w:sz w:val="24"/>
      <w:szCs w:val="20"/>
    </w:rPr>
  </w:style>
  <w:style w:type="paragraph" w:styleId="12">
    <w:name w:val="Balloon Text"/>
    <w:basedOn w:val="1"/>
    <w:link w:val="39"/>
    <w:semiHidden/>
    <w:unhideWhenUsed/>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302"/>
      </w:tabs>
      <w:spacing w:line="440" w:lineRule="exact"/>
      <w:ind w:left="540" w:leftChars="257"/>
      <w:jc w:val="left"/>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40"/>
    <w:semiHidden/>
    <w:unhideWhenUsed/>
    <w:qFormat/>
    <w:uiPriority w:val="99"/>
    <w:rPr>
      <w:b/>
      <w:bCs/>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basedOn w:val="19"/>
    <w:semiHidden/>
    <w:unhideWhenUsed/>
    <w:qFormat/>
    <w:uiPriority w:val="99"/>
    <w:rPr>
      <w:sz w:val="21"/>
      <w:szCs w:val="21"/>
    </w:rPr>
  </w:style>
  <w:style w:type="character" w:customStyle="1" w:styleId="23">
    <w:name w:val="标题 1 字符"/>
    <w:link w:val="3"/>
    <w:qFormat/>
    <w:locked/>
    <w:uiPriority w:val="99"/>
    <w:rPr>
      <w:rFonts w:cs="Times New Roman"/>
      <w:b/>
      <w:bCs/>
      <w:kern w:val="44"/>
      <w:sz w:val="44"/>
      <w:szCs w:val="44"/>
    </w:rPr>
  </w:style>
  <w:style w:type="character" w:customStyle="1" w:styleId="24">
    <w:name w:val="标题 2 字符"/>
    <w:link w:val="4"/>
    <w:qFormat/>
    <w:locked/>
    <w:uiPriority w:val="0"/>
    <w:rPr>
      <w:rFonts w:ascii="Cambria" w:hAnsi="Cambria" w:eastAsia="宋体" w:cs="Times New Roman"/>
      <w:b/>
      <w:bCs/>
      <w:sz w:val="32"/>
      <w:szCs w:val="32"/>
    </w:rPr>
  </w:style>
  <w:style w:type="character" w:customStyle="1" w:styleId="25">
    <w:name w:val="标题 3 字符"/>
    <w:link w:val="5"/>
    <w:qFormat/>
    <w:locked/>
    <w:uiPriority w:val="0"/>
    <w:rPr>
      <w:rFonts w:cs="Times New Roman"/>
      <w:b/>
      <w:bCs/>
      <w:sz w:val="32"/>
      <w:szCs w:val="32"/>
    </w:rPr>
  </w:style>
  <w:style w:type="character" w:customStyle="1" w:styleId="26">
    <w:name w:val="标题 4 字符"/>
    <w:link w:val="6"/>
    <w:semiHidden/>
    <w:qFormat/>
    <w:locked/>
    <w:uiPriority w:val="99"/>
    <w:rPr>
      <w:rFonts w:ascii="Cambria" w:hAnsi="Cambria" w:eastAsia="宋体" w:cs="Times New Roman"/>
      <w:b/>
      <w:bCs/>
      <w:sz w:val="28"/>
      <w:szCs w:val="28"/>
    </w:rPr>
  </w:style>
  <w:style w:type="character" w:customStyle="1" w:styleId="27">
    <w:name w:val="标题 5 字符"/>
    <w:link w:val="7"/>
    <w:semiHidden/>
    <w:qFormat/>
    <w:locked/>
    <w:uiPriority w:val="99"/>
    <w:rPr>
      <w:rFonts w:cs="Times New Roman"/>
      <w:b/>
      <w:bCs/>
      <w:sz w:val="28"/>
      <w:szCs w:val="28"/>
    </w:rPr>
  </w:style>
  <w:style w:type="character" w:customStyle="1" w:styleId="28">
    <w:name w:val="批注文字 字符"/>
    <w:link w:val="10"/>
    <w:semiHidden/>
    <w:qFormat/>
    <w:locked/>
    <w:uiPriority w:val="99"/>
    <w:rPr>
      <w:rFonts w:cs="Times New Roman"/>
      <w:sz w:val="24"/>
      <w:szCs w:val="24"/>
    </w:rPr>
  </w:style>
  <w:style w:type="character" w:customStyle="1" w:styleId="29">
    <w:name w:val="日期 字符"/>
    <w:link w:val="11"/>
    <w:semiHidden/>
    <w:qFormat/>
    <w:locked/>
    <w:uiPriority w:val="0"/>
    <w:rPr>
      <w:rFonts w:cs="Times New Roman"/>
      <w:sz w:val="24"/>
      <w:szCs w:val="24"/>
    </w:rPr>
  </w:style>
  <w:style w:type="character" w:customStyle="1" w:styleId="30">
    <w:name w:val="页脚 字符"/>
    <w:link w:val="13"/>
    <w:semiHidden/>
    <w:qFormat/>
    <w:locked/>
    <w:uiPriority w:val="99"/>
    <w:rPr>
      <w:rFonts w:cs="Times New Roman"/>
      <w:sz w:val="18"/>
      <w:szCs w:val="18"/>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样式 标题 3 + (中文) 黑体 小四 非加粗 段前: 7.8 磅 段后: 0 磅 行距: 固定值 20 磅"/>
    <w:basedOn w:val="5"/>
    <w:next w:val="1"/>
    <w:qFormat/>
    <w:uiPriority w:val="99"/>
    <w:pPr>
      <w:spacing w:before="0" w:after="0" w:line="400" w:lineRule="exact"/>
    </w:pPr>
    <w:rPr>
      <w:sz w:val="24"/>
      <w:szCs w:val="20"/>
    </w:rPr>
  </w:style>
  <w:style w:type="paragraph" w:customStyle="1" w:styleId="3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4">
    <w:name w:val="font11"/>
    <w:qFormat/>
    <w:uiPriority w:val="99"/>
    <w:rPr>
      <w:rFonts w:ascii="宋体" w:hAnsi="宋体" w:eastAsia="宋体" w:cs="宋体"/>
      <w:color w:val="000000"/>
      <w:sz w:val="20"/>
      <w:szCs w:val="20"/>
    </w:rPr>
  </w:style>
  <w:style w:type="paragraph" w:customStyle="1" w:styleId="35">
    <w:name w:val="无间隔1"/>
    <w:link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styleId="37">
    <w:name w:val="List Paragraph"/>
    <w:basedOn w:val="1"/>
    <w:unhideWhenUsed/>
    <w:qFormat/>
    <w:uiPriority w:val="99"/>
    <w:pPr>
      <w:ind w:firstLine="420" w:firstLineChars="200"/>
    </w:pPr>
  </w:style>
  <w:style w:type="character" w:customStyle="1" w:styleId="38">
    <w:name w:val="页眉 字符"/>
    <w:basedOn w:val="19"/>
    <w:link w:val="14"/>
    <w:qFormat/>
    <w:uiPriority w:val="99"/>
    <w:rPr>
      <w:kern w:val="2"/>
      <w:sz w:val="18"/>
      <w:szCs w:val="18"/>
    </w:rPr>
  </w:style>
  <w:style w:type="character" w:customStyle="1" w:styleId="39">
    <w:name w:val="批注框文本 字符"/>
    <w:basedOn w:val="19"/>
    <w:link w:val="12"/>
    <w:semiHidden/>
    <w:qFormat/>
    <w:uiPriority w:val="99"/>
    <w:rPr>
      <w:kern w:val="2"/>
      <w:sz w:val="18"/>
      <w:szCs w:val="18"/>
    </w:rPr>
  </w:style>
  <w:style w:type="character" w:customStyle="1" w:styleId="40">
    <w:name w:val="批注主题 字符"/>
    <w:basedOn w:val="28"/>
    <w:link w:val="17"/>
    <w:semiHidden/>
    <w:qFormat/>
    <w:uiPriority w:val="99"/>
    <w:rPr>
      <w:rFonts w:cs="Times New Roman"/>
      <w:b/>
      <w:bCs/>
      <w:kern w:val="2"/>
      <w:sz w:val="21"/>
      <w:szCs w:val="24"/>
    </w:rPr>
  </w:style>
  <w:style w:type="paragraph" w:customStyle="1" w:styleId="41">
    <w:name w:val="_Style 1"/>
    <w:qFormat/>
    <w:uiPriority w:val="99"/>
    <w:pPr>
      <w:adjustRightInd w:val="0"/>
      <w:snapToGrid w:val="0"/>
    </w:pPr>
    <w:rPr>
      <w:rFonts w:ascii="Tahoma" w:hAnsi="Tahoma" w:eastAsia="微软雅黑" w:cs="Times New Roman"/>
      <w:sz w:val="22"/>
      <w:szCs w:val="22"/>
      <w:lang w:val="en-US" w:eastAsia="zh-CN" w:bidi="ar-SA"/>
    </w:rPr>
  </w:style>
  <w:style w:type="character" w:customStyle="1" w:styleId="42">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3">
    <w:name w:val="UserStyle_4"/>
    <w:qFormat/>
    <w:uiPriority w:val="0"/>
    <w:pPr>
      <w:textAlignment w:val="baseline"/>
    </w:pPr>
    <w:rPr>
      <w:rFonts w:ascii="Times New Roman" w:hAnsi="Times New Roman" w:eastAsia="Times New Roman" w:cstheme="minorBidi"/>
      <w:sz w:val="24"/>
      <w:szCs w:val="24"/>
      <w:lang w:val="en-US" w:eastAsia="zh-CN" w:bidi="ar-SA"/>
    </w:rPr>
  </w:style>
  <w:style w:type="character" w:customStyle="1" w:styleId="44">
    <w:name w:val="无间隔 Char"/>
    <w:link w:val="3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38BE-68DF-482C-BE71-4AA647DA56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21312</Words>
  <Characters>22849</Characters>
  <Lines>218</Lines>
  <Paragraphs>61</Paragraphs>
  <TotalTime>8</TotalTime>
  <ScaleCrop>false</ScaleCrop>
  <LinksUpToDate>false</LinksUpToDate>
  <CharactersWithSpaces>23231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2021-07-21T04:34:00Z</dcterms:created>
  <dc:creator>Administrator</dc:creator>
  <cp:lastModifiedBy>丁飞</cp:lastModifiedBy>
  <cp:lastPrinted>2021-03-12T01:10:00Z</cp:lastPrinted>
  <dcterms:modified xsi:type="dcterms:W3CDTF">2022-08-11T08:07:06Z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4F4EA01D95E043BEBA1668ABB5ECE779</vt:lpwstr>
  </property>
</Properties>
</file>