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ascii="黑体" w:hAnsi="华文中宋" w:eastAsia="黑体"/>
          <w:bCs/>
          <w:spacing w:val="20"/>
          <w:sz w:val="72"/>
          <w:szCs w:val="72"/>
        </w:rPr>
      </w:pPr>
    </w:p>
    <w:p>
      <w:pPr>
        <w:jc w:val="center"/>
        <w:rPr>
          <w:rStyle w:val="10"/>
          <w:rFonts w:ascii="黑体" w:hAnsi="华文中宋" w:eastAsia="黑体"/>
          <w:bCs/>
          <w:spacing w:val="20"/>
          <w:sz w:val="72"/>
          <w:szCs w:val="72"/>
        </w:rPr>
      </w:pPr>
    </w:p>
    <w:p>
      <w:pPr>
        <w:rPr>
          <w:rStyle w:val="10"/>
          <w:rFonts w:ascii="华文中宋" w:hAnsi="华文中宋" w:eastAsia="华文中宋"/>
          <w:bCs/>
          <w:sz w:val="30"/>
        </w:rPr>
      </w:pPr>
    </w:p>
    <w:p>
      <w:pPr>
        <w:rPr>
          <w:rStyle w:val="10"/>
          <w:rFonts w:ascii="华文中宋" w:hAnsi="华文中宋" w:eastAsia="华文中宋"/>
          <w:bCs/>
          <w:sz w:val="30"/>
        </w:rPr>
      </w:pPr>
    </w:p>
    <w:p>
      <w:pPr>
        <w:rPr>
          <w:rStyle w:val="10"/>
          <w:rFonts w:ascii="华文中宋" w:hAnsi="华文中宋" w:eastAsia="华文中宋"/>
          <w:bCs/>
          <w:sz w:val="30"/>
        </w:rPr>
      </w:pPr>
    </w:p>
    <w:p>
      <w:pPr>
        <w:jc w:val="center"/>
        <w:rPr>
          <w:rStyle w:val="10"/>
          <w:rFonts w:ascii="黑体" w:hAnsi="华文中宋" w:eastAsia="黑体"/>
          <w:bCs/>
          <w:spacing w:val="20"/>
          <w:sz w:val="84"/>
          <w:szCs w:val="84"/>
        </w:rPr>
      </w:pPr>
      <w:r>
        <w:rPr>
          <w:rStyle w:val="10"/>
          <w:rFonts w:ascii="黑体" w:hAnsi="华文中宋" w:eastAsia="黑体"/>
          <w:bCs/>
          <w:spacing w:val="20"/>
          <w:w w:val="90"/>
          <w:sz w:val="84"/>
          <w:szCs w:val="84"/>
        </w:rPr>
        <w:t xml:space="preserve">   </w:t>
      </w:r>
      <w: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自选图形 17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 name="A3" fmla="val 0"/>
                          </a:gdLst>
                          <a:ahLst/>
                          <a:cxnLst/>
                          <a:pathLst/>
                        </a:custGeom>
                        <a:noFill/>
                        <a:ln>
                          <a:noFill/>
                        </a:ln>
                      </wps:spPr>
                      <wps:bodyPr upright="1"/>
                    </wps:wsp>
                  </a:graphicData>
                </a:graphic>
              </wp:anchor>
            </w:drawing>
          </mc:Choice>
          <mc:Fallback>
            <w:pict>
              <v:shape id="自选图形 170"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ZmAot8BAADwAwAADgAAAGRycy9lMm9Eb2MueG1srVNLbhQxEN0jcQfL&#10;e6Z7JiKg1vRESKOwiSDSwAEcf7qt+CfbM92zY4c4AzuW3AFuEyncgrL7Qz4SyiKbVrk+r+q9ql6f&#10;9VqhA/dBWlPj5aLEiBtqmTRNjT9/On/1FqMQiWFEWcNrfOQBn21evlh3ruIr21rFuEcAYkLVuRq3&#10;MbqqKAJtuSZhYR03EBTWaxLh6ZuCedIBulbFqixPi8565rylPATwbocgHhH9UwCtEJLyraV7zU0c&#10;UD1XJAKl0EoX8CZPKwSn8aMQgUekagxMY/5CE7Cv0rfYrEnVeOJaSccRyFNGeMBJE2mg6Qy1JZGg&#10;vZePoLSk3gYr4oJaXQxEsiLAYlk+0GbXEsczF5A6uFn08Hyw9MPh0iPJ4BIwMkTDwm+//vzz5dvN&#10;9983v36g5RtQqpWM8XQsSa7OhQqqdu7SJ8LBXVh6HZCxO65A7jGruJeWHmEs6IXXqRC4oz4v4jgv&#10;gvcRUXCenrwuS2hMITTa0Lkg1VRM9yG+5zYDkcNFiMMeGVh5C2zk8g5YCa1gpQei0LTuObr6b/Tk&#10;URQmaKYepJ3a0t5MpiNxdEPq3SGNPZdK5SmVSSPODkhMnizYoFFS68qyIyxm77xs2nuiwiFkKcaj&#10;TZd2952R/v2o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mP3XpzwAAAAUBAAAPAAAAAAAAAAEA&#10;IAAAACIAAABkcnMvZG93bnJldi54bWxQSwECFAAUAAAACACHTuJA/ZmAot8BAADwAwAADgAAAAAA&#10;AAABACAAAAAeAQAAZHJzL2Uyb0RvYy54bWxQSwUGAAAAAAYABgBZAQAAbwUAAAAA&#10;">
                <v:fill on="f" focussize="0,0"/>
                <v:stroke on="f"/>
                <v:imagedata o:title=""/>
                <o:lock v:ext="edit" selection="t" aspectratio="f"/>
              </v:shape>
            </w:pict>
          </mc:Fallback>
        </mc:AlternateContent>
      </w:r>
      <w:r>
        <mc:AlternateContent>
          <mc:Choice Requires="wps">
            <w:drawing>
              <wp:anchor distT="0" distB="0" distL="114300" distR="114300" simplePos="0" relativeHeight="251662336" behindDoc="0" locked="0" layoutInCell="0" allowOverlap="1">
                <wp:simplePos x="0" y="0"/>
                <wp:positionH relativeFrom="column">
                  <wp:posOffset>-114300</wp:posOffset>
                </wp:positionH>
                <wp:positionV relativeFrom="paragraph">
                  <wp:posOffset>198120</wp:posOffset>
                </wp:positionV>
                <wp:extent cx="635" cy="0"/>
                <wp:effectExtent l="0" t="0" r="0" b="0"/>
                <wp:wrapNone/>
                <wp:docPr id="4"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15.6pt;height:0pt;width:0.05pt;z-index:251662336;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B11h2N5AEAANcDAAAOAAAAZHJzL2Uyb0RvYy54bWytU0uO&#10;EzEQ3SNxB8t70klgRtBKZxYThg2CkYADVPzptuSfXE46OQvXYMWG48w1KLszGRg2WdALd7lcflXv&#10;VXl1c3CW7VVCE3zHF7M5Z8qLII3vO/7t692rt5xhBi/BBq86flTIb9YvX6zG2KplGIKVKjEC8diO&#10;seNDzrFtGhSDcoCzEJWnQx2Sg0zb1DcywUjozjbL+fy6GUOSMQWhEMm7mQ75CTFdAhi0NkJtgtg5&#10;5fOEmpSFTJRwMBH5ulartRL5s9aoMrMdJ6a5rpSE7G1Zm/UK2j5BHIw4lQCXlPCMkwPjKekZagMZ&#10;2C6Zf6CcESlg0HkmgmsmIlURYrGYP9PmywBRVS4kNcaz6Pj/YMWn/X1iRnb8DWceHDX84fuPh5+/&#10;2LJoM0ZsKeTW36fTDuN9KkQPOrnyJwrsUPU8nvVUh8wEOa9fX3EmHv3N06WYMH9QwbFidNwaX2hC&#10;C/uPmCkRhT6GFLf1bOz4u6tlgQOaOU29JtNFqht9X+9isEbeGWvLDUz99tYmtofS9/oVOoT7V1hJ&#10;sgEcprh6NE3EoEC+95LlYyRFPD0EXkpwSnJmFb2bYhEgtBmMvSSSUltPFRRFJw2LtQ3ySPrvYjL9&#10;QEosapXlhPpd6z3NZhmoP/cV6ek9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C/f+tcAAAAJ&#10;AQAADwAAAAAAAAABACAAAAAiAAAAZHJzL2Rvd25yZXYueG1sUEsBAhQAFAAAAAgAh07iQHXWHY3k&#10;AQAA1wMAAA4AAAAAAAAAAQAgAAAAJgEAAGRycy9lMm9Eb2MueG1sUEsFBgAAAAAGAAYAWQEAAHwF&#10;AAAAAA==&#10;">
                <v:fill on="f" focussize="0,0"/>
                <v:stroke color="#000000" joinstyle="round"/>
                <v:imagedata o:title=""/>
                <o:lock v:ext="edit" aspectratio="f"/>
              </v:line>
            </w:pict>
          </mc:Fallback>
        </mc:AlternateContent>
      </w:r>
      <w:r>
        <w:rPr>
          <w:rStyle w:val="10"/>
          <w:rFonts w:ascii="黑体" w:hAnsi="华文中宋" w:eastAsia="黑体"/>
          <w:bCs/>
          <w:spacing w:val="20"/>
          <w:sz w:val="84"/>
          <w:szCs w:val="84"/>
        </w:rPr>
        <w:t>招  标  文 件</w:t>
      </w:r>
    </w:p>
    <w:p>
      <w:pPr>
        <w:rPr>
          <w:rStyle w:val="10"/>
          <w:rFonts w:ascii="华文中宋" w:hAnsi="华文中宋" w:eastAsia="华文中宋"/>
          <w:bCs/>
          <w:sz w:val="30"/>
        </w:rPr>
      </w:pPr>
    </w:p>
    <w:p>
      <w:pPr>
        <w:rPr>
          <w:rStyle w:val="10"/>
          <w:rFonts w:ascii="华文中宋" w:hAnsi="华文中宋" w:eastAsia="华文中宋"/>
          <w:bCs/>
          <w:sz w:val="30"/>
        </w:rPr>
      </w:pPr>
    </w:p>
    <w:p>
      <w:pPr>
        <w:rPr>
          <w:rStyle w:val="10"/>
          <w:rFonts w:ascii="华文中宋" w:hAnsi="华文中宋" w:eastAsia="华文中宋"/>
          <w:bCs/>
          <w:sz w:val="30"/>
        </w:rPr>
      </w:pPr>
    </w:p>
    <w:p>
      <w:pPr>
        <w:jc w:val="left"/>
        <w:rPr>
          <w:rStyle w:val="10"/>
          <w:rFonts w:ascii="华文中宋" w:hAnsi="华文中宋" w:eastAsia="华文中宋"/>
          <w:bCs/>
          <w:sz w:val="30"/>
        </w:rPr>
      </w:pPr>
    </w:p>
    <w:p>
      <w:pPr>
        <w:rPr>
          <w:rStyle w:val="10"/>
          <w:rFonts w:ascii="黑体" w:hAnsi="华文中宋" w:eastAsia="黑体"/>
          <w:bCs/>
          <w:sz w:val="30"/>
          <w:szCs w:val="30"/>
        </w:rPr>
      </w:pPr>
      <w:r>
        <w:rPr>
          <w:rStyle w:val="10"/>
          <w:rFonts w:ascii="黑体" w:hAnsi="华文中宋" w:eastAsia="黑体"/>
          <w:bCs/>
          <w:sz w:val="30"/>
          <w:szCs w:val="30"/>
        </w:rPr>
        <w:t>项目编号：TZLC20220621</w:t>
      </w:r>
    </w:p>
    <w:p>
      <w:pPr>
        <w:rPr>
          <w:rStyle w:val="10"/>
          <w:rFonts w:ascii="黑体" w:hAnsi="华文中宋" w:eastAsia="黑体"/>
          <w:bCs/>
          <w:sz w:val="30"/>
          <w:szCs w:val="30"/>
        </w:rPr>
      </w:pPr>
      <w:r>
        <w:rPr>
          <w:rStyle w:val="10"/>
          <w:rFonts w:ascii="黑体" w:hAnsi="华文中宋" w:eastAsia="黑体"/>
          <w:bCs/>
          <w:sz w:val="30"/>
          <w:szCs w:val="30"/>
        </w:rPr>
        <w:t>项目名称：2022年折扣图书定点采购</w:t>
      </w:r>
    </w:p>
    <w:p>
      <w:pPr>
        <w:rPr>
          <w:rStyle w:val="10"/>
          <w:rFonts w:ascii="黑体" w:hAnsi="华文中宋" w:eastAsia="黑体"/>
          <w:bCs/>
          <w:sz w:val="30"/>
          <w:szCs w:val="30"/>
        </w:rPr>
      </w:pPr>
      <w:r>
        <w:rPr>
          <w:rStyle w:val="10"/>
          <w:rFonts w:ascii="黑体" w:hAnsi="华文中宋" w:eastAsia="黑体"/>
          <w:bCs/>
          <w:sz w:val="30"/>
          <w:szCs w:val="30"/>
        </w:rPr>
        <w:t>采 购 人：泰州职业技术学院</w:t>
      </w:r>
    </w:p>
    <w:p>
      <w:pPr>
        <w:rPr>
          <w:rStyle w:val="10"/>
          <w:rFonts w:ascii="黑体" w:hAnsi="华文中宋" w:eastAsia="黑体"/>
          <w:bCs/>
          <w:sz w:val="30"/>
          <w:szCs w:val="30"/>
        </w:rPr>
      </w:pPr>
      <w:r>
        <w:rPr>
          <w:rStyle w:val="10"/>
          <w:rFonts w:ascii="黑体" w:hAnsi="华文中宋" w:eastAsia="黑体"/>
          <w:bCs/>
          <w:sz w:val="30"/>
          <w:szCs w:val="30"/>
        </w:rPr>
        <w:t>代理机构：泰州林诚项目管理有限公司</w:t>
      </w:r>
    </w:p>
    <w:p>
      <w:pPr>
        <w:rPr>
          <w:rStyle w:val="10"/>
          <w:rFonts w:ascii="华文中宋" w:hAnsi="华文中宋" w:eastAsia="华文中宋"/>
          <w:bCs/>
          <w:sz w:val="32"/>
        </w:rPr>
      </w:pPr>
    </w:p>
    <w:p>
      <w:pPr>
        <w:rPr>
          <w:rStyle w:val="10"/>
          <w:rFonts w:ascii="华文中宋" w:hAnsi="华文中宋" w:eastAsia="华文中宋"/>
          <w:bCs/>
          <w:sz w:val="30"/>
        </w:rPr>
      </w:pPr>
    </w:p>
    <w:p>
      <w:pPr>
        <w:rPr>
          <w:rStyle w:val="10"/>
          <w:rFonts w:ascii="华文中宋" w:hAnsi="华文中宋" w:eastAsia="华文中宋"/>
          <w:bCs/>
          <w:sz w:val="30"/>
        </w:rPr>
      </w:pPr>
    </w:p>
    <w:p>
      <w:pPr>
        <w:rPr>
          <w:rStyle w:val="10"/>
          <w:rFonts w:ascii="华文中宋" w:hAnsi="华文中宋" w:eastAsia="华文中宋"/>
          <w:bCs/>
          <w:sz w:val="30"/>
        </w:rPr>
      </w:pPr>
    </w:p>
    <w:p>
      <w:pPr>
        <w:jc w:val="center"/>
        <w:rPr>
          <w:rStyle w:val="10"/>
        </w:rPr>
      </w:pPr>
      <w:r>
        <w:rPr>
          <w:rStyle w:val="10"/>
          <w:rFonts w:ascii="黑体" w:hAnsi="华文中宋" w:eastAsia="黑体"/>
          <w:bCs/>
          <w:kern w:val="0"/>
          <w:sz w:val="44"/>
          <w:szCs w:val="44"/>
        </w:rPr>
        <w:t>二〇二二年六月</w:t>
      </w:r>
    </w:p>
    <w:p>
      <w:pPr>
        <w:pageBreakBefore/>
        <w:jc w:val="center"/>
        <w:rPr>
          <w:rStyle w:val="10"/>
          <w:rFonts w:eastAsia="黑体"/>
          <w:bCs/>
          <w:sz w:val="48"/>
        </w:rPr>
      </w:pPr>
      <w:r>
        <w:rPr>
          <w:rStyle w:val="10"/>
          <w:rFonts w:eastAsia="黑体"/>
          <w:bCs/>
          <w:sz w:val="48"/>
        </w:rPr>
        <w:t>目     录</w:t>
      </w:r>
    </w:p>
    <w:p>
      <w:pPr>
        <w:jc w:val="center"/>
        <w:rPr>
          <w:rStyle w:val="10"/>
          <w:rFonts w:ascii="黑体" w:eastAsia="黑体"/>
          <w:bCs/>
          <w:sz w:val="30"/>
        </w:rPr>
      </w:pPr>
    </w:p>
    <w:p>
      <w:pPr>
        <w:numPr>
          <w:ilvl w:val="0"/>
          <w:numId w:val="1"/>
        </w:numPr>
        <w:spacing w:line="360" w:lineRule="auto"/>
        <w:rPr>
          <w:rStyle w:val="10"/>
          <w:rFonts w:ascii="宋体" w:hAnsi="宋体"/>
          <w:bCs/>
          <w:sz w:val="30"/>
        </w:rPr>
      </w:pPr>
      <w:r>
        <w:rPr>
          <w:rStyle w:val="10"/>
          <w:rFonts w:ascii="宋体" w:hAnsi="宋体"/>
          <w:bCs/>
          <w:sz w:val="30"/>
        </w:rPr>
        <w:t>招标公告</w:t>
      </w:r>
    </w:p>
    <w:p>
      <w:pPr>
        <w:numPr>
          <w:ilvl w:val="0"/>
          <w:numId w:val="1"/>
        </w:numPr>
        <w:spacing w:line="360" w:lineRule="auto"/>
        <w:rPr>
          <w:rStyle w:val="10"/>
          <w:rFonts w:ascii="宋体" w:hAnsi="宋体"/>
          <w:bCs/>
          <w:sz w:val="30"/>
        </w:rPr>
      </w:pPr>
      <w:r>
        <w:rPr>
          <w:rStyle w:val="10"/>
          <w:rFonts w:ascii="宋体" w:hAnsi="宋体"/>
          <w:bCs/>
          <w:sz w:val="30"/>
        </w:rPr>
        <w:t>投标人须知</w:t>
      </w:r>
    </w:p>
    <w:p>
      <w:pPr>
        <w:numPr>
          <w:ilvl w:val="0"/>
          <w:numId w:val="1"/>
        </w:numPr>
        <w:spacing w:line="360" w:lineRule="auto"/>
        <w:rPr>
          <w:rStyle w:val="10"/>
          <w:rFonts w:ascii="宋体" w:hAnsi="宋体"/>
          <w:bCs/>
          <w:sz w:val="30"/>
        </w:rPr>
      </w:pPr>
      <w:r>
        <w:rPr>
          <w:rStyle w:val="10"/>
          <w:rFonts w:ascii="宋体" w:hAnsi="宋体"/>
          <w:bCs/>
          <w:sz w:val="30"/>
        </w:rPr>
        <w:t>项目技术要求和有关说明</w:t>
      </w:r>
    </w:p>
    <w:p>
      <w:pPr>
        <w:numPr>
          <w:ilvl w:val="0"/>
          <w:numId w:val="1"/>
        </w:numPr>
        <w:spacing w:line="360" w:lineRule="auto"/>
        <w:rPr>
          <w:rStyle w:val="10"/>
          <w:rFonts w:ascii="宋体" w:hAnsi="宋体"/>
          <w:bCs/>
          <w:sz w:val="30"/>
        </w:rPr>
      </w:pPr>
      <w:r>
        <w:rPr>
          <w:rStyle w:val="10"/>
          <w:rFonts w:ascii="宋体" w:hAnsi="宋体"/>
          <w:bCs/>
          <w:sz w:val="30"/>
        </w:rPr>
        <w:t>合同书（格式文本）</w:t>
      </w:r>
    </w:p>
    <w:p>
      <w:pPr>
        <w:numPr>
          <w:ilvl w:val="0"/>
          <w:numId w:val="1"/>
        </w:numPr>
        <w:spacing w:line="360" w:lineRule="auto"/>
        <w:rPr>
          <w:rStyle w:val="10"/>
          <w:rFonts w:ascii="宋体" w:hAnsi="宋体"/>
          <w:bCs/>
          <w:sz w:val="30"/>
        </w:rPr>
      </w:pPr>
      <w:r>
        <w:rPr>
          <w:rStyle w:val="10"/>
          <w:rFonts w:ascii="宋体" w:hAnsi="宋体"/>
          <w:bCs/>
          <w:sz w:val="30"/>
        </w:rPr>
        <w:t>附件</w:t>
      </w:r>
    </w:p>
    <w:p>
      <w:pPr>
        <w:rPr>
          <w:rStyle w:val="10"/>
        </w:rPr>
      </w:pPr>
    </w:p>
    <w:p>
      <w:pPr>
        <w:pStyle w:val="9"/>
        <w:pageBreakBefore/>
        <w:rPr>
          <w:rStyle w:val="10"/>
          <w:rFonts w:ascii="黑体" w:hAnsi="黑体" w:eastAsia="黑体"/>
          <w:szCs w:val="22"/>
        </w:rPr>
      </w:pPr>
      <w:r>
        <w:rPr>
          <w:rStyle w:val="10"/>
          <w:rFonts w:ascii="黑体" w:hAnsi="黑体" w:eastAsia="黑体"/>
          <w:szCs w:val="22"/>
        </w:rPr>
        <w:t>一．招标公告</w:t>
      </w:r>
    </w:p>
    <w:p>
      <w:pPr>
        <w:spacing w:line="360" w:lineRule="auto"/>
        <w:ind w:firstLine="480" w:firstLineChars="200"/>
        <w:rPr>
          <w:rStyle w:val="10"/>
          <w:rFonts w:ascii="宋体" w:hAnsi="宋体"/>
          <w:bCs/>
          <w:sz w:val="24"/>
        </w:rPr>
      </w:pPr>
      <w:r>
        <w:rPr>
          <w:rStyle w:val="10"/>
          <w:rFonts w:ascii="宋体" w:hAnsi="宋体"/>
          <w:bCs/>
          <w:sz w:val="24"/>
        </w:rPr>
        <w:t>泰州林诚项目管理有限公司受泰州职业技术学院的委托，对2022年折扣图书定点采购进行公开招标，欢迎符合条件的投标人参加并提请注意下列相关事项：</w:t>
      </w:r>
    </w:p>
    <w:p>
      <w:pPr>
        <w:spacing w:line="360" w:lineRule="auto"/>
        <w:ind w:firstLine="480" w:firstLineChars="200"/>
        <w:rPr>
          <w:rStyle w:val="10"/>
          <w:rFonts w:ascii="黑体" w:hAnsi="黑体" w:eastAsia="黑体"/>
          <w:bCs/>
          <w:sz w:val="24"/>
        </w:rPr>
      </w:pPr>
      <w:r>
        <w:rPr>
          <w:rStyle w:val="10"/>
          <w:rFonts w:ascii="黑体" w:hAnsi="黑体" w:eastAsia="黑体"/>
          <w:bCs/>
          <w:sz w:val="24"/>
        </w:rPr>
        <w:t>（一）</w:t>
      </w:r>
      <w:r>
        <w:rPr>
          <w:rStyle w:val="10"/>
          <w:rFonts w:ascii="黑体" w:hAnsi="黑体" w:eastAsia="黑体"/>
          <w:kern w:val="0"/>
          <w:sz w:val="24"/>
        </w:rPr>
        <w:t>项目信息</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1.项目名称：泰州职业技术学院2022年折扣图书定点采购</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2.项目编号：TZLC20220621</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3.项目预算：25万元</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4.最高限价：折扣50%</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5.采购方式：公开招标</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6.服务期限：按采购人的要求供货</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7.采购内容：</w:t>
      </w:r>
      <w:r>
        <w:rPr>
          <w:rStyle w:val="10"/>
          <w:rFonts w:ascii="宋体" w:hAnsi="宋体"/>
          <w:bCs/>
          <w:sz w:val="24"/>
        </w:rPr>
        <w:t>2022年折扣图书</w:t>
      </w:r>
    </w:p>
    <w:p>
      <w:pPr>
        <w:shd w:val="clear" w:color="auto" w:fill="FFFFFF"/>
        <w:spacing w:line="360" w:lineRule="auto"/>
        <w:ind w:firstLine="480" w:firstLineChars="200"/>
        <w:jc w:val="left"/>
        <w:rPr>
          <w:rStyle w:val="10"/>
          <w:rFonts w:ascii="黑体" w:hAnsi="黑体" w:eastAsia="黑体"/>
          <w:kern w:val="0"/>
          <w:sz w:val="24"/>
        </w:rPr>
      </w:pPr>
      <w:r>
        <w:rPr>
          <w:rStyle w:val="10"/>
          <w:rFonts w:ascii="黑体" w:hAnsi="黑体" w:eastAsia="黑体"/>
          <w:kern w:val="0"/>
          <w:sz w:val="24"/>
        </w:rPr>
        <w:t>（二）投标人资格要求</w:t>
      </w:r>
    </w:p>
    <w:p>
      <w:pPr>
        <w:shd w:val="clear" w:color="auto" w:fill="FFFFFF"/>
        <w:spacing w:line="360" w:lineRule="auto"/>
        <w:ind w:firstLine="480" w:firstLineChars="200"/>
        <w:jc w:val="left"/>
        <w:rPr>
          <w:rStyle w:val="10"/>
          <w:rFonts w:ascii="宋体" w:hAnsi="宋体"/>
          <w:sz w:val="24"/>
        </w:rPr>
      </w:pPr>
      <w:r>
        <w:rPr>
          <w:rStyle w:val="10"/>
          <w:rFonts w:ascii="宋体" w:hAnsi="宋体"/>
          <w:sz w:val="24"/>
        </w:rPr>
        <w:t>1.具备《中华人民共和国政府采购法》第二十二条第一款规定的条件；</w:t>
      </w:r>
    </w:p>
    <w:p>
      <w:pPr>
        <w:shd w:val="clear" w:color="auto" w:fill="FFFFFF"/>
        <w:spacing w:line="360" w:lineRule="auto"/>
        <w:ind w:firstLine="480" w:firstLineChars="200"/>
        <w:jc w:val="left"/>
        <w:rPr>
          <w:rStyle w:val="10"/>
          <w:rFonts w:ascii="宋体" w:hAnsi="宋体"/>
          <w:sz w:val="24"/>
        </w:rPr>
      </w:pPr>
      <w:r>
        <w:rPr>
          <w:rStyle w:val="10"/>
          <w:rFonts w:ascii="宋体" w:hAnsi="宋体"/>
          <w:sz w:val="24"/>
        </w:rPr>
        <w:t>2.未被“信用中国”网站（</w:t>
      </w:r>
      <w:r>
        <w:rPr>
          <w:rStyle w:val="8"/>
          <w:rFonts w:ascii="宋体"/>
          <w:sz w:val="24"/>
          <w:u w:color="0000FF"/>
        </w:rPr>
        <w:t>www.creditchina.gov.cn</w:t>
      </w:r>
      <w:r>
        <w:rPr>
          <w:rStyle w:val="10"/>
          <w:rFonts w:ascii="宋体" w:hAnsi="宋体"/>
          <w:sz w:val="24"/>
        </w:rPr>
        <w:t>）列入失信执行人、重大税收违法案件当事人名单、政府采购严重违法失信行为记录名单；</w:t>
      </w:r>
    </w:p>
    <w:p>
      <w:pPr>
        <w:shd w:val="clear" w:color="auto" w:fill="FFFFFF"/>
        <w:spacing w:line="360" w:lineRule="auto"/>
        <w:ind w:firstLine="480" w:firstLineChars="200"/>
        <w:jc w:val="left"/>
        <w:rPr>
          <w:rStyle w:val="10"/>
        </w:rPr>
      </w:pPr>
      <w:r>
        <w:rPr>
          <w:rStyle w:val="10"/>
          <w:rFonts w:ascii="宋体" w:hAnsi="宋体"/>
          <w:bCs/>
          <w:sz w:val="24"/>
        </w:rPr>
        <w:t>3.</w:t>
      </w:r>
      <w:r>
        <w:rPr>
          <w:rStyle w:val="10"/>
          <w:rFonts w:ascii="宋体" w:hAnsi="宋体"/>
          <w:sz w:val="24"/>
        </w:rPr>
        <w:t>具备</w:t>
      </w:r>
      <w:r>
        <w:rPr>
          <w:rStyle w:val="10"/>
          <w:rFonts w:ascii="宋体" w:hAnsi="宋体"/>
          <w:kern w:val="0"/>
          <w:sz w:val="24"/>
        </w:rPr>
        <w:t>招标人</w:t>
      </w:r>
      <w:r>
        <w:rPr>
          <w:rStyle w:val="10"/>
          <w:rFonts w:ascii="宋体" w:hAnsi="宋体"/>
          <w:sz w:val="24"/>
        </w:rPr>
        <w:t>根据招标项目的特殊要求规定的以下特定资质：</w:t>
      </w:r>
      <w:r>
        <w:rPr>
          <w:rStyle w:val="10"/>
          <w:rFonts w:ascii="Calibri" w:hAnsi="Calibri"/>
          <w:sz w:val="24"/>
        </w:rPr>
        <w:t>①</w:t>
      </w:r>
      <w:r>
        <w:rPr>
          <w:rStyle w:val="10"/>
          <w:rFonts w:ascii="宋体" w:hAnsi="宋体"/>
          <w:spacing w:val="4"/>
          <w:sz w:val="24"/>
          <w:szCs w:val="24"/>
        </w:rPr>
        <w:t>具有新闻出版行政部门颁发的《出版物经营许可证》（经营范围含批发）；</w:t>
      </w:r>
      <w:r>
        <w:rPr>
          <w:rStyle w:val="10"/>
          <w:rFonts w:ascii="Calibri" w:hAnsi="Calibri"/>
          <w:spacing w:val="4"/>
          <w:sz w:val="24"/>
          <w:szCs w:val="24"/>
        </w:rPr>
        <w:t>②</w:t>
      </w:r>
      <w:r>
        <w:rPr>
          <w:rStyle w:val="10"/>
          <w:rFonts w:ascii="宋体" w:hAnsi="宋体"/>
          <w:spacing w:val="4"/>
          <w:sz w:val="24"/>
          <w:szCs w:val="24"/>
        </w:rPr>
        <w:t>满足且不限于以下出版社的2018-2022年图书供货90%以上：科学出版社、高等教育出版社、人民邮电出版社、化学工业出版社、电子工业出版社、机械工业出版社、中国建筑工业出版社、人民交通出版社、外语教学与研究出版社、中国质检出版社（中国标准出版社）、清华大学出版社、其他各大学出版社。（提供有效合同）</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4.不接受联合体投标。</w:t>
      </w:r>
    </w:p>
    <w:p>
      <w:pPr>
        <w:shd w:val="clear" w:color="auto" w:fill="FFFFFF"/>
        <w:spacing w:line="360" w:lineRule="auto"/>
        <w:ind w:firstLine="480" w:firstLineChars="200"/>
        <w:jc w:val="left"/>
        <w:rPr>
          <w:rStyle w:val="10"/>
          <w:rFonts w:ascii="黑体" w:hAnsi="黑体" w:eastAsia="黑体"/>
          <w:kern w:val="0"/>
          <w:sz w:val="24"/>
        </w:rPr>
      </w:pPr>
      <w:r>
        <w:rPr>
          <w:rStyle w:val="10"/>
          <w:rFonts w:ascii="黑体" w:hAnsi="黑体" w:eastAsia="黑体"/>
          <w:kern w:val="0"/>
          <w:sz w:val="24"/>
        </w:rPr>
        <w:t>（三）投标及开标时间、地点</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投标文件接收截止时间</w:t>
      </w:r>
      <w:r>
        <w:rPr>
          <w:rStyle w:val="10"/>
          <w:rFonts w:ascii="宋体" w:hAnsi="宋体"/>
          <w:kern w:val="0"/>
          <w:sz w:val="24"/>
          <w:szCs w:val="24"/>
        </w:rPr>
        <w:t>及开标时间：2022年7月1</w:t>
      </w:r>
      <w:r>
        <w:rPr>
          <w:rStyle w:val="10"/>
          <w:rFonts w:hint="eastAsia" w:ascii="宋体" w:hAnsi="宋体"/>
          <w:kern w:val="0"/>
          <w:sz w:val="24"/>
          <w:szCs w:val="24"/>
          <w:lang w:val="en-US" w:eastAsia="zh-CN"/>
        </w:rPr>
        <w:t>9</w:t>
      </w:r>
      <w:r>
        <w:rPr>
          <w:rStyle w:val="10"/>
          <w:rFonts w:ascii="宋体" w:hAnsi="宋体"/>
          <w:kern w:val="0"/>
          <w:sz w:val="24"/>
          <w:szCs w:val="24"/>
        </w:rPr>
        <w:t>日09:30（北京时</w:t>
      </w:r>
      <w:r>
        <w:rPr>
          <w:rStyle w:val="10"/>
          <w:rFonts w:ascii="宋体" w:hAnsi="宋体"/>
          <w:kern w:val="0"/>
          <w:sz w:val="24"/>
        </w:rPr>
        <w:t>间）</w:t>
      </w:r>
      <w:r>
        <w:rPr>
          <w:rStyle w:val="10"/>
          <w:rFonts w:ascii="宋体" w:hAnsi="宋体"/>
          <w:kern w:val="0"/>
          <w:szCs w:val="21"/>
        </w:rPr>
        <w:t>。</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bCs/>
          <w:sz w:val="24"/>
        </w:rPr>
        <w:t>开标地点：</w:t>
      </w:r>
      <w:r>
        <w:rPr>
          <w:rStyle w:val="10"/>
          <w:rFonts w:ascii="宋体" w:hAnsi="宋体"/>
          <w:kern w:val="0"/>
          <w:sz w:val="24"/>
        </w:rPr>
        <w:t>泰州市开发区雪铁龙1号(梦创中心北楼三楼培训室）。</w:t>
      </w:r>
    </w:p>
    <w:p>
      <w:pPr>
        <w:spacing w:line="360" w:lineRule="auto"/>
        <w:ind w:firstLine="480" w:firstLineChars="200"/>
        <w:rPr>
          <w:rStyle w:val="10"/>
          <w:rFonts w:ascii="黑体" w:hAnsi="黑体" w:eastAsia="黑体"/>
          <w:bCs/>
          <w:sz w:val="24"/>
        </w:rPr>
      </w:pPr>
      <w:r>
        <w:rPr>
          <w:rStyle w:val="10"/>
          <w:rFonts w:ascii="黑体" w:hAnsi="黑体" w:eastAsia="黑体"/>
          <w:bCs/>
          <w:sz w:val="24"/>
        </w:rPr>
        <w:t>（四）联系事项</w:t>
      </w:r>
    </w:p>
    <w:p>
      <w:pPr>
        <w:shd w:val="clear" w:color="auto" w:fill="FFFFFF"/>
        <w:spacing w:line="360" w:lineRule="auto"/>
        <w:ind w:firstLine="480" w:firstLineChars="200"/>
        <w:jc w:val="left"/>
        <w:rPr>
          <w:rStyle w:val="10"/>
          <w:rFonts w:ascii="宋体" w:hAnsi="宋体"/>
          <w:sz w:val="24"/>
        </w:rPr>
      </w:pPr>
      <w:r>
        <w:rPr>
          <w:rStyle w:val="10"/>
          <w:rFonts w:ascii="宋体" w:hAnsi="宋体"/>
          <w:kern w:val="0"/>
          <w:sz w:val="24"/>
        </w:rPr>
        <w:t>代理机</w:t>
      </w:r>
      <w:r>
        <w:rPr>
          <w:rStyle w:val="10"/>
          <w:rFonts w:ascii="宋体" w:hAnsi="宋体"/>
          <w:sz w:val="24"/>
        </w:rPr>
        <w:t xml:space="preserve">构：泰州林诚项目管理有限公司       </w:t>
      </w:r>
    </w:p>
    <w:p>
      <w:pPr>
        <w:shd w:val="clear" w:color="auto" w:fill="FFFFFF"/>
        <w:spacing w:line="360" w:lineRule="auto"/>
        <w:ind w:firstLine="480" w:firstLineChars="200"/>
        <w:jc w:val="left"/>
        <w:rPr>
          <w:rStyle w:val="10"/>
          <w:rFonts w:ascii="宋体" w:hAnsi="宋体"/>
          <w:sz w:val="24"/>
        </w:rPr>
      </w:pPr>
      <w:r>
        <w:rPr>
          <w:rStyle w:val="10"/>
          <w:rFonts w:ascii="宋体" w:hAnsi="宋体"/>
          <w:sz w:val="24"/>
        </w:rPr>
        <w:t>地址: 泰州市开发区雪铁龙1号(梦创中心北楼308室）</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sz w:val="24"/>
        </w:rPr>
        <w:t xml:space="preserve">项目联系人: 王女士     电话：19951167066 </w:t>
      </w:r>
      <w:r>
        <w:rPr>
          <w:rStyle w:val="10"/>
          <w:rFonts w:ascii="宋体" w:hAnsi="宋体"/>
          <w:kern w:val="0"/>
          <w:sz w:val="24"/>
        </w:rPr>
        <w:t xml:space="preserve">        </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招标人：泰州职业技术学院</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地址：</w:t>
      </w:r>
      <w:r>
        <w:rPr>
          <w:rStyle w:val="10"/>
          <w:rFonts w:ascii="宋体" w:hAnsi="宋体"/>
          <w:sz w:val="24"/>
        </w:rPr>
        <w:t>泰州市医药高新区天星路8号泰州职业技术学院</w:t>
      </w:r>
    </w:p>
    <w:p>
      <w:pPr>
        <w:shd w:val="clear" w:color="auto" w:fill="FFFFFF"/>
        <w:spacing w:line="360" w:lineRule="auto"/>
        <w:ind w:firstLine="480" w:firstLineChars="200"/>
        <w:jc w:val="left"/>
        <w:rPr>
          <w:rStyle w:val="10"/>
          <w:rFonts w:ascii="宋体" w:hAnsi="宋体"/>
          <w:sz w:val="24"/>
        </w:rPr>
      </w:pPr>
      <w:r>
        <w:rPr>
          <w:rStyle w:val="10"/>
          <w:rFonts w:ascii="宋体" w:hAnsi="宋体"/>
          <w:kern w:val="0"/>
          <w:sz w:val="24"/>
        </w:rPr>
        <w:t>联系人：窦老师  电话：</w:t>
      </w:r>
      <w:r>
        <w:rPr>
          <w:rStyle w:val="10"/>
          <w:rFonts w:ascii="宋体" w:hAnsi="宋体"/>
          <w:sz w:val="24"/>
        </w:rPr>
        <w:t xml:space="preserve"> 0523-86660414</w:t>
      </w:r>
    </w:p>
    <w:p>
      <w:pPr>
        <w:spacing w:line="360" w:lineRule="auto"/>
        <w:ind w:firstLine="480" w:firstLineChars="200"/>
        <w:rPr>
          <w:rStyle w:val="10"/>
          <w:rFonts w:ascii="黑体" w:hAnsi="黑体" w:eastAsia="黑体"/>
          <w:bCs/>
          <w:sz w:val="24"/>
        </w:rPr>
      </w:pPr>
      <w:r>
        <w:rPr>
          <w:rStyle w:val="10"/>
          <w:rFonts w:ascii="黑体" w:hAnsi="黑体" w:eastAsia="黑体"/>
          <w:bCs/>
          <w:sz w:val="24"/>
        </w:rPr>
        <w:t>（五）投标确认函</w:t>
      </w:r>
    </w:p>
    <w:p>
      <w:pPr>
        <w:shd w:val="clear" w:color="auto" w:fill="FFFFFF"/>
        <w:spacing w:line="360" w:lineRule="auto"/>
        <w:ind w:firstLine="480" w:firstLineChars="200"/>
        <w:jc w:val="center"/>
        <w:rPr>
          <w:rStyle w:val="10"/>
          <w:rFonts w:ascii="宋体" w:hAnsi="宋体"/>
          <w:kern w:val="0"/>
          <w:sz w:val="24"/>
        </w:rPr>
      </w:pPr>
      <w:r>
        <w:rPr>
          <w:rStyle w:val="10"/>
          <w:rFonts w:ascii="宋体" w:hAnsi="宋体"/>
          <w:kern w:val="0"/>
          <w:sz w:val="24"/>
        </w:rPr>
        <w:t>投标确认函</w:t>
      </w:r>
    </w:p>
    <w:p>
      <w:pPr>
        <w:shd w:val="clear" w:color="auto" w:fill="FFFFFF"/>
        <w:spacing w:line="360" w:lineRule="auto"/>
        <w:jc w:val="left"/>
        <w:rPr>
          <w:rStyle w:val="10"/>
          <w:rFonts w:ascii="宋体" w:hAnsi="宋体"/>
          <w:kern w:val="0"/>
          <w:sz w:val="24"/>
        </w:rPr>
      </w:pPr>
      <w:r>
        <w:rPr>
          <w:rStyle w:val="10"/>
          <w:rFonts w:ascii="宋体" w:hAnsi="宋体"/>
          <w:kern w:val="0"/>
          <w:sz w:val="24"/>
        </w:rPr>
        <w:t>泰州职业技术学院：</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我公司已知    项目的相关要求，并完全清晰理解全部内容，不存在任何误解之处，同意放弃提出质疑的权利。经我公司认真研究，决定无保留地接受招标文件的所有条款，准时参加本项目投标活动。</w:t>
      </w:r>
    </w:p>
    <w:p>
      <w:pPr>
        <w:shd w:val="clear" w:color="auto" w:fill="FFFFFF"/>
        <w:spacing w:line="360" w:lineRule="auto"/>
        <w:ind w:firstLine="480" w:firstLineChars="200"/>
        <w:jc w:val="left"/>
        <w:rPr>
          <w:rStyle w:val="10"/>
          <w:rFonts w:ascii="宋体" w:hAnsi="宋体"/>
          <w:kern w:val="0"/>
          <w:sz w:val="24"/>
        </w:rPr>
      </w:pPr>
    </w:p>
    <w:p>
      <w:pPr>
        <w:shd w:val="clear" w:color="auto" w:fill="FFFFFF"/>
        <w:spacing w:line="360" w:lineRule="auto"/>
        <w:ind w:firstLine="480" w:firstLineChars="200"/>
        <w:jc w:val="left"/>
        <w:rPr>
          <w:rStyle w:val="10"/>
          <w:rFonts w:ascii="宋体" w:hAnsi="宋体"/>
          <w:kern w:val="0"/>
          <w:sz w:val="24"/>
        </w:rPr>
      </w:pP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单位名称（盖章）：</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联系人：</w:t>
      </w: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联系电话：</w:t>
      </w:r>
    </w:p>
    <w:p>
      <w:pPr>
        <w:shd w:val="clear" w:color="auto" w:fill="FFFFFF"/>
        <w:spacing w:line="360" w:lineRule="auto"/>
        <w:ind w:firstLine="480" w:firstLineChars="200"/>
        <w:jc w:val="left"/>
        <w:rPr>
          <w:rStyle w:val="10"/>
          <w:rFonts w:ascii="宋体" w:hAnsi="宋体"/>
          <w:kern w:val="0"/>
          <w:sz w:val="24"/>
        </w:rPr>
      </w:pPr>
    </w:p>
    <w:p>
      <w:pPr>
        <w:shd w:val="clear" w:color="auto" w:fill="FFFFFF"/>
        <w:spacing w:line="360" w:lineRule="auto"/>
        <w:ind w:firstLine="480" w:firstLineChars="200"/>
        <w:jc w:val="left"/>
        <w:rPr>
          <w:rStyle w:val="10"/>
          <w:rFonts w:ascii="宋体" w:hAnsi="宋体"/>
          <w:kern w:val="0"/>
          <w:sz w:val="24"/>
        </w:rPr>
      </w:pPr>
      <w:r>
        <w:rPr>
          <w:rStyle w:val="10"/>
          <w:rFonts w:ascii="宋体" w:hAnsi="宋体"/>
          <w:kern w:val="0"/>
          <w:sz w:val="24"/>
        </w:rPr>
        <w:t>注：投标人于2022年</w:t>
      </w:r>
      <w:r>
        <w:rPr>
          <w:rStyle w:val="10"/>
          <w:rFonts w:hint="eastAsia" w:ascii="宋体" w:hAnsi="宋体"/>
          <w:kern w:val="0"/>
          <w:sz w:val="24"/>
          <w:lang w:val="en-US" w:eastAsia="zh-CN"/>
        </w:rPr>
        <w:t>7</w:t>
      </w:r>
      <w:r>
        <w:rPr>
          <w:rStyle w:val="10"/>
          <w:rFonts w:ascii="宋体" w:hAnsi="宋体"/>
          <w:kern w:val="0"/>
          <w:sz w:val="24"/>
        </w:rPr>
        <w:t>月</w:t>
      </w:r>
      <w:r>
        <w:rPr>
          <w:rStyle w:val="10"/>
          <w:rFonts w:hint="eastAsia" w:ascii="宋体" w:hAnsi="宋体"/>
          <w:kern w:val="0"/>
          <w:sz w:val="24"/>
          <w:lang w:val="en-US" w:eastAsia="zh-CN"/>
        </w:rPr>
        <w:t>6</w:t>
      </w:r>
      <w:bookmarkStart w:id="0" w:name="_GoBack"/>
      <w:bookmarkEnd w:id="0"/>
      <w:r>
        <w:rPr>
          <w:rStyle w:val="10"/>
          <w:rFonts w:ascii="宋体" w:hAnsi="宋体"/>
          <w:kern w:val="0"/>
          <w:sz w:val="24"/>
        </w:rPr>
        <w:t>日17：00前向招标人递交或者发送至邮箱（3317004925@qq.com)投标确认函，投标人应如实填写有关内容和信息，如内容不完整，造成无法联系的，其引发的不良后果由投标人自行承担。未在规定的时间内提供资料的，招标人有权拒绝其投标。</w:t>
      </w:r>
    </w:p>
    <w:p>
      <w:pPr>
        <w:pStyle w:val="9"/>
        <w:pageBreakBefore/>
        <w:rPr>
          <w:rStyle w:val="10"/>
          <w:rFonts w:ascii="黑体" w:hAnsi="黑体" w:eastAsia="黑体"/>
          <w:szCs w:val="22"/>
        </w:rPr>
      </w:pPr>
      <w:r>
        <w:rPr>
          <w:rStyle w:val="10"/>
          <w:rFonts w:ascii="黑体" w:hAnsi="黑体" w:eastAsia="黑体"/>
          <w:szCs w:val="22"/>
        </w:rPr>
        <w:t>二．投标人须知</w:t>
      </w:r>
    </w:p>
    <w:p>
      <w:pPr>
        <w:spacing w:line="360" w:lineRule="auto"/>
        <w:ind w:firstLine="480" w:firstLineChars="200"/>
        <w:rPr>
          <w:rStyle w:val="10"/>
          <w:rFonts w:ascii="黑体" w:hAnsi="宋体" w:eastAsia="黑体"/>
          <w:bCs/>
          <w:sz w:val="24"/>
        </w:rPr>
      </w:pPr>
      <w:r>
        <w:rPr>
          <w:rStyle w:val="10"/>
          <w:rFonts w:ascii="黑体" w:hAnsi="宋体" w:eastAsia="黑体"/>
          <w:bCs/>
          <w:sz w:val="24"/>
        </w:rPr>
        <w:t>（一） 遵循原则：</w:t>
      </w:r>
    </w:p>
    <w:p>
      <w:pPr>
        <w:spacing w:line="360" w:lineRule="auto"/>
        <w:ind w:firstLine="480" w:firstLineChars="200"/>
        <w:rPr>
          <w:rStyle w:val="10"/>
          <w:rFonts w:ascii="黑体" w:hAnsi="宋体" w:eastAsia="黑体"/>
          <w:bCs/>
          <w:sz w:val="24"/>
        </w:rPr>
      </w:pPr>
      <w:r>
        <w:rPr>
          <w:rStyle w:val="10"/>
          <w:rFonts w:ascii="宋体" w:hAnsi="宋体"/>
          <w:bCs/>
          <w:sz w:val="24"/>
        </w:rPr>
        <w:t>公开透明原则、公平竞争原则、公正原则和诚实信用原则。</w:t>
      </w:r>
    </w:p>
    <w:p>
      <w:pPr>
        <w:numPr>
          <w:ilvl w:val="0"/>
          <w:numId w:val="2"/>
        </w:numPr>
        <w:spacing w:line="360" w:lineRule="auto"/>
        <w:rPr>
          <w:rStyle w:val="10"/>
          <w:rFonts w:ascii="黑体" w:hAnsi="宋体" w:eastAsia="黑体"/>
          <w:bCs/>
          <w:sz w:val="24"/>
        </w:rPr>
      </w:pPr>
      <w:r>
        <w:rPr>
          <w:rStyle w:val="10"/>
          <w:rFonts w:ascii="黑体" w:hAnsi="宋体" w:eastAsia="黑体"/>
          <w:bCs/>
          <w:sz w:val="24"/>
        </w:rPr>
        <w:t>招标文件：</w:t>
      </w:r>
    </w:p>
    <w:p>
      <w:pPr>
        <w:numPr>
          <w:ilvl w:val="0"/>
          <w:numId w:val="3"/>
        </w:numPr>
        <w:tabs>
          <w:tab w:val="left" w:pos="-1260"/>
          <w:tab w:val="left" w:pos="525"/>
          <w:tab w:val="left" w:pos="945"/>
        </w:tabs>
        <w:spacing w:line="360" w:lineRule="auto"/>
        <w:ind w:left="0" w:firstLine="523" w:firstLineChars="218"/>
        <w:rPr>
          <w:rStyle w:val="10"/>
          <w:rFonts w:ascii="宋体"/>
          <w:bCs/>
          <w:sz w:val="24"/>
        </w:rPr>
      </w:pPr>
      <w:r>
        <w:rPr>
          <w:rStyle w:val="10"/>
          <w:rFonts w:ascii="宋体" w:hAnsi="宋体"/>
          <w:bCs/>
          <w:sz w:val="24"/>
        </w:rPr>
        <w:t>招标文件包括本文件目录所列全部内容，投标人应仔细阅读，并在投标文件中充分响应招标文件的所有要求。</w:t>
      </w:r>
    </w:p>
    <w:p>
      <w:pPr>
        <w:numPr>
          <w:ilvl w:val="0"/>
          <w:numId w:val="3"/>
        </w:numPr>
        <w:tabs>
          <w:tab w:val="left" w:pos="0"/>
          <w:tab w:val="left" w:pos="525"/>
          <w:tab w:val="left" w:pos="945"/>
        </w:tabs>
        <w:spacing w:line="360" w:lineRule="auto"/>
        <w:ind w:left="0" w:firstLine="523" w:firstLineChars="218"/>
        <w:rPr>
          <w:rStyle w:val="10"/>
          <w:rFonts w:ascii="宋体"/>
          <w:bCs/>
          <w:sz w:val="24"/>
        </w:rPr>
      </w:pPr>
      <w:r>
        <w:rPr>
          <w:rStyle w:val="10"/>
          <w:rFonts w:ascii="宋体" w:hAnsi="宋体"/>
          <w:bCs/>
          <w:sz w:val="24"/>
        </w:rPr>
        <w:t>招标文件中的“法定代表人”是指投标人的营业执照或相关部门的登记证明文件中的“法定代表人”或“负责人”。</w:t>
      </w:r>
    </w:p>
    <w:p>
      <w:pPr>
        <w:numPr>
          <w:ilvl w:val="0"/>
          <w:numId w:val="3"/>
        </w:numPr>
        <w:tabs>
          <w:tab w:val="left" w:pos="0"/>
          <w:tab w:val="left" w:pos="525"/>
          <w:tab w:val="left" w:pos="945"/>
        </w:tabs>
        <w:spacing w:line="360" w:lineRule="auto"/>
        <w:ind w:left="0" w:firstLine="523" w:firstLineChars="218"/>
        <w:rPr>
          <w:rStyle w:val="10"/>
          <w:rFonts w:ascii="宋体"/>
          <w:bCs/>
          <w:sz w:val="24"/>
        </w:rPr>
      </w:pPr>
      <w:r>
        <w:rPr>
          <w:rStyle w:val="10"/>
          <w:rFonts w:ascii="宋体" w:hAnsi="宋体"/>
          <w:bCs/>
          <w:sz w:val="24"/>
        </w:rPr>
        <w:t>投标人应按招标文件要求提交全部资料并对招标文件各项内容做出实质性响应，否则投标无效。</w:t>
      </w:r>
    </w:p>
    <w:p>
      <w:pPr>
        <w:numPr>
          <w:ilvl w:val="0"/>
          <w:numId w:val="3"/>
        </w:numPr>
        <w:tabs>
          <w:tab w:val="left" w:pos="0"/>
          <w:tab w:val="left" w:pos="525"/>
          <w:tab w:val="left" w:pos="945"/>
        </w:tabs>
        <w:spacing w:line="360" w:lineRule="auto"/>
        <w:ind w:left="0" w:firstLine="523" w:firstLineChars="218"/>
        <w:rPr>
          <w:rStyle w:val="10"/>
          <w:rFonts w:ascii="宋体"/>
          <w:bCs/>
          <w:sz w:val="24"/>
        </w:rPr>
      </w:pPr>
      <w:r>
        <w:rPr>
          <w:rStyle w:val="10"/>
          <w:rFonts w:ascii="宋体" w:hAnsi="宋体"/>
          <w:bCs/>
          <w:sz w:val="24"/>
        </w:rPr>
        <w:t>招标文件仅作为本次招投标使用。</w:t>
      </w:r>
    </w:p>
    <w:p>
      <w:pPr>
        <w:tabs>
          <w:tab w:val="left" w:pos="630"/>
        </w:tabs>
        <w:spacing w:line="360" w:lineRule="auto"/>
        <w:ind w:firstLine="480" w:firstLineChars="200"/>
        <w:rPr>
          <w:rStyle w:val="10"/>
          <w:rFonts w:ascii="黑体" w:hAnsi="宋体" w:eastAsia="黑体"/>
          <w:bCs/>
          <w:sz w:val="24"/>
        </w:rPr>
      </w:pPr>
      <w:r>
        <w:rPr>
          <w:rStyle w:val="10"/>
          <w:rFonts w:ascii="黑体" w:hAnsi="宋体" w:eastAsia="黑体"/>
          <w:bCs/>
          <w:sz w:val="24"/>
        </w:rPr>
        <w:t>（三） 代理公司的解释：</w:t>
      </w:r>
    </w:p>
    <w:p>
      <w:pPr>
        <w:tabs>
          <w:tab w:val="left" w:pos="945"/>
        </w:tabs>
        <w:spacing w:line="360" w:lineRule="auto"/>
        <w:ind w:left="523"/>
        <w:rPr>
          <w:rStyle w:val="10"/>
          <w:rFonts w:ascii="宋体"/>
          <w:bCs/>
          <w:sz w:val="24"/>
        </w:rPr>
      </w:pPr>
      <w:r>
        <w:rPr>
          <w:rStyle w:val="10"/>
          <w:rFonts w:ascii="宋体" w:hAnsi="宋体"/>
          <w:bCs/>
          <w:sz w:val="24"/>
        </w:rPr>
        <w:t>招标文件中的“代理公司”是指泰州林诚项目管理有限公司。</w:t>
      </w:r>
    </w:p>
    <w:p>
      <w:pPr>
        <w:tabs>
          <w:tab w:val="left" w:pos="945"/>
        </w:tabs>
        <w:spacing w:line="360" w:lineRule="auto"/>
        <w:ind w:firstLine="523" w:firstLineChars="218"/>
        <w:rPr>
          <w:rStyle w:val="10"/>
          <w:rFonts w:ascii="黑体" w:hAnsi="宋体" w:eastAsia="黑体"/>
          <w:bCs/>
          <w:sz w:val="24"/>
        </w:rPr>
      </w:pPr>
      <w:r>
        <w:rPr>
          <w:rStyle w:val="10"/>
          <w:rFonts w:ascii="黑体" w:hAnsi="宋体" w:eastAsia="黑体"/>
          <w:bCs/>
          <w:sz w:val="24"/>
        </w:rPr>
        <w:t xml:space="preserve">（四） 招标文件的补充或修正： </w:t>
      </w:r>
    </w:p>
    <w:p>
      <w:pPr>
        <w:numPr>
          <w:ilvl w:val="0"/>
          <w:numId w:val="4"/>
        </w:numPr>
        <w:tabs>
          <w:tab w:val="left" w:pos="525"/>
          <w:tab w:val="left" w:pos="945"/>
        </w:tabs>
        <w:spacing w:line="360" w:lineRule="auto"/>
        <w:ind w:left="1" w:firstLine="523" w:firstLineChars="218"/>
        <w:rPr>
          <w:rStyle w:val="10"/>
          <w:rFonts w:ascii="宋体" w:hAnsi="宋体"/>
          <w:bCs/>
          <w:sz w:val="24"/>
        </w:rPr>
      </w:pPr>
      <w:r>
        <w:rPr>
          <w:rStyle w:val="10"/>
          <w:rFonts w:ascii="宋体" w:hAnsi="宋体"/>
          <w:bCs/>
          <w:sz w:val="24"/>
        </w:rPr>
        <w:t>代理公司可在投标截止时间十五日前对招标文件进行必要的澄清或者修改，不足15日的，将顺延提交投标文件的截止时间。</w:t>
      </w:r>
    </w:p>
    <w:p>
      <w:pPr>
        <w:numPr>
          <w:ilvl w:val="0"/>
          <w:numId w:val="4"/>
        </w:numPr>
        <w:tabs>
          <w:tab w:val="left" w:pos="525"/>
          <w:tab w:val="left" w:pos="945"/>
        </w:tabs>
        <w:spacing w:line="360" w:lineRule="auto"/>
        <w:ind w:left="1" w:firstLine="523" w:firstLineChars="218"/>
        <w:rPr>
          <w:rStyle w:val="10"/>
          <w:rFonts w:ascii="宋体" w:hAnsi="宋体"/>
          <w:bCs/>
          <w:sz w:val="24"/>
        </w:rPr>
      </w:pPr>
      <w:r>
        <w:rPr>
          <w:rStyle w:val="10"/>
          <w:rFonts w:ascii="宋体" w:hAnsi="宋体"/>
          <w:bCs/>
          <w:sz w:val="24"/>
        </w:rPr>
        <w:t>潜在投标人对招标文件项目需求部分的询问、质疑请向招标人提出，由招标人负责答复。</w:t>
      </w:r>
    </w:p>
    <w:p>
      <w:pPr>
        <w:numPr>
          <w:ilvl w:val="0"/>
          <w:numId w:val="4"/>
        </w:numPr>
        <w:tabs>
          <w:tab w:val="left" w:pos="525"/>
          <w:tab w:val="left" w:pos="945"/>
        </w:tabs>
        <w:spacing w:line="360" w:lineRule="auto"/>
        <w:ind w:left="1" w:firstLine="523" w:firstLineChars="218"/>
        <w:rPr>
          <w:rStyle w:val="10"/>
          <w:rFonts w:ascii="宋体"/>
          <w:bCs/>
          <w:sz w:val="24"/>
        </w:rPr>
      </w:pPr>
      <w:r>
        <w:rPr>
          <w:rStyle w:val="10"/>
          <w:rFonts w:ascii="宋体" w:hAnsi="宋体"/>
          <w:bCs/>
          <w:sz w:val="24"/>
        </w:rPr>
        <w:t>如需对招标文件进行澄清或修正，将在泰州职业技术学院网发布更正公告，该澄清或修正的内容为招标文件的组成部分。投标人应在投标截止时间前关注原招标公告媒体上发布的相关更正公告。因投标人未尽注意义务，未及时全面地关注更正公告导致其提交的投标材料不符合代理公司要求，而造成的损失及风险（包括但不限于未中标）由投标人自行承担。</w:t>
      </w:r>
    </w:p>
    <w:p>
      <w:pPr>
        <w:spacing w:line="360" w:lineRule="auto"/>
        <w:ind w:firstLine="480" w:firstLineChars="200"/>
        <w:rPr>
          <w:rStyle w:val="10"/>
          <w:rFonts w:ascii="宋体"/>
          <w:bCs/>
          <w:sz w:val="24"/>
        </w:rPr>
      </w:pPr>
      <w:r>
        <w:rPr>
          <w:rStyle w:val="10"/>
          <w:rFonts w:ascii="黑体" w:hAnsi="宋体" w:eastAsia="黑体"/>
          <w:bCs/>
          <w:sz w:val="24"/>
        </w:rPr>
        <w:t>（五） 投标文件的组成：</w:t>
      </w:r>
    </w:p>
    <w:p>
      <w:pPr>
        <w:numPr>
          <w:ilvl w:val="0"/>
          <w:numId w:val="5"/>
        </w:numPr>
        <w:tabs>
          <w:tab w:val="left" w:pos="525"/>
          <w:tab w:val="left" w:pos="945"/>
        </w:tabs>
        <w:spacing w:line="360" w:lineRule="auto"/>
        <w:ind w:left="1" w:firstLine="523" w:firstLineChars="218"/>
        <w:rPr>
          <w:rStyle w:val="10"/>
          <w:rFonts w:ascii="宋体"/>
          <w:bCs/>
          <w:sz w:val="24"/>
        </w:rPr>
      </w:pPr>
      <w:r>
        <w:rPr>
          <w:rStyle w:val="10"/>
          <w:rFonts w:ascii="宋体" w:hAnsi="宋体"/>
          <w:bCs/>
          <w:sz w:val="24"/>
        </w:rPr>
        <w:t>投标函（</w:t>
      </w:r>
      <w:r>
        <w:rPr>
          <w:rStyle w:val="10"/>
          <w:rFonts w:ascii="宋体" w:hAnsi="宋体"/>
          <w:b/>
          <w:bCs/>
          <w:sz w:val="24"/>
        </w:rPr>
        <w:t>格式见附件）</w:t>
      </w:r>
    </w:p>
    <w:p>
      <w:pPr>
        <w:numPr>
          <w:ilvl w:val="0"/>
          <w:numId w:val="5"/>
        </w:numPr>
        <w:tabs>
          <w:tab w:val="left" w:pos="525"/>
          <w:tab w:val="left" w:pos="945"/>
        </w:tabs>
        <w:spacing w:line="360" w:lineRule="auto"/>
        <w:ind w:left="1" w:firstLine="523" w:firstLineChars="218"/>
        <w:rPr>
          <w:rStyle w:val="10"/>
          <w:rFonts w:ascii="宋体"/>
          <w:bCs/>
          <w:sz w:val="24"/>
        </w:rPr>
      </w:pPr>
      <w:r>
        <w:rPr>
          <w:rStyle w:val="10"/>
          <w:rFonts w:ascii="宋体" w:hAnsi="宋体"/>
          <w:bCs/>
          <w:sz w:val="24"/>
        </w:rPr>
        <w:t>资格、资信证明文件：</w:t>
      </w:r>
    </w:p>
    <w:p>
      <w:pPr>
        <w:pStyle w:val="38"/>
        <w:numPr>
          <w:ilvl w:val="1"/>
          <w:numId w:val="6"/>
        </w:numPr>
        <w:tabs>
          <w:tab w:val="left" w:pos="1276"/>
        </w:tabs>
        <w:spacing w:line="360" w:lineRule="auto"/>
        <w:ind w:firstLineChars="0"/>
        <w:rPr>
          <w:rStyle w:val="10"/>
          <w:rFonts w:ascii="宋体"/>
          <w:bCs/>
          <w:sz w:val="24"/>
        </w:rPr>
      </w:pPr>
      <w:r>
        <w:rPr>
          <w:rStyle w:val="10"/>
          <w:rFonts w:ascii="宋体" w:hAnsi="宋体"/>
          <w:bCs/>
          <w:sz w:val="24"/>
        </w:rPr>
        <w:t>关于资格的声明函（</w:t>
      </w:r>
      <w:r>
        <w:rPr>
          <w:rStyle w:val="10"/>
          <w:rFonts w:ascii="宋体" w:hAnsi="宋体"/>
          <w:b/>
          <w:bCs/>
          <w:sz w:val="24"/>
        </w:rPr>
        <w:t>格式见附件</w:t>
      </w:r>
      <w:r>
        <w:rPr>
          <w:rStyle w:val="10"/>
          <w:rFonts w:ascii="宋体" w:hAnsi="宋体"/>
          <w:bCs/>
          <w:sz w:val="24"/>
        </w:rPr>
        <w:t>）</w:t>
      </w:r>
    </w:p>
    <w:p>
      <w:pPr>
        <w:pStyle w:val="38"/>
        <w:numPr>
          <w:ilvl w:val="1"/>
          <w:numId w:val="6"/>
        </w:numPr>
        <w:tabs>
          <w:tab w:val="left" w:pos="1276"/>
        </w:tabs>
        <w:spacing w:line="360" w:lineRule="auto"/>
        <w:ind w:firstLineChars="0"/>
        <w:rPr>
          <w:rStyle w:val="10"/>
          <w:rFonts w:ascii="宋体"/>
          <w:bCs/>
          <w:sz w:val="24"/>
        </w:rPr>
      </w:pPr>
      <w:r>
        <w:rPr>
          <w:rStyle w:val="10"/>
          <w:rFonts w:ascii="宋体" w:hAnsi="宋体"/>
          <w:bCs/>
          <w:sz w:val="24"/>
        </w:rPr>
        <w:t>具有独立承担民事责任能力的投标人营业执照及</w:t>
      </w:r>
      <w:r>
        <w:rPr>
          <w:rStyle w:val="10"/>
          <w:rFonts w:ascii="宋体" w:hAnsi="宋体"/>
          <w:spacing w:val="4"/>
          <w:sz w:val="24"/>
        </w:rPr>
        <w:t>新闻出版广电总局颁发的《出版物经营许可证》证书</w:t>
      </w:r>
      <w:r>
        <w:rPr>
          <w:rStyle w:val="10"/>
          <w:rFonts w:ascii="宋体" w:hAnsi="宋体"/>
          <w:bCs/>
          <w:sz w:val="24"/>
        </w:rPr>
        <w:t xml:space="preserve">； </w:t>
      </w:r>
    </w:p>
    <w:p>
      <w:pPr>
        <w:numPr>
          <w:ilvl w:val="1"/>
          <w:numId w:val="6"/>
        </w:numPr>
        <w:tabs>
          <w:tab w:val="left" w:pos="945"/>
          <w:tab w:val="left" w:pos="1276"/>
        </w:tabs>
        <w:spacing w:line="360" w:lineRule="auto"/>
        <w:rPr>
          <w:rStyle w:val="10"/>
          <w:rFonts w:ascii="宋体"/>
          <w:bCs/>
          <w:sz w:val="24"/>
        </w:rPr>
      </w:pPr>
      <w:r>
        <w:rPr>
          <w:rStyle w:val="10"/>
          <w:rFonts w:ascii="宋体" w:hAnsi="宋体"/>
          <w:bCs/>
          <w:sz w:val="24"/>
        </w:rPr>
        <w:t>投标人法定代表人授权委托书</w:t>
      </w:r>
      <w:r>
        <w:rPr>
          <w:rStyle w:val="10"/>
          <w:rFonts w:ascii="宋体" w:hAnsi="宋体"/>
          <w:sz w:val="24"/>
        </w:rPr>
        <w:t>（</w:t>
      </w:r>
      <w:r>
        <w:rPr>
          <w:rStyle w:val="10"/>
          <w:rFonts w:ascii="宋体" w:hAnsi="宋体"/>
          <w:b/>
          <w:bCs/>
          <w:sz w:val="24"/>
        </w:rPr>
        <w:t>格式见附件，法定代表人亲自参加投标的除外</w:t>
      </w:r>
      <w:r>
        <w:rPr>
          <w:rStyle w:val="10"/>
          <w:rFonts w:ascii="宋体" w:hAnsi="宋体"/>
          <w:sz w:val="24"/>
        </w:rPr>
        <w:t>）；</w:t>
      </w:r>
    </w:p>
    <w:p>
      <w:pPr>
        <w:numPr>
          <w:ilvl w:val="1"/>
          <w:numId w:val="6"/>
        </w:numPr>
        <w:tabs>
          <w:tab w:val="left" w:pos="945"/>
          <w:tab w:val="left" w:pos="1276"/>
        </w:tabs>
        <w:spacing w:line="360" w:lineRule="auto"/>
        <w:rPr>
          <w:rStyle w:val="10"/>
          <w:rFonts w:ascii="宋体"/>
          <w:bCs/>
          <w:sz w:val="24"/>
        </w:rPr>
      </w:pPr>
      <w:r>
        <w:rPr>
          <w:rStyle w:val="10"/>
          <w:rFonts w:ascii="宋体" w:hAnsi="宋体"/>
          <w:bCs/>
          <w:sz w:val="24"/>
        </w:rPr>
        <w:t>投标人法定代表人身份证复印件；</w:t>
      </w:r>
    </w:p>
    <w:p>
      <w:pPr>
        <w:numPr>
          <w:ilvl w:val="1"/>
          <w:numId w:val="6"/>
        </w:numPr>
        <w:tabs>
          <w:tab w:val="left" w:pos="945"/>
          <w:tab w:val="left" w:pos="1276"/>
        </w:tabs>
        <w:spacing w:line="360" w:lineRule="auto"/>
        <w:rPr>
          <w:rStyle w:val="10"/>
          <w:rFonts w:ascii="宋体"/>
          <w:bCs/>
          <w:sz w:val="24"/>
        </w:rPr>
      </w:pPr>
      <w:r>
        <w:rPr>
          <w:rStyle w:val="10"/>
          <w:rFonts w:ascii="宋体" w:hAnsi="宋体"/>
          <w:bCs/>
          <w:sz w:val="24"/>
        </w:rPr>
        <w:t>投标人法定代表人授权代表身份证复印件（</w:t>
      </w:r>
      <w:r>
        <w:rPr>
          <w:rStyle w:val="10"/>
          <w:rFonts w:ascii="宋体" w:hAnsi="宋体"/>
          <w:b/>
          <w:bCs/>
          <w:sz w:val="24"/>
        </w:rPr>
        <w:t>法定代表人亲自参加投标的除外</w:t>
      </w:r>
      <w:r>
        <w:rPr>
          <w:rStyle w:val="10"/>
          <w:rFonts w:ascii="宋体" w:hAnsi="宋体"/>
          <w:bCs/>
          <w:sz w:val="24"/>
        </w:rPr>
        <w:t>）</w:t>
      </w:r>
      <w:r>
        <w:rPr>
          <w:rStyle w:val="10"/>
          <w:rFonts w:ascii="宋体" w:hAnsi="宋体"/>
          <w:sz w:val="24"/>
        </w:rPr>
        <w:t>；</w:t>
      </w:r>
    </w:p>
    <w:p>
      <w:pPr>
        <w:numPr>
          <w:ilvl w:val="1"/>
          <w:numId w:val="6"/>
        </w:numPr>
        <w:tabs>
          <w:tab w:val="left" w:pos="945"/>
          <w:tab w:val="left" w:pos="1276"/>
        </w:tabs>
        <w:spacing w:line="360" w:lineRule="auto"/>
        <w:rPr>
          <w:rStyle w:val="10"/>
          <w:rFonts w:ascii="宋体"/>
          <w:bCs/>
          <w:sz w:val="24"/>
        </w:rPr>
      </w:pPr>
      <w:r>
        <w:rPr>
          <w:rStyle w:val="10"/>
          <w:rFonts w:ascii="宋体" w:hAnsi="宋体"/>
          <w:bCs/>
          <w:sz w:val="24"/>
        </w:rPr>
        <w:t xml:space="preserve">投标人近六个月中任意一个月份(不含投标当月)的财务状况报告（资产负债表和利润表）或由会计师事务所出具的近两年中任意一个年度的审计报告和所附已审财务报告复印件； </w:t>
      </w:r>
    </w:p>
    <w:p>
      <w:pPr>
        <w:numPr>
          <w:ilvl w:val="1"/>
          <w:numId w:val="6"/>
        </w:numPr>
        <w:tabs>
          <w:tab w:val="left" w:pos="945"/>
          <w:tab w:val="left" w:pos="1276"/>
        </w:tabs>
        <w:spacing w:line="360" w:lineRule="auto"/>
        <w:rPr>
          <w:rStyle w:val="10"/>
          <w:rFonts w:ascii="宋体"/>
          <w:bCs/>
          <w:sz w:val="24"/>
        </w:rPr>
      </w:pPr>
      <w:r>
        <w:rPr>
          <w:rStyle w:val="10"/>
          <w:rFonts w:ascii="宋体" w:hAnsi="宋体"/>
          <w:bCs/>
          <w:sz w:val="24"/>
        </w:rPr>
        <w:t>投标人近六个月中任意一个月份(不含投标当月)的依法缴纳税收和社会保障资金的相关材料（提供相关主管部门证明或银行代扣证明）复印件；</w:t>
      </w:r>
    </w:p>
    <w:p>
      <w:pPr>
        <w:numPr>
          <w:ilvl w:val="1"/>
          <w:numId w:val="6"/>
        </w:numPr>
        <w:tabs>
          <w:tab w:val="left" w:pos="945"/>
          <w:tab w:val="left" w:pos="1276"/>
        </w:tabs>
        <w:spacing w:line="360" w:lineRule="auto"/>
        <w:rPr>
          <w:rStyle w:val="10"/>
          <w:rFonts w:ascii="宋体" w:hAnsi="宋体"/>
          <w:bCs/>
          <w:sz w:val="24"/>
        </w:rPr>
      </w:pPr>
      <w:r>
        <w:rPr>
          <w:rStyle w:val="10"/>
          <w:rFonts w:ascii="宋体" w:hAnsi="宋体"/>
          <w:bCs/>
          <w:sz w:val="24"/>
        </w:rPr>
        <w:t xml:space="preserve">供应商提供在“信用中国”（www.creditchina.gov.cn）或“诚信江苏”（www.jscredit.gov.cn）或中国政府采购网（www.ccgp.gov.cn）查询的、自本采购公告发布之日至响应文件截止前的信用记录的截图（截图须加盖公章）； </w:t>
      </w:r>
    </w:p>
    <w:p>
      <w:pPr>
        <w:numPr>
          <w:ilvl w:val="1"/>
          <w:numId w:val="6"/>
        </w:numPr>
        <w:tabs>
          <w:tab w:val="left" w:pos="945"/>
          <w:tab w:val="left" w:pos="1276"/>
        </w:tabs>
        <w:spacing w:line="360" w:lineRule="auto"/>
        <w:rPr>
          <w:rStyle w:val="10"/>
          <w:rFonts w:ascii="宋体" w:hAnsi="宋体"/>
          <w:bCs/>
          <w:sz w:val="24"/>
        </w:rPr>
      </w:pPr>
      <w:r>
        <w:rPr>
          <w:rStyle w:val="10"/>
          <w:rFonts w:ascii="宋体" w:hAnsi="宋体"/>
          <w:bCs/>
          <w:sz w:val="24"/>
        </w:rPr>
        <w:t>承诺书（格式见附件）；</w:t>
      </w:r>
    </w:p>
    <w:p>
      <w:pPr>
        <w:numPr>
          <w:ilvl w:val="1"/>
          <w:numId w:val="6"/>
        </w:numPr>
        <w:tabs>
          <w:tab w:val="left" w:pos="945"/>
          <w:tab w:val="left" w:pos="1276"/>
        </w:tabs>
        <w:spacing w:line="360" w:lineRule="auto"/>
        <w:rPr>
          <w:rStyle w:val="10"/>
          <w:rFonts w:ascii="宋体"/>
          <w:bCs/>
          <w:sz w:val="24"/>
        </w:rPr>
      </w:pPr>
      <w:r>
        <w:rPr>
          <w:rStyle w:val="10"/>
          <w:rFonts w:ascii="宋体" w:hAnsi="宋体"/>
          <w:bCs/>
          <w:sz w:val="24"/>
        </w:rPr>
        <w:t>招标人要求的特定资质证明复印件（</w:t>
      </w:r>
      <w:r>
        <w:rPr>
          <w:rStyle w:val="10"/>
          <w:rFonts w:ascii="宋体" w:hAnsi="宋体"/>
          <w:b/>
          <w:bCs/>
          <w:sz w:val="24"/>
        </w:rPr>
        <w:t>详见“招标公告”-“投标人资格要求”）</w:t>
      </w:r>
      <w:r>
        <w:rPr>
          <w:rStyle w:val="10"/>
          <w:rFonts w:ascii="宋体" w:hAnsi="宋体"/>
          <w:bCs/>
          <w:sz w:val="24"/>
        </w:rPr>
        <w:t>。</w:t>
      </w:r>
    </w:p>
    <w:p>
      <w:pPr>
        <w:numPr>
          <w:ilvl w:val="0"/>
          <w:numId w:val="5"/>
        </w:numPr>
        <w:tabs>
          <w:tab w:val="left" w:pos="525"/>
          <w:tab w:val="left" w:pos="945"/>
        </w:tabs>
        <w:spacing w:line="360" w:lineRule="auto"/>
        <w:ind w:left="1" w:firstLine="523" w:firstLineChars="218"/>
        <w:rPr>
          <w:rStyle w:val="10"/>
          <w:rFonts w:ascii="宋体" w:hAnsi="宋体"/>
          <w:bCs/>
          <w:sz w:val="24"/>
        </w:rPr>
      </w:pPr>
      <w:r>
        <w:rPr>
          <w:rStyle w:val="10"/>
          <w:rFonts w:ascii="宋体" w:hAnsi="宋体"/>
          <w:bCs/>
          <w:sz w:val="24"/>
        </w:rPr>
        <w:t>开标一览表（</w:t>
      </w:r>
      <w:r>
        <w:rPr>
          <w:rStyle w:val="10"/>
          <w:rFonts w:ascii="宋体" w:hAnsi="宋体"/>
          <w:b/>
          <w:bCs/>
          <w:sz w:val="24"/>
        </w:rPr>
        <w:t>格式见附件</w:t>
      </w:r>
      <w:r>
        <w:rPr>
          <w:rStyle w:val="10"/>
          <w:rFonts w:ascii="宋体" w:hAnsi="宋体"/>
          <w:bCs/>
          <w:sz w:val="24"/>
        </w:rPr>
        <w:t>）</w:t>
      </w:r>
    </w:p>
    <w:p>
      <w:pPr>
        <w:numPr>
          <w:ilvl w:val="0"/>
          <w:numId w:val="5"/>
        </w:numPr>
        <w:tabs>
          <w:tab w:val="left" w:pos="525"/>
          <w:tab w:val="left" w:pos="945"/>
        </w:tabs>
        <w:spacing w:line="360" w:lineRule="auto"/>
        <w:ind w:left="1" w:firstLine="523" w:firstLineChars="218"/>
        <w:rPr>
          <w:rStyle w:val="10"/>
          <w:rFonts w:ascii="宋体" w:hAnsi="宋体"/>
          <w:bCs/>
          <w:sz w:val="24"/>
        </w:rPr>
      </w:pPr>
      <w:r>
        <w:rPr>
          <w:rStyle w:val="10"/>
          <w:rFonts w:ascii="宋体" w:hAnsi="宋体"/>
          <w:bCs/>
          <w:sz w:val="24"/>
        </w:rPr>
        <w:t>评分标准中对应的其它所需证明材料（</w:t>
      </w:r>
      <w:r>
        <w:rPr>
          <w:rStyle w:val="10"/>
          <w:rFonts w:ascii="宋体" w:hAnsi="宋体"/>
          <w:b/>
          <w:bCs/>
          <w:sz w:val="24"/>
        </w:rPr>
        <w:t>如有自行添加</w:t>
      </w:r>
      <w:r>
        <w:rPr>
          <w:rStyle w:val="10"/>
          <w:rFonts w:ascii="宋体" w:hAnsi="宋体"/>
          <w:bCs/>
          <w:sz w:val="24"/>
        </w:rPr>
        <w:t>）</w:t>
      </w:r>
    </w:p>
    <w:p>
      <w:pPr>
        <w:numPr>
          <w:ilvl w:val="0"/>
          <w:numId w:val="5"/>
        </w:numPr>
        <w:tabs>
          <w:tab w:val="left" w:pos="525"/>
          <w:tab w:val="left" w:pos="945"/>
        </w:tabs>
        <w:spacing w:line="360" w:lineRule="auto"/>
        <w:ind w:left="1" w:firstLine="523" w:firstLineChars="218"/>
        <w:rPr>
          <w:rStyle w:val="10"/>
          <w:rFonts w:ascii="宋体" w:hAnsi="宋体"/>
          <w:bCs/>
          <w:sz w:val="24"/>
        </w:rPr>
      </w:pPr>
      <w:r>
        <w:rPr>
          <w:rStyle w:val="10"/>
          <w:rFonts w:ascii="宋体" w:hAnsi="宋体"/>
          <w:bCs/>
          <w:sz w:val="24"/>
        </w:rPr>
        <w:t>要求招标人提供的配合（</w:t>
      </w:r>
      <w:r>
        <w:rPr>
          <w:rStyle w:val="10"/>
          <w:rFonts w:ascii="宋体" w:hAnsi="宋体"/>
          <w:b/>
          <w:bCs/>
          <w:sz w:val="24"/>
        </w:rPr>
        <w:t>如有自拟并自行添加</w:t>
      </w:r>
      <w:r>
        <w:rPr>
          <w:rStyle w:val="10"/>
          <w:rFonts w:ascii="宋体" w:hAnsi="宋体"/>
          <w:bCs/>
          <w:sz w:val="24"/>
        </w:rPr>
        <w:t>）</w:t>
      </w:r>
    </w:p>
    <w:p>
      <w:pPr>
        <w:numPr>
          <w:ilvl w:val="0"/>
          <w:numId w:val="5"/>
        </w:numPr>
        <w:tabs>
          <w:tab w:val="left" w:pos="525"/>
          <w:tab w:val="left" w:pos="945"/>
        </w:tabs>
        <w:spacing w:line="360" w:lineRule="auto"/>
        <w:ind w:left="1" w:firstLine="523" w:firstLineChars="218"/>
        <w:rPr>
          <w:rStyle w:val="10"/>
          <w:rFonts w:ascii="宋体" w:hAnsi="宋体"/>
          <w:bCs/>
          <w:sz w:val="24"/>
        </w:rPr>
      </w:pPr>
      <w:r>
        <w:rPr>
          <w:rStyle w:val="10"/>
          <w:rFonts w:ascii="宋体" w:hAnsi="宋体"/>
          <w:bCs/>
          <w:sz w:val="24"/>
        </w:rPr>
        <w:t>其它（</w:t>
      </w:r>
      <w:r>
        <w:rPr>
          <w:rStyle w:val="10"/>
          <w:rFonts w:ascii="宋体" w:hAnsi="宋体"/>
          <w:b/>
          <w:bCs/>
          <w:sz w:val="24"/>
        </w:rPr>
        <w:t>投标人认为有必要提供的声明和文件，如有自拟并自行添加</w:t>
      </w:r>
      <w:r>
        <w:rPr>
          <w:rStyle w:val="10"/>
          <w:rFonts w:ascii="宋体" w:hAnsi="宋体"/>
          <w:bCs/>
          <w:sz w:val="24"/>
        </w:rPr>
        <w:t>）</w:t>
      </w:r>
    </w:p>
    <w:p>
      <w:pPr>
        <w:tabs>
          <w:tab w:val="left" w:pos="945"/>
        </w:tabs>
        <w:spacing w:line="360" w:lineRule="auto"/>
        <w:ind w:firstLine="480" w:firstLineChars="200"/>
        <w:rPr>
          <w:rStyle w:val="10"/>
          <w:rFonts w:ascii="宋体" w:hAnsi="宋体"/>
          <w:bCs/>
          <w:sz w:val="24"/>
        </w:rPr>
      </w:pPr>
      <w:r>
        <w:rPr>
          <w:rStyle w:val="10"/>
          <w:rFonts w:ascii="宋体" w:hAnsi="宋体"/>
          <w:bCs/>
          <w:sz w:val="24"/>
        </w:rPr>
        <w:t>上述1-3项投标人必须按要求全部提供，否则投标文件无效。</w:t>
      </w:r>
      <w:r>
        <w:rPr>
          <w:rStyle w:val="10"/>
          <w:rFonts w:ascii="Tahoma" w:hAnsi="Tahoma"/>
          <w:sz w:val="24"/>
        </w:rPr>
        <w:t>如上述资格证明文件遇年检、换证，则必须提供法定年检、换证单位出具的有效证明复印件</w:t>
      </w:r>
      <w:r>
        <w:rPr>
          <w:rStyle w:val="10"/>
          <w:rFonts w:ascii="宋体" w:hAnsi="宋体"/>
          <w:bCs/>
          <w:sz w:val="24"/>
        </w:rPr>
        <w:t>。</w:t>
      </w:r>
    </w:p>
    <w:p>
      <w:pPr>
        <w:spacing w:line="360" w:lineRule="auto"/>
        <w:ind w:firstLine="480" w:firstLineChars="200"/>
        <w:rPr>
          <w:rStyle w:val="10"/>
          <w:rFonts w:ascii="黑体" w:hAnsi="宋体" w:eastAsia="黑体"/>
          <w:bCs/>
          <w:sz w:val="24"/>
        </w:rPr>
      </w:pPr>
      <w:r>
        <w:rPr>
          <w:rStyle w:val="10"/>
          <w:rFonts w:ascii="黑体" w:hAnsi="宋体" w:eastAsia="黑体"/>
          <w:bCs/>
          <w:sz w:val="24"/>
        </w:rPr>
        <w:t>（六） 投标文件的制作：</w:t>
      </w:r>
    </w:p>
    <w:p>
      <w:pPr>
        <w:numPr>
          <w:ilvl w:val="0"/>
          <w:numId w:val="7"/>
        </w:numPr>
        <w:tabs>
          <w:tab w:val="left" w:pos="525"/>
          <w:tab w:val="left" w:pos="945"/>
        </w:tabs>
        <w:spacing w:line="360" w:lineRule="auto"/>
        <w:ind w:left="1" w:firstLine="523" w:firstLineChars="218"/>
        <w:rPr>
          <w:rStyle w:val="10"/>
          <w:rFonts w:ascii="宋体" w:hAnsi="宋体"/>
          <w:bCs/>
          <w:sz w:val="24"/>
        </w:rPr>
      </w:pPr>
      <w:r>
        <w:rPr>
          <w:rStyle w:val="10"/>
          <w:rFonts w:ascii="宋体" w:hAnsi="宋体"/>
          <w:bCs/>
          <w:sz w:val="24"/>
        </w:rPr>
        <w:t>所有文件、往来函件均应使用简体中文（规格、型号辅助符号例外）。</w:t>
      </w:r>
    </w:p>
    <w:p>
      <w:pPr>
        <w:numPr>
          <w:ilvl w:val="0"/>
          <w:numId w:val="7"/>
        </w:numPr>
        <w:tabs>
          <w:tab w:val="left" w:pos="525"/>
          <w:tab w:val="left" w:pos="945"/>
        </w:tabs>
        <w:spacing w:line="360" w:lineRule="auto"/>
        <w:ind w:left="1" w:firstLine="523" w:firstLineChars="218"/>
        <w:rPr>
          <w:rStyle w:val="10"/>
          <w:rFonts w:ascii="宋体" w:hAnsi="宋体"/>
          <w:bCs/>
          <w:sz w:val="24"/>
        </w:rPr>
      </w:pPr>
      <w:r>
        <w:rPr>
          <w:rStyle w:val="10"/>
          <w:rFonts w:ascii="宋体" w:hAnsi="宋体"/>
          <w:bCs/>
          <w:sz w:val="24"/>
        </w:rPr>
        <w:t>投标文件由投标人按要求参考给定格式如实填写（编写），须有投标人（盖章）、法定代表人或法定代表人授权代表签字或盖章，方为有效，未尽事宜可自行补充。</w:t>
      </w:r>
    </w:p>
    <w:p>
      <w:pPr>
        <w:numPr>
          <w:ilvl w:val="0"/>
          <w:numId w:val="7"/>
        </w:numPr>
        <w:tabs>
          <w:tab w:val="left" w:pos="525"/>
          <w:tab w:val="left" w:pos="945"/>
        </w:tabs>
        <w:spacing w:line="360" w:lineRule="auto"/>
        <w:ind w:left="1" w:firstLine="523" w:firstLineChars="218"/>
        <w:rPr>
          <w:rStyle w:val="10"/>
          <w:rFonts w:ascii="宋体" w:hAnsi="宋体"/>
          <w:bCs/>
          <w:sz w:val="24"/>
        </w:rPr>
      </w:pPr>
      <w:r>
        <w:rPr>
          <w:rStyle w:val="10"/>
          <w:rFonts w:ascii="宋体" w:hAnsi="宋体"/>
          <w:bCs/>
          <w:sz w:val="24"/>
        </w:rPr>
        <w:t>如无特别说明，投标人的报价一律以折扣的形式来填写。</w:t>
      </w:r>
    </w:p>
    <w:p>
      <w:pPr>
        <w:numPr>
          <w:ilvl w:val="0"/>
          <w:numId w:val="7"/>
        </w:numPr>
        <w:tabs>
          <w:tab w:val="left" w:pos="525"/>
          <w:tab w:val="left" w:pos="945"/>
        </w:tabs>
        <w:spacing w:line="360" w:lineRule="auto"/>
        <w:ind w:left="1" w:firstLine="523" w:firstLineChars="218"/>
        <w:rPr>
          <w:rStyle w:val="10"/>
          <w:rFonts w:ascii="宋体" w:hAnsi="宋体"/>
          <w:bCs/>
          <w:sz w:val="24"/>
        </w:rPr>
      </w:pPr>
      <w:r>
        <w:rPr>
          <w:rStyle w:val="10"/>
          <w:rFonts w:ascii="宋体" w:hAnsi="宋体"/>
          <w:bCs/>
          <w:sz w:val="24"/>
        </w:rPr>
        <w:t>投标文件不应有涂改、增删和潦草之处，如有必须修改时，修改处必须有投标人盖章、法定代表人或法定代表人授权代表的签字。</w:t>
      </w:r>
    </w:p>
    <w:p>
      <w:pPr>
        <w:numPr>
          <w:ilvl w:val="0"/>
          <w:numId w:val="7"/>
        </w:numPr>
        <w:tabs>
          <w:tab w:val="left" w:pos="525"/>
          <w:tab w:val="left" w:pos="945"/>
        </w:tabs>
        <w:spacing w:line="360" w:lineRule="auto"/>
        <w:ind w:left="1" w:firstLine="523" w:firstLineChars="218"/>
        <w:rPr>
          <w:rStyle w:val="10"/>
          <w:rFonts w:ascii="宋体" w:hAnsi="宋体"/>
          <w:bCs/>
          <w:sz w:val="24"/>
        </w:rPr>
      </w:pPr>
      <w:r>
        <w:rPr>
          <w:rStyle w:val="10"/>
          <w:rFonts w:ascii="宋体" w:hAnsi="宋体"/>
          <w:bCs/>
          <w:sz w:val="24"/>
        </w:rPr>
        <w:t>投标费用自理。</w:t>
      </w:r>
    </w:p>
    <w:p>
      <w:pPr>
        <w:spacing w:line="360" w:lineRule="auto"/>
        <w:ind w:firstLine="480" w:firstLineChars="200"/>
        <w:rPr>
          <w:rStyle w:val="10"/>
          <w:rFonts w:ascii="黑体" w:hAnsi="宋体" w:eastAsia="黑体"/>
          <w:bCs/>
          <w:sz w:val="24"/>
        </w:rPr>
      </w:pPr>
      <w:r>
        <w:rPr>
          <w:rStyle w:val="10"/>
          <w:rFonts w:ascii="黑体" w:hAnsi="宋体" w:eastAsia="黑体"/>
          <w:bCs/>
          <w:sz w:val="24"/>
        </w:rPr>
        <w:t>（七）投标文件的递交</w:t>
      </w:r>
    </w:p>
    <w:p>
      <w:pPr>
        <w:spacing w:line="360" w:lineRule="auto"/>
        <w:ind w:firstLine="480" w:firstLineChars="200"/>
        <w:rPr>
          <w:rStyle w:val="10"/>
          <w:rFonts w:ascii="宋体" w:hAnsi="宋体"/>
          <w:sz w:val="24"/>
          <w:szCs w:val="24"/>
        </w:rPr>
      </w:pPr>
      <w:r>
        <w:rPr>
          <w:rStyle w:val="10"/>
          <w:rFonts w:ascii="宋体" w:hAnsi="宋体"/>
          <w:sz w:val="24"/>
          <w:szCs w:val="24"/>
        </w:rPr>
        <w:t>1.除开标一览表外所有要求统一装订的投标文件必须在封面上注明投标人名称（加盖公章）、项目名称、项目编号、正本或副本字样。</w:t>
      </w:r>
    </w:p>
    <w:p>
      <w:pPr>
        <w:spacing w:line="360" w:lineRule="auto"/>
        <w:ind w:firstLine="480" w:firstLineChars="200"/>
        <w:rPr>
          <w:rStyle w:val="10"/>
          <w:rFonts w:ascii="宋体" w:hAnsi="宋体"/>
          <w:sz w:val="24"/>
          <w:szCs w:val="24"/>
        </w:rPr>
      </w:pPr>
      <w:r>
        <w:rPr>
          <w:rStyle w:val="10"/>
          <w:rFonts w:ascii="宋体" w:hAnsi="宋体"/>
          <w:sz w:val="24"/>
          <w:szCs w:val="24"/>
        </w:rPr>
        <w:t>2.除开标一览表外所有要求统一装订的投标文件统一封装在一个大信封或其它封装器物中，并在封口处贴封签并加盖投标人公章，封面标注“请勿在</w:t>
      </w:r>
      <w:r>
        <w:rPr>
          <w:rStyle w:val="10"/>
          <w:rFonts w:ascii="宋体" w:hAnsi="宋体"/>
          <w:sz w:val="24"/>
          <w:szCs w:val="24"/>
          <w:u w:val="single" w:color="000000"/>
        </w:rPr>
        <w:t>2022年7月  日9：30时(</w:t>
      </w:r>
      <w:r>
        <w:rPr>
          <w:rStyle w:val="10"/>
          <w:rFonts w:ascii="宋体" w:hAnsi="宋体"/>
          <w:sz w:val="24"/>
          <w:szCs w:val="24"/>
        </w:rPr>
        <w:t>开标时间)之前启封”的字样。不论投标人中标与否，投标文件均不退回。</w:t>
      </w:r>
    </w:p>
    <w:p>
      <w:pPr>
        <w:tabs>
          <w:tab w:val="left" w:pos="525"/>
          <w:tab w:val="left" w:pos="945"/>
        </w:tabs>
        <w:spacing w:line="360" w:lineRule="auto"/>
        <w:ind w:firstLine="480" w:firstLineChars="200"/>
        <w:rPr>
          <w:rStyle w:val="10"/>
          <w:rFonts w:ascii="宋体" w:hAnsi="宋体"/>
          <w:sz w:val="24"/>
          <w:szCs w:val="24"/>
        </w:rPr>
      </w:pPr>
      <w:r>
        <w:rPr>
          <w:rStyle w:val="10"/>
          <w:rFonts w:ascii="宋体" w:hAnsi="宋体"/>
          <w:sz w:val="24"/>
          <w:szCs w:val="24"/>
        </w:rPr>
        <w:t>3.对未按要求密封盖章和标记的投标文件，招标人将予以拒收或由评标委员会作无效投标文件处理，且招标人对误投或过早启封概不负责，对由此造成提前开封的投标文件，招标人将予以拒绝，作无效投标文件处理。</w:t>
      </w:r>
    </w:p>
    <w:p>
      <w:pPr>
        <w:tabs>
          <w:tab w:val="left" w:pos="525"/>
          <w:tab w:val="left" w:pos="945"/>
        </w:tabs>
        <w:spacing w:line="360" w:lineRule="auto"/>
        <w:ind w:firstLine="480" w:firstLineChars="200"/>
        <w:rPr>
          <w:rStyle w:val="10"/>
          <w:rFonts w:ascii="宋体" w:hAnsi="宋体"/>
          <w:bCs/>
          <w:sz w:val="24"/>
        </w:rPr>
      </w:pPr>
      <w:r>
        <w:rPr>
          <w:rStyle w:val="10"/>
          <w:rFonts w:ascii="宋体" w:hAnsi="宋体"/>
          <w:bCs/>
          <w:sz w:val="24"/>
        </w:rPr>
        <w:t>4.代理公司可以按照规定，通过修改招标文件酌情延长投标截止日期，在此情况下，投标人的所有权利和义务以及投标人受制的截止日期均应以延长后新的截止日期为准。</w:t>
      </w:r>
    </w:p>
    <w:p>
      <w:pPr>
        <w:spacing w:line="360" w:lineRule="auto"/>
        <w:ind w:firstLine="480" w:firstLineChars="200"/>
        <w:rPr>
          <w:rStyle w:val="10"/>
          <w:rFonts w:ascii="黑体" w:hAnsi="宋体" w:eastAsia="黑体"/>
          <w:bCs/>
          <w:sz w:val="24"/>
        </w:rPr>
      </w:pPr>
      <w:r>
        <w:rPr>
          <w:rStyle w:val="10"/>
          <w:rFonts w:ascii="黑体" w:hAnsi="宋体" w:eastAsia="黑体"/>
          <w:bCs/>
          <w:sz w:val="24"/>
        </w:rPr>
        <w:t>（八）投标文件的拒收</w:t>
      </w:r>
    </w:p>
    <w:p>
      <w:pPr>
        <w:tabs>
          <w:tab w:val="left" w:pos="525"/>
          <w:tab w:val="left" w:pos="945"/>
        </w:tabs>
        <w:spacing w:line="360" w:lineRule="auto"/>
        <w:ind w:firstLine="480" w:firstLineChars="200"/>
        <w:rPr>
          <w:rStyle w:val="10"/>
          <w:rFonts w:ascii="宋体" w:hAnsi="宋体"/>
          <w:bCs/>
          <w:sz w:val="24"/>
        </w:rPr>
      </w:pPr>
      <w:r>
        <w:rPr>
          <w:rStyle w:val="10"/>
          <w:rFonts w:ascii="宋体" w:hAnsi="宋体"/>
          <w:bCs/>
          <w:sz w:val="24"/>
        </w:rPr>
        <w:t>代理公司和招标人拒绝接收在其规定的投标截止时间后收到的投标文件。</w:t>
      </w:r>
    </w:p>
    <w:p>
      <w:pPr>
        <w:spacing w:line="360" w:lineRule="auto"/>
        <w:ind w:firstLine="480" w:firstLineChars="200"/>
        <w:rPr>
          <w:rStyle w:val="10"/>
          <w:rFonts w:ascii="黑体" w:hAnsi="宋体" w:eastAsia="黑体"/>
          <w:bCs/>
          <w:sz w:val="24"/>
        </w:rPr>
      </w:pPr>
      <w:r>
        <w:rPr>
          <w:rStyle w:val="10"/>
          <w:rFonts w:ascii="黑体" w:hAnsi="宋体" w:eastAsia="黑体"/>
          <w:bCs/>
          <w:sz w:val="24"/>
        </w:rPr>
        <w:t>（九）投标文件的撤回和修改</w:t>
      </w:r>
    </w:p>
    <w:p>
      <w:pPr>
        <w:tabs>
          <w:tab w:val="left" w:pos="525"/>
          <w:tab w:val="left" w:pos="945"/>
        </w:tabs>
        <w:spacing w:line="360" w:lineRule="auto"/>
        <w:ind w:firstLine="480" w:firstLineChars="200"/>
        <w:rPr>
          <w:rStyle w:val="10"/>
          <w:rFonts w:ascii="宋体" w:hAnsi="宋体"/>
          <w:bCs/>
          <w:sz w:val="24"/>
        </w:rPr>
      </w:pPr>
      <w:r>
        <w:rPr>
          <w:rStyle w:val="10"/>
          <w:rFonts w:ascii="宋体" w:hAnsi="宋体"/>
          <w:bCs/>
          <w:sz w:val="24"/>
        </w:rPr>
        <w:t>1.投标文件的撤回</w:t>
      </w:r>
    </w:p>
    <w:p>
      <w:pPr>
        <w:tabs>
          <w:tab w:val="left" w:pos="525"/>
          <w:tab w:val="left" w:pos="945"/>
        </w:tabs>
        <w:spacing w:line="360" w:lineRule="auto"/>
        <w:ind w:firstLine="480" w:firstLineChars="200"/>
        <w:rPr>
          <w:rStyle w:val="10"/>
          <w:rFonts w:ascii="宋体" w:hAnsi="宋体"/>
          <w:bCs/>
          <w:sz w:val="24"/>
        </w:rPr>
      </w:pPr>
      <w:r>
        <w:rPr>
          <w:rStyle w:val="10"/>
          <w:rFonts w:ascii="宋体" w:hAnsi="宋体"/>
          <w:bCs/>
          <w:sz w:val="24"/>
        </w:rPr>
        <w:t>投标人可在投标截止时间前，撤回其投标文件。</w:t>
      </w:r>
    </w:p>
    <w:p>
      <w:pPr>
        <w:tabs>
          <w:tab w:val="left" w:pos="525"/>
          <w:tab w:val="left" w:pos="945"/>
        </w:tabs>
        <w:spacing w:line="360" w:lineRule="auto"/>
        <w:ind w:firstLine="480" w:firstLineChars="200"/>
        <w:rPr>
          <w:rStyle w:val="10"/>
          <w:rFonts w:ascii="宋体" w:hAnsi="宋体"/>
          <w:bCs/>
          <w:sz w:val="24"/>
        </w:rPr>
      </w:pPr>
      <w:r>
        <w:rPr>
          <w:rStyle w:val="10"/>
          <w:rFonts w:ascii="宋体" w:hAnsi="宋体"/>
          <w:bCs/>
          <w:sz w:val="24"/>
        </w:rPr>
        <w:t>2.投标文件的修改</w:t>
      </w:r>
    </w:p>
    <w:p>
      <w:pPr>
        <w:tabs>
          <w:tab w:val="left" w:pos="525"/>
          <w:tab w:val="left" w:pos="945"/>
        </w:tabs>
        <w:spacing w:line="360" w:lineRule="auto"/>
        <w:ind w:firstLine="480" w:firstLineChars="200"/>
        <w:rPr>
          <w:rStyle w:val="10"/>
          <w:rFonts w:ascii="宋体" w:hAnsi="宋体"/>
          <w:bCs/>
          <w:sz w:val="24"/>
        </w:rPr>
      </w:pPr>
      <w:r>
        <w:rPr>
          <w:rStyle w:val="10"/>
          <w:rFonts w:ascii="宋体" w:hAnsi="宋体"/>
          <w:bCs/>
          <w:sz w:val="24"/>
        </w:rPr>
        <w:t>投标人可在投标截止时间前，对其投标文件进行修改。</w:t>
      </w:r>
    </w:p>
    <w:p>
      <w:pPr>
        <w:tabs>
          <w:tab w:val="left" w:pos="525"/>
          <w:tab w:val="left" w:pos="945"/>
        </w:tabs>
        <w:spacing w:line="360" w:lineRule="auto"/>
        <w:ind w:firstLine="480" w:firstLineChars="200"/>
        <w:rPr>
          <w:rStyle w:val="10"/>
          <w:rFonts w:ascii="宋体" w:hAnsi="宋体"/>
          <w:bCs/>
          <w:sz w:val="24"/>
        </w:rPr>
      </w:pPr>
      <w:r>
        <w:rPr>
          <w:rStyle w:val="10"/>
          <w:rFonts w:ascii="宋体" w:hAnsi="宋体"/>
          <w:bCs/>
          <w:sz w:val="24"/>
        </w:rPr>
        <w:t>3.在投标截止时间之后，投标人不得对其投标文件作任何修改。</w:t>
      </w:r>
    </w:p>
    <w:p>
      <w:pPr>
        <w:tabs>
          <w:tab w:val="left" w:pos="945"/>
        </w:tabs>
        <w:spacing w:line="360" w:lineRule="auto"/>
        <w:ind w:firstLine="480" w:firstLineChars="200"/>
        <w:rPr>
          <w:rStyle w:val="10"/>
          <w:rFonts w:ascii="黑体" w:hAnsi="宋体" w:eastAsia="黑体"/>
          <w:bCs/>
          <w:sz w:val="24"/>
        </w:rPr>
      </w:pPr>
      <w:r>
        <w:rPr>
          <w:rStyle w:val="10"/>
          <w:rFonts w:ascii="黑体" w:hAnsi="宋体" w:eastAsia="黑体"/>
          <w:bCs/>
          <w:sz w:val="24"/>
        </w:rPr>
        <w:t>（十） 无效投标文件的确认：</w:t>
      </w:r>
    </w:p>
    <w:p>
      <w:pPr>
        <w:tabs>
          <w:tab w:val="left" w:pos="945"/>
        </w:tabs>
        <w:spacing w:line="360" w:lineRule="auto"/>
        <w:ind w:firstLine="480" w:firstLineChars="200"/>
        <w:rPr>
          <w:rStyle w:val="10"/>
          <w:rFonts w:ascii="黑体" w:hAnsi="宋体" w:eastAsia="黑体"/>
          <w:bCs/>
          <w:sz w:val="24"/>
        </w:rPr>
      </w:pPr>
      <w:r>
        <w:rPr>
          <w:rStyle w:val="10"/>
          <w:rFonts w:ascii="宋体" w:hAnsi="宋体"/>
          <w:bCs/>
          <w:sz w:val="24"/>
        </w:rPr>
        <w:t>投标人有下列情况之一者，投标文件无效：</w:t>
      </w:r>
    </w:p>
    <w:p>
      <w:pPr>
        <w:numPr>
          <w:ilvl w:val="0"/>
          <w:numId w:val="8"/>
        </w:numPr>
        <w:tabs>
          <w:tab w:val="left" w:pos="525"/>
          <w:tab w:val="left" w:pos="945"/>
        </w:tabs>
        <w:spacing w:line="360" w:lineRule="auto"/>
        <w:rPr>
          <w:rStyle w:val="10"/>
          <w:rFonts w:ascii="宋体" w:hAnsi="宋体"/>
          <w:bCs/>
          <w:sz w:val="24"/>
        </w:rPr>
      </w:pPr>
      <w:r>
        <w:rPr>
          <w:rStyle w:val="10"/>
          <w:rFonts w:ascii="宋体" w:hAnsi="宋体"/>
          <w:bCs/>
          <w:sz w:val="24"/>
        </w:rPr>
        <w:t>投标人未在规定时间的期限、地点送达的；</w:t>
      </w:r>
    </w:p>
    <w:p>
      <w:pPr>
        <w:numPr>
          <w:ilvl w:val="0"/>
          <w:numId w:val="8"/>
        </w:numPr>
        <w:tabs>
          <w:tab w:val="left" w:pos="525"/>
          <w:tab w:val="left" w:pos="945"/>
        </w:tabs>
        <w:spacing w:line="360" w:lineRule="auto"/>
        <w:rPr>
          <w:rStyle w:val="10"/>
          <w:rFonts w:ascii="宋体" w:hAnsi="宋体"/>
          <w:bCs/>
          <w:sz w:val="24"/>
        </w:rPr>
      </w:pPr>
      <w:r>
        <w:rPr>
          <w:rStyle w:val="10"/>
          <w:rFonts w:ascii="宋体" w:hAnsi="宋体"/>
          <w:bCs/>
          <w:sz w:val="24"/>
        </w:rPr>
        <w:t>投标人未按要求密封、签署、盖章的；</w:t>
      </w:r>
    </w:p>
    <w:p>
      <w:pPr>
        <w:numPr>
          <w:ilvl w:val="0"/>
          <w:numId w:val="8"/>
        </w:numPr>
        <w:tabs>
          <w:tab w:val="left" w:pos="525"/>
          <w:tab w:val="left" w:pos="945"/>
        </w:tabs>
        <w:spacing w:line="360" w:lineRule="auto"/>
        <w:rPr>
          <w:rStyle w:val="10"/>
          <w:rFonts w:ascii="宋体"/>
          <w:bCs/>
          <w:sz w:val="24"/>
        </w:rPr>
      </w:pPr>
      <w:r>
        <w:rPr>
          <w:rStyle w:val="10"/>
          <w:rFonts w:ascii="宋体" w:hAnsi="宋体"/>
          <w:bCs/>
          <w:sz w:val="24"/>
        </w:rPr>
        <w:t>招标人的法定代表人授权代表，无法定代表人授权委托书的；</w:t>
      </w:r>
    </w:p>
    <w:p>
      <w:pPr>
        <w:numPr>
          <w:ilvl w:val="0"/>
          <w:numId w:val="8"/>
        </w:numPr>
        <w:tabs>
          <w:tab w:val="left" w:pos="525"/>
          <w:tab w:val="left" w:pos="945"/>
        </w:tabs>
        <w:spacing w:line="360" w:lineRule="auto"/>
        <w:rPr>
          <w:rStyle w:val="10"/>
          <w:rFonts w:ascii="宋体"/>
          <w:bCs/>
          <w:sz w:val="24"/>
        </w:rPr>
      </w:pPr>
      <w:r>
        <w:rPr>
          <w:rStyle w:val="10"/>
          <w:rFonts w:ascii="宋体" w:hAnsi="宋体"/>
          <w:sz w:val="24"/>
        </w:rPr>
        <w:t>不具备招标文件中规定的资格要求或未按招标文件规定的要求提供资格、资信证明文件的；</w:t>
      </w:r>
    </w:p>
    <w:p>
      <w:pPr>
        <w:numPr>
          <w:ilvl w:val="0"/>
          <w:numId w:val="8"/>
        </w:numPr>
        <w:tabs>
          <w:tab w:val="left" w:pos="525"/>
          <w:tab w:val="left" w:pos="945"/>
        </w:tabs>
        <w:spacing w:line="360" w:lineRule="auto"/>
        <w:rPr>
          <w:rStyle w:val="10"/>
          <w:rFonts w:ascii="宋体"/>
          <w:bCs/>
          <w:sz w:val="24"/>
        </w:rPr>
      </w:pPr>
      <w:r>
        <w:rPr>
          <w:rStyle w:val="10"/>
          <w:rFonts w:ascii="宋体" w:hAnsi="宋体"/>
          <w:sz w:val="24"/>
        </w:rPr>
        <w:t>被“信用中国”网站（</w:t>
      </w:r>
      <w:r>
        <w:rPr>
          <w:rStyle w:val="8"/>
          <w:rFonts w:ascii="宋体"/>
          <w:sz w:val="24"/>
          <w:u w:color="0000FF"/>
        </w:rPr>
        <w:t>www.creditchina.gov.cn</w:t>
      </w:r>
      <w:r>
        <w:rPr>
          <w:rStyle w:val="10"/>
          <w:rFonts w:ascii="宋体" w:hAnsi="宋体"/>
          <w:sz w:val="24"/>
        </w:rPr>
        <w:t>）列入失信执行人、重大税收违法案件当事人名单、政府采购严重违法失信行为记录名单的</w:t>
      </w:r>
      <w:r>
        <w:rPr>
          <w:rStyle w:val="10"/>
          <w:rFonts w:ascii="宋体" w:hAnsi="宋体"/>
          <w:bCs/>
          <w:sz w:val="24"/>
        </w:rPr>
        <w:t>；</w:t>
      </w:r>
    </w:p>
    <w:p>
      <w:pPr>
        <w:numPr>
          <w:ilvl w:val="0"/>
          <w:numId w:val="8"/>
        </w:numPr>
        <w:tabs>
          <w:tab w:val="left" w:pos="525"/>
          <w:tab w:val="left" w:pos="945"/>
        </w:tabs>
        <w:spacing w:line="360" w:lineRule="auto"/>
        <w:rPr>
          <w:rStyle w:val="10"/>
          <w:rFonts w:ascii="宋体"/>
          <w:bCs/>
          <w:sz w:val="24"/>
        </w:rPr>
      </w:pPr>
      <w:r>
        <w:rPr>
          <w:rStyle w:val="10"/>
          <w:rFonts w:ascii="宋体" w:hAnsi="宋体"/>
          <w:bCs/>
          <w:sz w:val="24"/>
        </w:rPr>
        <w:t>投标文件未按招标文件规定的内容和要求填写的；</w:t>
      </w:r>
    </w:p>
    <w:p>
      <w:pPr>
        <w:numPr>
          <w:ilvl w:val="0"/>
          <w:numId w:val="8"/>
        </w:numPr>
        <w:tabs>
          <w:tab w:val="left" w:pos="525"/>
          <w:tab w:val="left" w:pos="945"/>
        </w:tabs>
        <w:spacing w:line="360" w:lineRule="auto"/>
        <w:rPr>
          <w:rStyle w:val="10"/>
          <w:rFonts w:ascii="宋体"/>
          <w:bCs/>
          <w:sz w:val="24"/>
        </w:rPr>
      </w:pPr>
      <w:r>
        <w:rPr>
          <w:rStyle w:val="10"/>
          <w:rFonts w:ascii="宋体" w:hAnsi="宋体"/>
          <w:bCs/>
          <w:sz w:val="24"/>
        </w:rPr>
        <w:t>投标文件中有招标文件未允许提供的选择性内容；</w:t>
      </w:r>
    </w:p>
    <w:p>
      <w:pPr>
        <w:numPr>
          <w:ilvl w:val="0"/>
          <w:numId w:val="8"/>
        </w:numPr>
        <w:tabs>
          <w:tab w:val="left" w:pos="525"/>
          <w:tab w:val="left" w:pos="945"/>
        </w:tabs>
        <w:spacing w:line="360" w:lineRule="auto"/>
        <w:rPr>
          <w:rStyle w:val="10"/>
          <w:rFonts w:ascii="宋体"/>
          <w:bCs/>
          <w:sz w:val="24"/>
        </w:rPr>
      </w:pPr>
      <w:r>
        <w:rPr>
          <w:rStyle w:val="10"/>
          <w:rFonts w:ascii="宋体" w:hAnsi="宋体"/>
          <w:bCs/>
          <w:sz w:val="24"/>
        </w:rPr>
        <w:t>不同投标人的投标文件由同一单位或者个人编制的；</w:t>
      </w:r>
    </w:p>
    <w:p>
      <w:pPr>
        <w:numPr>
          <w:ilvl w:val="0"/>
          <w:numId w:val="8"/>
        </w:numPr>
        <w:tabs>
          <w:tab w:val="left" w:pos="525"/>
          <w:tab w:val="left" w:pos="945"/>
        </w:tabs>
        <w:spacing w:line="360" w:lineRule="auto"/>
        <w:rPr>
          <w:rStyle w:val="10"/>
          <w:rFonts w:ascii="宋体"/>
          <w:bCs/>
          <w:sz w:val="24"/>
        </w:rPr>
      </w:pPr>
      <w:r>
        <w:rPr>
          <w:rStyle w:val="10"/>
          <w:rFonts w:ascii="宋体" w:hAnsi="宋体"/>
          <w:bCs/>
          <w:sz w:val="24"/>
        </w:rPr>
        <w:t>不同投标人委托同一单位或者个人办理投标事宜的；</w:t>
      </w:r>
    </w:p>
    <w:p>
      <w:pPr>
        <w:numPr>
          <w:ilvl w:val="0"/>
          <w:numId w:val="8"/>
        </w:numPr>
        <w:tabs>
          <w:tab w:val="left" w:pos="525"/>
          <w:tab w:val="left" w:pos="945"/>
        </w:tabs>
        <w:spacing w:line="360" w:lineRule="auto"/>
        <w:rPr>
          <w:rStyle w:val="10"/>
          <w:rFonts w:ascii="宋体"/>
          <w:bCs/>
          <w:sz w:val="24"/>
        </w:rPr>
      </w:pPr>
      <w:r>
        <w:rPr>
          <w:rStyle w:val="10"/>
          <w:rFonts w:ascii="宋体" w:hAnsi="宋体"/>
          <w:bCs/>
          <w:sz w:val="24"/>
        </w:rPr>
        <w:t>不同投标人的投标文件载明的项目管理成员为同一人的；</w:t>
      </w:r>
    </w:p>
    <w:p>
      <w:pPr>
        <w:numPr>
          <w:ilvl w:val="0"/>
          <w:numId w:val="8"/>
        </w:numPr>
        <w:tabs>
          <w:tab w:val="left" w:pos="525"/>
          <w:tab w:val="left" w:pos="945"/>
        </w:tabs>
        <w:spacing w:line="360" w:lineRule="auto"/>
        <w:rPr>
          <w:rStyle w:val="10"/>
          <w:rFonts w:ascii="宋体"/>
          <w:bCs/>
          <w:sz w:val="24"/>
        </w:rPr>
      </w:pPr>
      <w:r>
        <w:rPr>
          <w:rStyle w:val="10"/>
          <w:rFonts w:ascii="宋体" w:hAnsi="宋体"/>
          <w:bCs/>
          <w:sz w:val="24"/>
        </w:rPr>
        <w:t>不同投标人的投标文件异常一致或者投标报价呈规律性差异的；</w:t>
      </w:r>
    </w:p>
    <w:p>
      <w:pPr>
        <w:numPr>
          <w:ilvl w:val="0"/>
          <w:numId w:val="8"/>
        </w:numPr>
        <w:tabs>
          <w:tab w:val="left" w:pos="525"/>
          <w:tab w:val="left" w:pos="945"/>
        </w:tabs>
        <w:spacing w:line="360" w:lineRule="auto"/>
        <w:rPr>
          <w:rStyle w:val="10"/>
          <w:rFonts w:ascii="宋体" w:hAnsi="宋体"/>
          <w:bCs/>
          <w:sz w:val="24"/>
        </w:rPr>
      </w:pPr>
      <w:r>
        <w:rPr>
          <w:rStyle w:val="10"/>
          <w:rFonts w:ascii="宋体" w:hAnsi="宋体"/>
          <w:bCs/>
          <w:sz w:val="24"/>
        </w:rPr>
        <w:t>不同投标人的单位负责人为同一人或者存在直接控股、管理关系的；</w:t>
      </w:r>
    </w:p>
    <w:p>
      <w:pPr>
        <w:numPr>
          <w:ilvl w:val="0"/>
          <w:numId w:val="8"/>
        </w:numPr>
        <w:tabs>
          <w:tab w:val="left" w:pos="525"/>
          <w:tab w:val="left" w:pos="945"/>
        </w:tabs>
        <w:spacing w:line="360" w:lineRule="auto"/>
        <w:rPr>
          <w:rStyle w:val="10"/>
          <w:rFonts w:ascii="宋体"/>
          <w:bCs/>
          <w:sz w:val="24"/>
        </w:rPr>
      </w:pPr>
      <w:r>
        <w:rPr>
          <w:rStyle w:val="10"/>
          <w:rFonts w:ascii="宋体" w:hAnsi="宋体"/>
          <w:bCs/>
          <w:sz w:val="24"/>
        </w:rPr>
        <w:t>投标折扣超过本项目最高限价的；</w:t>
      </w:r>
    </w:p>
    <w:p>
      <w:pPr>
        <w:numPr>
          <w:ilvl w:val="0"/>
          <w:numId w:val="8"/>
        </w:numPr>
        <w:tabs>
          <w:tab w:val="left" w:pos="525"/>
          <w:tab w:val="left" w:pos="945"/>
        </w:tabs>
        <w:spacing w:line="360" w:lineRule="auto"/>
        <w:rPr>
          <w:rStyle w:val="10"/>
          <w:rFonts w:ascii="宋体" w:hAnsi="宋体"/>
          <w:bCs/>
          <w:sz w:val="24"/>
        </w:rPr>
      </w:pPr>
      <w:r>
        <w:rPr>
          <w:rStyle w:val="10"/>
          <w:rFonts w:ascii="宋体" w:hAnsi="宋体"/>
          <w:bCs/>
          <w:sz w:val="24"/>
        </w:rPr>
        <w:t>提供虚假材料的（包括工商营业执照、财务报表、资格证明文件等）；</w:t>
      </w:r>
    </w:p>
    <w:p>
      <w:pPr>
        <w:numPr>
          <w:ilvl w:val="0"/>
          <w:numId w:val="8"/>
        </w:numPr>
        <w:tabs>
          <w:tab w:val="left" w:pos="525"/>
          <w:tab w:val="left" w:pos="945"/>
        </w:tabs>
        <w:spacing w:line="360" w:lineRule="auto"/>
        <w:rPr>
          <w:rStyle w:val="10"/>
          <w:rFonts w:ascii="宋体" w:hAnsi="宋体"/>
          <w:bCs/>
          <w:sz w:val="24"/>
        </w:rPr>
      </w:pPr>
      <w:r>
        <w:rPr>
          <w:rStyle w:val="10"/>
          <w:rFonts w:ascii="宋体" w:hAnsi="宋体"/>
          <w:bCs/>
          <w:sz w:val="24"/>
        </w:rPr>
        <w:t>投标文件含有招标人不能接受的附加条件的；</w:t>
      </w:r>
    </w:p>
    <w:p>
      <w:pPr>
        <w:numPr>
          <w:ilvl w:val="0"/>
          <w:numId w:val="8"/>
        </w:numPr>
        <w:tabs>
          <w:tab w:val="left" w:pos="525"/>
          <w:tab w:val="left" w:pos="945"/>
        </w:tabs>
        <w:spacing w:line="360" w:lineRule="auto"/>
        <w:rPr>
          <w:rStyle w:val="10"/>
          <w:rFonts w:ascii="宋体" w:hAnsi="宋体"/>
          <w:bCs/>
          <w:sz w:val="24"/>
        </w:rPr>
      </w:pPr>
      <w:r>
        <w:rPr>
          <w:rStyle w:val="10"/>
          <w:rFonts w:ascii="宋体" w:hAnsi="宋体"/>
          <w:bCs/>
          <w:sz w:val="24"/>
        </w:rPr>
        <w:t>评标委员会认定投标人的报价明显低于其他通过符合性审查投标人的报价，有可能影响产品质量或者不能诚信履约，且投标人不能应评标委员会要求在合理的时间内提供书面说明（必要时评标委员会可要求投标人提交相关证明材料）证明其报价合理性的；</w:t>
      </w:r>
    </w:p>
    <w:p>
      <w:pPr>
        <w:numPr>
          <w:ilvl w:val="0"/>
          <w:numId w:val="8"/>
        </w:numPr>
        <w:tabs>
          <w:tab w:val="left" w:pos="525"/>
          <w:tab w:val="left" w:pos="945"/>
        </w:tabs>
        <w:spacing w:line="360" w:lineRule="auto"/>
        <w:rPr>
          <w:rStyle w:val="10"/>
          <w:rFonts w:ascii="宋体" w:hAnsi="宋体"/>
          <w:bCs/>
          <w:sz w:val="24"/>
        </w:rPr>
      </w:pPr>
      <w:r>
        <w:rPr>
          <w:rStyle w:val="10"/>
          <w:rFonts w:ascii="宋体" w:hAnsi="宋体"/>
          <w:bCs/>
          <w:sz w:val="24"/>
        </w:rPr>
        <w:t>除单一来源采购项目外，为采购项目提供整体设计、规范编制或者项目管理、监理、检测等服务的；</w:t>
      </w:r>
    </w:p>
    <w:p>
      <w:pPr>
        <w:numPr>
          <w:ilvl w:val="0"/>
          <w:numId w:val="8"/>
        </w:numPr>
        <w:tabs>
          <w:tab w:val="left" w:pos="525"/>
          <w:tab w:val="left" w:pos="945"/>
        </w:tabs>
        <w:spacing w:line="360" w:lineRule="auto"/>
        <w:rPr>
          <w:rStyle w:val="10"/>
          <w:rFonts w:ascii="宋体" w:hAnsi="宋体"/>
          <w:bCs/>
          <w:sz w:val="24"/>
        </w:rPr>
      </w:pPr>
      <w:r>
        <w:rPr>
          <w:rStyle w:val="10"/>
          <w:rFonts w:ascii="宋体" w:hAnsi="宋体"/>
          <w:bCs/>
          <w:sz w:val="24"/>
        </w:rPr>
        <w:t>投标文件内容不全或不符合招标文件中规定的其它实质性要求的；</w:t>
      </w:r>
    </w:p>
    <w:p>
      <w:pPr>
        <w:numPr>
          <w:ilvl w:val="0"/>
          <w:numId w:val="8"/>
        </w:numPr>
        <w:tabs>
          <w:tab w:val="left" w:pos="525"/>
          <w:tab w:val="left" w:pos="945"/>
        </w:tabs>
        <w:spacing w:line="360" w:lineRule="auto"/>
        <w:rPr>
          <w:rStyle w:val="10"/>
          <w:rFonts w:ascii="宋体" w:hAnsi="宋体"/>
          <w:bCs/>
          <w:sz w:val="24"/>
        </w:rPr>
      </w:pPr>
      <w:r>
        <w:rPr>
          <w:rStyle w:val="10"/>
          <w:rFonts w:ascii="宋体" w:hAnsi="宋体"/>
          <w:bCs/>
          <w:sz w:val="24"/>
        </w:rPr>
        <w:t>法律法规和招标文件规定的其它无效情形。</w:t>
      </w:r>
    </w:p>
    <w:p>
      <w:pPr>
        <w:tabs>
          <w:tab w:val="left" w:pos="945"/>
        </w:tabs>
        <w:spacing w:line="360" w:lineRule="auto"/>
        <w:ind w:firstLine="480" w:firstLineChars="200"/>
        <w:rPr>
          <w:rStyle w:val="10"/>
          <w:rFonts w:ascii="黑体" w:hAnsi="宋体" w:eastAsia="黑体"/>
          <w:bCs/>
          <w:sz w:val="24"/>
        </w:rPr>
      </w:pPr>
      <w:r>
        <w:rPr>
          <w:rStyle w:val="10"/>
          <w:rFonts w:ascii="黑体" w:hAnsi="宋体" w:eastAsia="黑体"/>
          <w:bCs/>
          <w:sz w:val="24"/>
        </w:rPr>
        <w:t>（十一） 开标、评标：</w:t>
      </w:r>
    </w:p>
    <w:p>
      <w:pPr>
        <w:tabs>
          <w:tab w:val="left" w:pos="945"/>
        </w:tabs>
        <w:spacing w:line="360" w:lineRule="auto"/>
        <w:ind w:firstLine="480" w:firstLineChars="200"/>
        <w:jc w:val="left"/>
        <w:rPr>
          <w:rStyle w:val="10"/>
          <w:rFonts w:ascii="宋体"/>
          <w:bCs/>
          <w:sz w:val="24"/>
        </w:rPr>
      </w:pPr>
      <w:r>
        <w:rPr>
          <w:rStyle w:val="10"/>
          <w:rFonts w:ascii="宋体"/>
          <w:bCs/>
          <w:sz w:val="24"/>
        </w:rPr>
        <w:t>1．代理公司将在招标公告中规定的时间和地点组织公开开标。投标人应当准时参加开标活动。</w:t>
      </w:r>
    </w:p>
    <w:p>
      <w:pPr>
        <w:tabs>
          <w:tab w:val="left" w:pos="945"/>
        </w:tabs>
        <w:spacing w:line="360" w:lineRule="auto"/>
        <w:ind w:firstLine="480" w:firstLineChars="200"/>
        <w:jc w:val="left"/>
        <w:rPr>
          <w:rStyle w:val="10"/>
          <w:rFonts w:ascii="宋体"/>
          <w:bCs/>
          <w:sz w:val="24"/>
        </w:rPr>
      </w:pPr>
      <w:r>
        <w:rPr>
          <w:rStyle w:val="10"/>
          <w:rFonts w:ascii="宋体"/>
          <w:bCs/>
          <w:sz w:val="24"/>
        </w:rPr>
        <w:t>2 .开标会议由代理公司组织，并宣读各投标人的《开标一览表》。</w:t>
      </w:r>
    </w:p>
    <w:p>
      <w:pPr>
        <w:tabs>
          <w:tab w:val="left" w:pos="945"/>
        </w:tabs>
        <w:spacing w:line="360" w:lineRule="auto"/>
        <w:ind w:firstLine="480" w:firstLineChars="200"/>
        <w:jc w:val="left"/>
        <w:rPr>
          <w:rStyle w:val="10"/>
          <w:rFonts w:ascii="宋体"/>
          <w:bCs/>
          <w:sz w:val="24"/>
        </w:rPr>
      </w:pPr>
      <w:r>
        <w:rPr>
          <w:rStyle w:val="10"/>
          <w:rFonts w:ascii="宋体"/>
          <w:bCs/>
          <w:sz w:val="24"/>
        </w:rPr>
        <w:t>3.</w:t>
      </w:r>
      <w:r>
        <w:rPr>
          <w:rStyle w:val="10"/>
          <w:rFonts w:ascii="宋体" w:hAnsi="宋体"/>
          <w:bCs/>
          <w:sz w:val="24"/>
        </w:rPr>
        <w:t>开标时，投标文件中开标一览表内容与投标文件中报价内容不一致的，以开标一览表为准。</w:t>
      </w:r>
    </w:p>
    <w:p>
      <w:pPr>
        <w:tabs>
          <w:tab w:val="left" w:pos="945"/>
        </w:tabs>
        <w:spacing w:line="360" w:lineRule="auto"/>
        <w:ind w:left="1" w:firstLine="480" w:firstLineChars="200"/>
        <w:rPr>
          <w:rStyle w:val="10"/>
          <w:rFonts w:ascii="宋体"/>
          <w:bCs/>
          <w:sz w:val="24"/>
        </w:rPr>
      </w:pPr>
      <w:r>
        <w:rPr>
          <w:rStyle w:val="10"/>
          <w:rFonts w:ascii="宋体" w:hAnsi="宋体"/>
          <w:bCs/>
          <w:sz w:val="24"/>
        </w:rPr>
        <w:t>4.投标文件的大写金额和小写金额不一致的，以大写金额为准；对不同文字文本投标文件的解释发生异议的，以中文文本为准。</w:t>
      </w:r>
    </w:p>
    <w:p>
      <w:pPr>
        <w:tabs>
          <w:tab w:val="left" w:pos="945"/>
        </w:tabs>
        <w:spacing w:line="360" w:lineRule="auto"/>
        <w:ind w:left="1" w:firstLine="480" w:firstLineChars="200"/>
        <w:rPr>
          <w:rStyle w:val="10"/>
          <w:rFonts w:ascii="宋体"/>
          <w:bCs/>
          <w:color w:val="FF0000"/>
          <w:sz w:val="24"/>
          <w:u w:val="single" w:color="FF0000"/>
        </w:rPr>
      </w:pPr>
      <w:r>
        <w:rPr>
          <w:rStyle w:val="10"/>
          <w:rFonts w:ascii="宋体"/>
          <w:bCs/>
          <w:sz w:val="24"/>
        </w:rPr>
        <w:t>5.</w:t>
      </w:r>
      <w:r>
        <w:rPr>
          <w:rStyle w:val="10"/>
          <w:rFonts w:ascii="宋体" w:hAnsi="宋体"/>
          <w:bCs/>
          <w:sz w:val="24"/>
        </w:rPr>
        <w:t>评标程序</w:t>
      </w:r>
    </w:p>
    <w:p>
      <w:pPr>
        <w:tabs>
          <w:tab w:val="left" w:pos="945"/>
        </w:tabs>
        <w:spacing w:line="360" w:lineRule="auto"/>
        <w:ind w:firstLine="523" w:firstLineChars="218"/>
        <w:rPr>
          <w:rStyle w:val="10"/>
          <w:rFonts w:ascii="宋体"/>
          <w:bCs/>
          <w:sz w:val="24"/>
        </w:rPr>
      </w:pPr>
      <w:r>
        <w:rPr>
          <w:rStyle w:val="10"/>
          <w:rFonts w:ascii="宋体" w:hAnsi="宋体"/>
          <w:bCs/>
          <w:sz w:val="24"/>
        </w:rPr>
        <w:t>评标工作由代理公司组织，具体评标事务由依法组建的评标委员会负责。</w:t>
      </w:r>
    </w:p>
    <w:p>
      <w:pPr>
        <w:numPr>
          <w:ilvl w:val="0"/>
          <w:numId w:val="9"/>
        </w:numPr>
        <w:tabs>
          <w:tab w:val="left" w:pos="630"/>
          <w:tab w:val="left" w:pos="945"/>
          <w:tab w:val="left" w:pos="1155"/>
        </w:tabs>
        <w:spacing w:line="360" w:lineRule="auto"/>
        <w:ind w:left="0" w:firstLine="523" w:firstLineChars="218"/>
        <w:rPr>
          <w:rStyle w:val="10"/>
          <w:rFonts w:ascii="宋体"/>
          <w:bCs/>
          <w:sz w:val="24"/>
        </w:rPr>
      </w:pPr>
      <w:r>
        <w:rPr>
          <w:rStyle w:val="10"/>
          <w:rFonts w:ascii="宋体" w:hAnsi="宋体"/>
          <w:bCs/>
          <w:sz w:val="24"/>
        </w:rPr>
        <w:t>投标文件初审。初审分为资格性检查和符合性检查。</w:t>
      </w:r>
    </w:p>
    <w:p>
      <w:pPr>
        <w:numPr>
          <w:ilvl w:val="0"/>
          <w:numId w:val="10"/>
        </w:numPr>
        <w:tabs>
          <w:tab w:val="left" w:pos="525"/>
          <w:tab w:val="left" w:pos="630"/>
          <w:tab w:val="left" w:pos="945"/>
          <w:tab w:val="left" w:pos="1365"/>
        </w:tabs>
        <w:spacing w:line="360" w:lineRule="auto"/>
        <w:ind w:left="0" w:firstLine="523" w:firstLineChars="218"/>
        <w:rPr>
          <w:rStyle w:val="10"/>
          <w:rFonts w:ascii="宋体"/>
          <w:bCs/>
          <w:sz w:val="24"/>
        </w:rPr>
      </w:pPr>
      <w:r>
        <w:rPr>
          <w:rStyle w:val="10"/>
          <w:rFonts w:ascii="宋体" w:hAnsi="宋体"/>
          <w:bCs/>
          <w:sz w:val="24"/>
        </w:rPr>
        <w:t>资格性检查。依据法律法规和招标文件的规定，对投标文件中的资格证明等进行审查；通过“信用中国”网站（</w:t>
      </w:r>
      <w:r>
        <w:rPr>
          <w:rStyle w:val="8"/>
          <w:rFonts w:ascii="宋体"/>
          <w:bCs/>
          <w:sz w:val="24"/>
          <w:u w:color="0000FF"/>
        </w:rPr>
        <w:t>www.creditchina.gov.cn</w:t>
      </w:r>
      <w:r>
        <w:rPr>
          <w:rStyle w:val="10"/>
          <w:rFonts w:ascii="宋体" w:hAnsi="宋体"/>
          <w:bCs/>
          <w:sz w:val="24"/>
        </w:rPr>
        <w:t>）查询投标人在投标截止时间之前，是否被列入</w:t>
      </w:r>
      <w:r>
        <w:rPr>
          <w:rStyle w:val="10"/>
          <w:rFonts w:ascii="宋体" w:hAnsi="宋体"/>
          <w:sz w:val="24"/>
        </w:rPr>
        <w:t>失信执行人、重大税收违法案件当事人名单、政府采购严重违法失信行为记录名单，</w:t>
      </w:r>
      <w:r>
        <w:rPr>
          <w:rStyle w:val="10"/>
          <w:rFonts w:ascii="宋体" w:hAnsi="宋体"/>
          <w:bCs/>
          <w:sz w:val="24"/>
        </w:rPr>
        <w:t>以确定投标人是否具备投标资格。信用</w:t>
      </w:r>
      <w:r>
        <w:rPr>
          <w:rStyle w:val="10"/>
          <w:rFonts w:ascii="宋体" w:hAnsi="宋体"/>
          <w:sz w:val="24"/>
        </w:rPr>
        <w:t>查询结果以网页打印的形式留存并归档。</w:t>
      </w:r>
    </w:p>
    <w:p>
      <w:pPr>
        <w:numPr>
          <w:ilvl w:val="0"/>
          <w:numId w:val="10"/>
        </w:numPr>
        <w:tabs>
          <w:tab w:val="left" w:pos="525"/>
          <w:tab w:val="left" w:pos="630"/>
          <w:tab w:val="left" w:pos="945"/>
          <w:tab w:val="left" w:pos="1365"/>
        </w:tabs>
        <w:spacing w:line="360" w:lineRule="auto"/>
        <w:ind w:left="0" w:firstLine="523" w:firstLineChars="218"/>
        <w:rPr>
          <w:rStyle w:val="10"/>
          <w:rFonts w:ascii="宋体"/>
          <w:bCs/>
          <w:sz w:val="24"/>
        </w:rPr>
      </w:pPr>
      <w:r>
        <w:rPr>
          <w:rStyle w:val="10"/>
          <w:rFonts w:ascii="宋体" w:hAnsi="宋体"/>
          <w:bCs/>
          <w:sz w:val="24"/>
        </w:rPr>
        <w:t>符合性检查。依据招标文件的规定，从投标文件的有效性、完整性和对招标文件的响应程度进行审查，以确定是否对招标文件的实质性要求作出响应。</w:t>
      </w:r>
    </w:p>
    <w:p>
      <w:pPr>
        <w:numPr>
          <w:ilvl w:val="0"/>
          <w:numId w:val="9"/>
        </w:numPr>
        <w:tabs>
          <w:tab w:val="left" w:pos="525"/>
          <w:tab w:val="left" w:pos="945"/>
          <w:tab w:val="left" w:pos="1155"/>
        </w:tabs>
        <w:spacing w:line="360" w:lineRule="auto"/>
        <w:ind w:left="0" w:firstLine="523" w:firstLineChars="218"/>
        <w:rPr>
          <w:rStyle w:val="10"/>
          <w:rFonts w:ascii="宋体"/>
          <w:bCs/>
          <w:sz w:val="24"/>
        </w:rPr>
      </w:pPr>
      <w:r>
        <w:rPr>
          <w:rStyle w:val="10"/>
          <w:rFonts w:ascii="宋体" w:hAnsi="宋体"/>
          <w:bCs/>
          <w:sz w:val="24"/>
        </w:rPr>
        <w:t>澄清有关问题。对投标文件中含义不明确、同类问题表述不一致或者有明显文字和计算错误的内容，</w:t>
      </w:r>
      <w:r>
        <w:rPr>
          <w:rStyle w:val="10"/>
          <w:rFonts w:ascii="宋体" w:hAnsi="宋体"/>
          <w:sz w:val="24"/>
        </w:rPr>
        <w:t>评委会有权以电子函件形式要求投标人对其投标文件</w:t>
      </w:r>
      <w:r>
        <w:rPr>
          <w:rStyle w:val="10"/>
          <w:rFonts w:ascii="宋体" w:hAnsi="宋体"/>
          <w:bCs/>
          <w:sz w:val="24"/>
        </w:rPr>
        <w:t>作出必要的澄清、说明或者纠正</w:t>
      </w:r>
      <w:r>
        <w:rPr>
          <w:rStyle w:val="10"/>
          <w:rFonts w:ascii="宋体" w:hAnsi="宋体"/>
          <w:sz w:val="24"/>
        </w:rPr>
        <w:t>，但并非要求每个投标人都作澄清要求。接到评委会澄清要求的投标人应派人按评委会规定的时间和要求做出澄清，由其授权的代表签字，澄清的内容作为投标文件的补充部分，但投标的报价和实质性的内容不得做任何更改。接到评委会澄清要求的投标人如未按规定做出澄清，其风险由投标人自行承担。</w:t>
      </w:r>
    </w:p>
    <w:p>
      <w:pPr>
        <w:numPr>
          <w:ilvl w:val="0"/>
          <w:numId w:val="9"/>
        </w:numPr>
        <w:tabs>
          <w:tab w:val="left" w:pos="945"/>
          <w:tab w:val="left" w:pos="1155"/>
          <w:tab w:val="left" w:pos="1365"/>
        </w:tabs>
        <w:spacing w:line="360" w:lineRule="auto"/>
        <w:ind w:left="0" w:firstLine="523" w:firstLineChars="218"/>
        <w:rPr>
          <w:rStyle w:val="10"/>
          <w:rFonts w:ascii="宋体"/>
          <w:bCs/>
          <w:sz w:val="24"/>
        </w:rPr>
      </w:pPr>
      <w:r>
        <w:rPr>
          <w:rStyle w:val="10"/>
          <w:rFonts w:ascii="宋体" w:hAnsi="宋体"/>
          <w:bCs/>
          <w:sz w:val="24"/>
        </w:rPr>
        <w:t>比较与评价。按招标文件中规定的评标方法和标准，对资格性检查和符合性检查合格的投标文件进行商务和技术评估，综合比较与评价。</w:t>
      </w:r>
    </w:p>
    <w:p>
      <w:pPr>
        <w:tabs>
          <w:tab w:val="left" w:pos="945"/>
        </w:tabs>
        <w:spacing w:line="360" w:lineRule="auto"/>
        <w:ind w:left="570"/>
        <w:rPr>
          <w:rStyle w:val="10"/>
          <w:rFonts w:ascii="宋体"/>
          <w:bCs/>
          <w:sz w:val="24"/>
        </w:rPr>
      </w:pPr>
      <w:r>
        <w:rPr>
          <w:rStyle w:val="10"/>
          <w:rFonts w:ascii="宋体" w:hAnsi="宋体"/>
          <w:bCs/>
          <w:sz w:val="24"/>
        </w:rPr>
        <w:t>8.评标方法</w:t>
      </w:r>
    </w:p>
    <w:p>
      <w:pPr>
        <w:tabs>
          <w:tab w:val="left" w:pos="945"/>
        </w:tabs>
        <w:spacing w:line="360" w:lineRule="auto"/>
        <w:ind w:firstLine="523" w:firstLineChars="218"/>
        <w:rPr>
          <w:rStyle w:val="10"/>
          <w:rFonts w:ascii="宋体"/>
          <w:bCs/>
          <w:sz w:val="24"/>
        </w:rPr>
      </w:pPr>
      <w:r>
        <w:rPr>
          <w:rStyle w:val="10"/>
          <w:rFonts w:ascii="宋体" w:hAnsi="宋体"/>
          <w:bCs/>
          <w:sz w:val="24"/>
        </w:rPr>
        <w:t>投标人通过初审的，方可进入比较与评价程序。</w:t>
      </w:r>
    </w:p>
    <w:p>
      <w:pPr>
        <w:tabs>
          <w:tab w:val="left" w:pos="945"/>
        </w:tabs>
        <w:spacing w:line="360" w:lineRule="auto"/>
        <w:ind w:firstLine="523" w:firstLineChars="218"/>
        <w:rPr>
          <w:rStyle w:val="10"/>
          <w:rFonts w:ascii="宋体"/>
          <w:bCs/>
          <w:sz w:val="24"/>
        </w:rPr>
      </w:pPr>
      <w:r>
        <w:rPr>
          <w:rStyle w:val="10"/>
          <w:rFonts w:ascii="宋体" w:hAnsi="宋体"/>
          <w:bCs/>
          <w:sz w:val="24"/>
        </w:rPr>
        <w:t>比较与评价采用综合评分法。</w:t>
      </w:r>
      <w:r>
        <w:rPr>
          <w:rStyle w:val="10"/>
          <w:rFonts w:ascii="宋体"/>
          <w:bCs/>
          <w:sz w:val="24"/>
        </w:rPr>
        <w:t xml:space="preserve"> </w:t>
      </w:r>
    </w:p>
    <w:p>
      <w:pPr>
        <w:tabs>
          <w:tab w:val="left" w:pos="945"/>
        </w:tabs>
        <w:spacing w:line="360" w:lineRule="auto"/>
        <w:ind w:firstLine="523" w:firstLineChars="218"/>
        <w:rPr>
          <w:rStyle w:val="10"/>
          <w:rFonts w:ascii="宋体" w:hAnsi="宋体"/>
          <w:bCs/>
          <w:sz w:val="24"/>
        </w:rPr>
      </w:pPr>
      <w:r>
        <w:rPr>
          <w:rStyle w:val="10"/>
          <w:rFonts w:ascii="宋体" w:hAnsi="宋体"/>
          <w:bCs/>
          <w:sz w:val="24"/>
        </w:rPr>
        <w:t>评标委员会遵循公平、公正、择优原则，独立按照评分标准分别评定投标人的分值；各投标人的评审得分为各评委所评定分值的平均值，并按高低顺序排列。得分相同的，按报价得分由高到低顺序排列；得分且报价得分相同的，按售后服务得分由高到低顺序排列。投标文件满足招标文件全部实质性要求，且按照评审因素的量化指标评审得分排名第一和第二的，均为中标候选人。</w:t>
      </w:r>
    </w:p>
    <w:p>
      <w:pPr>
        <w:tabs>
          <w:tab w:val="left" w:pos="945"/>
        </w:tabs>
        <w:spacing w:line="360" w:lineRule="auto"/>
        <w:ind w:left="570"/>
        <w:rPr>
          <w:rStyle w:val="10"/>
          <w:rFonts w:ascii="宋体" w:hAnsi="宋体"/>
          <w:bCs/>
          <w:sz w:val="24"/>
        </w:rPr>
      </w:pPr>
      <w:r>
        <w:rPr>
          <w:rStyle w:val="10"/>
          <w:rFonts w:ascii="宋体" w:hAnsi="宋体"/>
          <w:bCs/>
          <w:sz w:val="24"/>
        </w:rPr>
        <w:t>10.评分标准</w:t>
      </w:r>
    </w:p>
    <w:p>
      <w:pPr>
        <w:tabs>
          <w:tab w:val="left" w:pos="525"/>
          <w:tab w:val="left" w:pos="945"/>
        </w:tabs>
        <w:spacing w:line="360" w:lineRule="auto"/>
        <w:ind w:left="524"/>
        <w:rPr>
          <w:rStyle w:val="10"/>
          <w:rFonts w:ascii="宋体" w:hAnsi="宋体"/>
          <w:bCs/>
          <w:sz w:val="24"/>
        </w:rPr>
      </w:pPr>
      <w:r>
        <w:rPr>
          <w:rStyle w:val="10"/>
          <w:rFonts w:ascii="宋体" w:hAnsi="宋体"/>
          <w:bCs/>
          <w:sz w:val="24"/>
        </w:rPr>
        <w:t>详见附件。</w:t>
      </w:r>
    </w:p>
    <w:p>
      <w:pPr>
        <w:tabs>
          <w:tab w:val="left" w:pos="945"/>
        </w:tabs>
        <w:spacing w:line="360" w:lineRule="auto"/>
        <w:ind w:firstLine="480" w:firstLineChars="200"/>
        <w:rPr>
          <w:rStyle w:val="10"/>
          <w:rFonts w:ascii="黑体" w:hAnsi="宋体" w:eastAsia="黑体"/>
          <w:bCs/>
          <w:sz w:val="24"/>
        </w:rPr>
      </w:pPr>
      <w:r>
        <w:rPr>
          <w:rStyle w:val="10"/>
          <w:rFonts w:ascii="黑体" w:hAnsi="宋体" w:eastAsia="黑体"/>
          <w:bCs/>
          <w:sz w:val="24"/>
        </w:rPr>
        <w:t>（十二）定标：</w:t>
      </w:r>
    </w:p>
    <w:p>
      <w:pPr>
        <w:numPr>
          <w:ilvl w:val="1"/>
          <w:numId w:val="11"/>
        </w:numPr>
        <w:tabs>
          <w:tab w:val="left" w:pos="525"/>
          <w:tab w:val="left" w:pos="945"/>
        </w:tabs>
        <w:spacing w:line="360" w:lineRule="auto"/>
        <w:ind w:left="0" w:firstLine="523" w:firstLineChars="218"/>
        <w:rPr>
          <w:rStyle w:val="10"/>
          <w:rFonts w:ascii="宋体" w:hAnsi="宋体"/>
          <w:bCs/>
          <w:sz w:val="24"/>
        </w:rPr>
      </w:pPr>
      <w:r>
        <w:rPr>
          <w:rStyle w:val="10"/>
          <w:rFonts w:ascii="宋体" w:hAnsi="宋体"/>
          <w:bCs/>
          <w:sz w:val="24"/>
        </w:rPr>
        <w:t>评标委员会根据招标文件规定的评标标准进行评审，按招标文件的要求依法确定中标候选人，在泰州职业技术学院网发布中标公告。代理公司和评标委员会对未中标原因不做解释。如有质疑，应在法定质疑期限内，即中标公告期限届满之日起7个工作日内，以书面形式（原件）送达代理公司，并且针对同一采购程序环节的质疑，须在法定质疑期内一次性提出。质疑函的质疑事项应具体、明确，并有必要的事实依据和法律依据。代理公司将在收到符合上述要求的书面质疑后七个工作日内，对质疑内容做出答复。投标人在法定质疑期限外送达的质疑函或法定质疑期限内送达的质疑函不符合上述要求的均为无效质疑，代理公司对无效质疑不予受理。如质疑查无实据或质疑人捏造事实，提供虚假材料进行恶意举报，不配合或采用不正当手段干扰政府采购质疑的，代理公司有权依据政府采购的有关规定，报请有关部门对质疑人进行相应的行政处罚和记录质疑人的失信信息。</w:t>
      </w:r>
    </w:p>
    <w:p>
      <w:pPr>
        <w:numPr>
          <w:ilvl w:val="1"/>
          <w:numId w:val="11"/>
        </w:numPr>
        <w:tabs>
          <w:tab w:val="left" w:pos="525"/>
          <w:tab w:val="left" w:pos="945"/>
        </w:tabs>
        <w:spacing w:line="360" w:lineRule="auto"/>
        <w:rPr>
          <w:rStyle w:val="10"/>
          <w:rFonts w:ascii="宋体" w:hAnsi="宋体"/>
          <w:bCs/>
          <w:sz w:val="24"/>
        </w:rPr>
      </w:pPr>
      <w:r>
        <w:rPr>
          <w:rStyle w:val="10"/>
          <w:rFonts w:ascii="宋体" w:hAnsi="宋体"/>
          <w:bCs/>
          <w:sz w:val="24"/>
        </w:rPr>
        <w:t>代理公司向中标单位发放中标通知书。</w:t>
      </w:r>
    </w:p>
    <w:p>
      <w:pPr>
        <w:tabs>
          <w:tab w:val="left" w:pos="945"/>
        </w:tabs>
        <w:spacing w:line="360" w:lineRule="auto"/>
        <w:ind w:firstLine="480" w:firstLineChars="200"/>
        <w:jc w:val="left"/>
        <w:rPr>
          <w:rStyle w:val="10"/>
          <w:rFonts w:ascii="宋体" w:hAnsi="宋体"/>
          <w:bCs/>
          <w:sz w:val="24"/>
        </w:rPr>
      </w:pPr>
      <w:r>
        <w:rPr>
          <w:rStyle w:val="10"/>
          <w:rFonts w:ascii="宋体" w:hAnsi="宋体"/>
          <w:bCs/>
          <w:sz w:val="24"/>
        </w:rPr>
        <w:t>中标通知书将是合同的一个组成部分。对招标人和中标人均具有法律效力。中标通知书发出后，招标人改变中标结果的，或者中标人放弃中标项目的，应当依法承担法律责任。</w:t>
      </w:r>
    </w:p>
    <w:p>
      <w:pPr>
        <w:tabs>
          <w:tab w:val="left" w:pos="945"/>
        </w:tabs>
        <w:spacing w:line="360" w:lineRule="auto"/>
        <w:ind w:firstLine="480" w:firstLineChars="200"/>
        <w:rPr>
          <w:rStyle w:val="10"/>
          <w:rFonts w:ascii="黑体" w:hAnsi="宋体" w:eastAsia="黑体"/>
          <w:bCs/>
          <w:sz w:val="24"/>
        </w:rPr>
      </w:pPr>
      <w:r>
        <w:rPr>
          <w:rStyle w:val="10"/>
          <w:rFonts w:ascii="黑体" w:hAnsi="宋体" w:eastAsia="黑体"/>
          <w:bCs/>
          <w:sz w:val="24"/>
        </w:rPr>
        <w:t>（十三） 废标的确认：</w:t>
      </w:r>
    </w:p>
    <w:p>
      <w:pPr>
        <w:spacing w:line="360" w:lineRule="auto"/>
        <w:ind w:firstLine="480" w:firstLineChars="200"/>
        <w:rPr>
          <w:rStyle w:val="10"/>
          <w:rFonts w:ascii="宋体"/>
          <w:bCs/>
          <w:sz w:val="24"/>
        </w:rPr>
      </w:pPr>
      <w:r>
        <w:rPr>
          <w:rStyle w:val="10"/>
          <w:rFonts w:ascii="宋体" w:hAnsi="宋体"/>
          <w:bCs/>
          <w:sz w:val="24"/>
        </w:rPr>
        <w:t>在采购活动中，出现下列情况之一的，应予废标：</w:t>
      </w:r>
    </w:p>
    <w:p>
      <w:pPr>
        <w:numPr>
          <w:ilvl w:val="0"/>
          <w:numId w:val="12"/>
        </w:numPr>
        <w:tabs>
          <w:tab w:val="left" w:pos="525"/>
          <w:tab w:val="left" w:pos="945"/>
          <w:tab w:val="left" w:pos="1260"/>
        </w:tabs>
        <w:spacing w:line="360" w:lineRule="auto"/>
        <w:ind w:left="0" w:firstLine="525"/>
        <w:rPr>
          <w:rStyle w:val="10"/>
          <w:rFonts w:ascii="宋体"/>
          <w:bCs/>
          <w:sz w:val="24"/>
        </w:rPr>
      </w:pPr>
      <w:r>
        <w:rPr>
          <w:rStyle w:val="10"/>
          <w:rFonts w:ascii="宋体" w:hAnsi="宋体"/>
          <w:bCs/>
          <w:sz w:val="24"/>
        </w:rPr>
        <w:t>符合专业条件的投标人或者对招标文件作出实质性响应的投标人不足三家；</w:t>
      </w:r>
    </w:p>
    <w:p>
      <w:pPr>
        <w:numPr>
          <w:ilvl w:val="0"/>
          <w:numId w:val="12"/>
        </w:numPr>
        <w:tabs>
          <w:tab w:val="left" w:pos="525"/>
          <w:tab w:val="left" w:pos="945"/>
          <w:tab w:val="left" w:pos="1260"/>
        </w:tabs>
        <w:spacing w:line="360" w:lineRule="auto"/>
        <w:ind w:left="0" w:firstLine="525"/>
        <w:rPr>
          <w:rStyle w:val="10"/>
          <w:rFonts w:ascii="宋体"/>
          <w:bCs/>
          <w:sz w:val="24"/>
        </w:rPr>
      </w:pPr>
      <w:r>
        <w:rPr>
          <w:rStyle w:val="10"/>
          <w:rFonts w:ascii="宋体" w:hAnsi="宋体"/>
          <w:bCs/>
          <w:sz w:val="24"/>
        </w:rPr>
        <w:t>出现影响采购公正的违法、违规行为；</w:t>
      </w:r>
    </w:p>
    <w:p>
      <w:pPr>
        <w:numPr>
          <w:ilvl w:val="0"/>
          <w:numId w:val="12"/>
        </w:numPr>
        <w:tabs>
          <w:tab w:val="left" w:pos="525"/>
          <w:tab w:val="left" w:pos="945"/>
          <w:tab w:val="left" w:pos="1260"/>
        </w:tabs>
        <w:spacing w:line="360" w:lineRule="auto"/>
        <w:ind w:left="0" w:firstLine="525"/>
        <w:rPr>
          <w:rStyle w:val="10"/>
          <w:rFonts w:ascii="宋体"/>
          <w:bCs/>
          <w:sz w:val="24"/>
        </w:rPr>
      </w:pPr>
      <w:r>
        <w:rPr>
          <w:rStyle w:val="10"/>
          <w:rFonts w:ascii="宋体" w:hAnsi="宋体"/>
          <w:bCs/>
          <w:sz w:val="24"/>
        </w:rPr>
        <w:t>投标人的报价均超过限价，招标人不能支付的；</w:t>
      </w:r>
    </w:p>
    <w:p>
      <w:pPr>
        <w:numPr>
          <w:ilvl w:val="0"/>
          <w:numId w:val="12"/>
        </w:numPr>
        <w:tabs>
          <w:tab w:val="right" w:pos="180"/>
          <w:tab w:val="left" w:pos="525"/>
          <w:tab w:val="left" w:pos="945"/>
          <w:tab w:val="left" w:pos="1260"/>
        </w:tabs>
        <w:spacing w:line="360" w:lineRule="auto"/>
        <w:ind w:left="0" w:firstLine="525"/>
        <w:rPr>
          <w:rStyle w:val="10"/>
          <w:rFonts w:ascii="宋体"/>
          <w:bCs/>
          <w:sz w:val="24"/>
        </w:rPr>
      </w:pPr>
      <w:r>
        <w:rPr>
          <w:rStyle w:val="10"/>
          <w:rFonts w:ascii="宋体" w:hAnsi="宋体"/>
          <w:bCs/>
          <w:sz w:val="24"/>
        </w:rPr>
        <w:t>因重大变故，采购任务取消。</w:t>
      </w:r>
    </w:p>
    <w:p>
      <w:pPr>
        <w:tabs>
          <w:tab w:val="left" w:pos="945"/>
        </w:tabs>
        <w:spacing w:line="360" w:lineRule="auto"/>
        <w:ind w:firstLine="482" w:firstLineChars="200"/>
        <w:rPr>
          <w:rStyle w:val="10"/>
          <w:rFonts w:ascii="黑体" w:hAnsi="宋体" w:eastAsia="黑体"/>
          <w:bCs/>
          <w:sz w:val="24"/>
        </w:rPr>
      </w:pPr>
      <w:r>
        <w:rPr>
          <w:rStyle w:val="10"/>
          <w:rFonts w:ascii="黑体" w:hAnsi="宋体" w:eastAsia="黑体"/>
          <w:b/>
          <w:sz w:val="24"/>
        </w:rPr>
        <w:t>（十四）</w:t>
      </w:r>
      <w:r>
        <w:rPr>
          <w:rStyle w:val="10"/>
          <w:rFonts w:ascii="黑体" w:hAnsi="宋体" w:eastAsia="黑体"/>
          <w:bCs/>
          <w:sz w:val="24"/>
        </w:rPr>
        <w:t>中标无效的确认：</w:t>
      </w:r>
    </w:p>
    <w:p>
      <w:pPr>
        <w:numPr>
          <w:ilvl w:val="0"/>
          <w:numId w:val="13"/>
        </w:numPr>
        <w:tabs>
          <w:tab w:val="left" w:pos="420"/>
          <w:tab w:val="left" w:pos="945"/>
          <w:tab w:val="left" w:pos="1155"/>
        </w:tabs>
        <w:spacing w:line="360" w:lineRule="auto"/>
        <w:ind w:left="0" w:firstLine="523" w:firstLineChars="218"/>
        <w:rPr>
          <w:rStyle w:val="10"/>
          <w:rFonts w:ascii="宋体"/>
          <w:bCs/>
          <w:sz w:val="24"/>
        </w:rPr>
      </w:pPr>
      <w:r>
        <w:rPr>
          <w:rStyle w:val="10"/>
          <w:rFonts w:ascii="宋体" w:hAnsi="宋体"/>
          <w:bCs/>
          <w:sz w:val="24"/>
        </w:rPr>
        <w:t>提供虚假材料谋取中标的；</w:t>
      </w:r>
    </w:p>
    <w:p>
      <w:pPr>
        <w:numPr>
          <w:ilvl w:val="0"/>
          <w:numId w:val="13"/>
        </w:numPr>
        <w:tabs>
          <w:tab w:val="left" w:pos="420"/>
          <w:tab w:val="left" w:pos="945"/>
          <w:tab w:val="left" w:pos="1155"/>
        </w:tabs>
        <w:spacing w:line="360" w:lineRule="auto"/>
        <w:ind w:left="0" w:firstLine="523" w:firstLineChars="218"/>
        <w:rPr>
          <w:rStyle w:val="10"/>
          <w:rFonts w:ascii="宋体"/>
          <w:bCs/>
          <w:sz w:val="24"/>
        </w:rPr>
      </w:pPr>
      <w:r>
        <w:rPr>
          <w:rStyle w:val="10"/>
          <w:rFonts w:ascii="宋体" w:hAnsi="宋体"/>
          <w:bCs/>
          <w:sz w:val="24"/>
        </w:rPr>
        <w:t>采取不正当手段诋毁、排挤其他投标人的；</w:t>
      </w:r>
    </w:p>
    <w:p>
      <w:pPr>
        <w:numPr>
          <w:ilvl w:val="0"/>
          <w:numId w:val="13"/>
        </w:numPr>
        <w:tabs>
          <w:tab w:val="left" w:pos="420"/>
          <w:tab w:val="left" w:pos="945"/>
          <w:tab w:val="left" w:pos="1155"/>
        </w:tabs>
        <w:spacing w:line="360" w:lineRule="auto"/>
        <w:ind w:left="0" w:firstLine="523" w:firstLineChars="218"/>
        <w:rPr>
          <w:rStyle w:val="10"/>
          <w:rFonts w:ascii="宋体"/>
          <w:bCs/>
          <w:sz w:val="24"/>
        </w:rPr>
      </w:pPr>
      <w:r>
        <w:rPr>
          <w:rStyle w:val="10"/>
          <w:rFonts w:ascii="宋体" w:hAnsi="宋体"/>
          <w:bCs/>
          <w:sz w:val="24"/>
        </w:rPr>
        <w:t>与招标人、其他投标人恶意串通的；</w:t>
      </w:r>
    </w:p>
    <w:p>
      <w:pPr>
        <w:tabs>
          <w:tab w:val="left" w:pos="420"/>
          <w:tab w:val="left" w:pos="945"/>
          <w:tab w:val="left" w:pos="1155"/>
        </w:tabs>
        <w:spacing w:line="360" w:lineRule="auto"/>
        <w:ind w:left="523"/>
        <w:rPr>
          <w:rStyle w:val="10"/>
          <w:rFonts w:ascii="宋体"/>
          <w:bCs/>
          <w:sz w:val="24"/>
        </w:rPr>
      </w:pPr>
      <w:r>
        <w:rPr>
          <w:rStyle w:val="10"/>
          <w:rFonts w:ascii="宋体" w:hAnsi="宋体"/>
          <w:bCs/>
          <w:sz w:val="24"/>
        </w:rPr>
        <w:t>（4）向招标人行贿或者提供其他不正当利益的；</w:t>
      </w:r>
    </w:p>
    <w:p>
      <w:pPr>
        <w:tabs>
          <w:tab w:val="left" w:pos="420"/>
          <w:tab w:val="left" w:pos="945"/>
          <w:tab w:val="left" w:pos="1155"/>
        </w:tabs>
        <w:spacing w:line="360" w:lineRule="auto"/>
        <w:ind w:firstLine="480" w:firstLineChars="200"/>
        <w:rPr>
          <w:rStyle w:val="10"/>
          <w:rFonts w:ascii="宋体"/>
          <w:bCs/>
          <w:sz w:val="24"/>
        </w:rPr>
      </w:pPr>
      <w:r>
        <w:rPr>
          <w:rStyle w:val="10"/>
          <w:rFonts w:ascii="宋体" w:hAnsi="宋体"/>
          <w:bCs/>
          <w:sz w:val="24"/>
        </w:rPr>
        <w:t>（5）在招标过程中与招标人进行协商谈判、不按照招标文件和中标人的投标文件订立合同，或者与招标人另行订立背离合同实质性内容的协议的；</w:t>
      </w:r>
    </w:p>
    <w:p>
      <w:pPr>
        <w:tabs>
          <w:tab w:val="left" w:pos="420"/>
          <w:tab w:val="left" w:pos="945"/>
          <w:tab w:val="left" w:pos="1155"/>
        </w:tabs>
        <w:spacing w:line="360" w:lineRule="auto"/>
        <w:ind w:left="523"/>
        <w:rPr>
          <w:rStyle w:val="10"/>
          <w:rFonts w:ascii="宋体"/>
          <w:bCs/>
          <w:sz w:val="24"/>
        </w:rPr>
      </w:pPr>
      <w:r>
        <w:rPr>
          <w:rStyle w:val="10"/>
          <w:rFonts w:ascii="宋体" w:hAnsi="宋体"/>
          <w:bCs/>
          <w:sz w:val="24"/>
        </w:rPr>
        <w:t>（6）拒绝有关部门监督检查或者提供虚假情况的。</w:t>
      </w:r>
    </w:p>
    <w:p>
      <w:pPr>
        <w:tabs>
          <w:tab w:val="left" w:pos="945"/>
        </w:tabs>
        <w:spacing w:line="360" w:lineRule="auto"/>
        <w:ind w:firstLine="480" w:firstLineChars="200"/>
        <w:rPr>
          <w:rStyle w:val="10"/>
          <w:rFonts w:ascii="宋体"/>
          <w:bCs/>
          <w:sz w:val="24"/>
        </w:rPr>
      </w:pPr>
      <w:r>
        <w:rPr>
          <w:rStyle w:val="10"/>
          <w:rFonts w:ascii="宋体" w:hAnsi="宋体"/>
          <w:bCs/>
          <w:sz w:val="24"/>
        </w:rPr>
        <w:t>投标人有上述（1）至（5）项情形之一的，中标无效。有上述（1）至（6）项情形之一的，处以采购项目中标金额千分之五以上千分之十以下的罚款，列入不良行为记录名单，在一至三年内禁止参加招标人的采购活动，并予以公告，有违法所得的，并处没收违法所得，情节严重的，由工商行政管理机构吊销营业执照；构成犯罪的，依法追究刑事责任。</w:t>
      </w:r>
    </w:p>
    <w:p>
      <w:pPr>
        <w:tabs>
          <w:tab w:val="left" w:pos="945"/>
        </w:tabs>
        <w:spacing w:line="360" w:lineRule="auto"/>
        <w:ind w:firstLine="480" w:firstLineChars="200"/>
        <w:rPr>
          <w:rStyle w:val="10"/>
          <w:rFonts w:ascii="黑体" w:hAnsi="宋体" w:eastAsia="黑体"/>
          <w:bCs/>
          <w:sz w:val="24"/>
        </w:rPr>
      </w:pPr>
      <w:r>
        <w:rPr>
          <w:rStyle w:val="10"/>
          <w:rFonts w:ascii="黑体" w:hAnsi="宋体" w:eastAsia="黑体"/>
          <w:bCs/>
          <w:sz w:val="24"/>
        </w:rPr>
        <w:t>（十五）签订</w:t>
      </w:r>
      <w:r>
        <w:rPr>
          <w:rStyle w:val="10"/>
          <w:rFonts w:ascii="黑体" w:hAnsi="宋体" w:eastAsia="黑体"/>
          <w:b/>
          <w:sz w:val="24"/>
        </w:rPr>
        <w:t>、履行</w:t>
      </w:r>
      <w:r>
        <w:rPr>
          <w:rStyle w:val="10"/>
          <w:rFonts w:ascii="黑体" w:hAnsi="宋体" w:eastAsia="黑体"/>
          <w:bCs/>
          <w:sz w:val="24"/>
        </w:rPr>
        <w:t>合同：</w:t>
      </w:r>
    </w:p>
    <w:p>
      <w:pPr>
        <w:numPr>
          <w:ilvl w:val="0"/>
          <w:numId w:val="14"/>
        </w:numPr>
        <w:tabs>
          <w:tab w:val="left" w:pos="525"/>
          <w:tab w:val="left" w:pos="945"/>
          <w:tab w:val="left" w:pos="1050"/>
        </w:tabs>
        <w:spacing w:line="360" w:lineRule="auto"/>
        <w:ind w:left="0" w:firstLine="525"/>
        <w:rPr>
          <w:rStyle w:val="10"/>
          <w:rFonts w:ascii="宋体"/>
          <w:bCs/>
          <w:sz w:val="24"/>
        </w:rPr>
      </w:pPr>
      <w:r>
        <w:rPr>
          <w:rStyle w:val="10"/>
          <w:rFonts w:ascii="宋体" w:hAnsi="宋体"/>
          <w:bCs/>
          <w:sz w:val="24"/>
        </w:rPr>
        <w:t>招标人应当自中标通知书发出之日起十五日内，按照招标文件和中标人的投标文件的约定，与中标人签订书面合同。所签订的合同不得对招标文件和中标人的投标文件（除投标折扣外）作实质性修改。招标人不得向中标人提出任何不合理的要求，作为签订合同的条件，不得与中标人私下订立背离合同实质性内容的协议。</w:t>
      </w:r>
    </w:p>
    <w:p>
      <w:pPr>
        <w:numPr>
          <w:ilvl w:val="0"/>
          <w:numId w:val="14"/>
        </w:numPr>
        <w:tabs>
          <w:tab w:val="left" w:pos="525"/>
          <w:tab w:val="left" w:pos="945"/>
          <w:tab w:val="left" w:pos="1050"/>
        </w:tabs>
        <w:spacing w:line="360" w:lineRule="auto"/>
        <w:ind w:left="0" w:firstLine="525"/>
        <w:rPr>
          <w:rStyle w:val="10"/>
          <w:rFonts w:ascii="宋体"/>
          <w:bCs/>
          <w:sz w:val="24"/>
        </w:rPr>
      </w:pPr>
      <w:r>
        <w:rPr>
          <w:rStyle w:val="10"/>
          <w:rFonts w:ascii="宋体" w:hAnsi="宋体"/>
          <w:bCs/>
          <w:sz w:val="24"/>
        </w:rPr>
        <w:t>中标人非因不可抗力未履行招、投标文件和合同规定的义务，一经查实，代理公司将根据具体情况提请有关部门作出相应处理。</w:t>
      </w:r>
    </w:p>
    <w:p>
      <w:pPr>
        <w:numPr>
          <w:ilvl w:val="0"/>
          <w:numId w:val="14"/>
        </w:numPr>
        <w:tabs>
          <w:tab w:val="left" w:pos="525"/>
          <w:tab w:val="left" w:pos="945"/>
          <w:tab w:val="left" w:pos="1050"/>
        </w:tabs>
        <w:spacing w:line="360" w:lineRule="auto"/>
        <w:ind w:left="0" w:firstLine="525"/>
        <w:rPr>
          <w:rStyle w:val="10"/>
          <w:rFonts w:ascii="宋体" w:hAnsi="宋体"/>
          <w:bCs/>
          <w:sz w:val="24"/>
        </w:rPr>
      </w:pPr>
      <w:r>
        <w:rPr>
          <w:rStyle w:val="10"/>
          <w:rFonts w:ascii="宋体" w:hAnsi="宋体"/>
          <w:bCs/>
          <w:sz w:val="24"/>
        </w:rPr>
        <w:t>中标人向招标人缴纳人民币伍万元的履约保证金。</w:t>
      </w:r>
    </w:p>
    <w:p>
      <w:pPr>
        <w:pStyle w:val="32"/>
        <w:spacing w:line="360" w:lineRule="auto"/>
        <w:rPr>
          <w:rStyle w:val="10"/>
          <w:rFonts w:ascii="宋体" w:hAnsi="宋体" w:eastAsia="黑体" w:cs="宋体"/>
          <w:b/>
          <w:bCs/>
          <w:sz w:val="24"/>
        </w:rPr>
      </w:pPr>
      <w:r>
        <w:rPr>
          <w:rStyle w:val="10"/>
          <w:rFonts w:ascii="黑体" w:hAnsi="宋体" w:eastAsia="黑体"/>
          <w:bCs/>
          <w:sz w:val="24"/>
        </w:rPr>
        <w:t>（十六）服务费</w:t>
      </w:r>
    </w:p>
    <w:p>
      <w:pPr>
        <w:tabs>
          <w:tab w:val="left" w:pos="525"/>
          <w:tab w:val="left" w:pos="945"/>
          <w:tab w:val="left" w:pos="1050"/>
        </w:tabs>
        <w:spacing w:line="360" w:lineRule="auto"/>
        <w:ind w:firstLine="480" w:firstLineChars="200"/>
        <w:rPr>
          <w:rStyle w:val="10"/>
          <w:rFonts w:ascii="宋体" w:hAnsi="宋体"/>
          <w:bCs/>
          <w:sz w:val="24"/>
        </w:rPr>
      </w:pPr>
      <w:r>
        <w:rPr>
          <w:rStyle w:val="10"/>
          <w:rFonts w:ascii="宋体" w:hAnsi="宋体"/>
          <w:bCs/>
          <w:sz w:val="24"/>
        </w:rPr>
        <w:t>本项目招标代理服务费由中标人在领取中标通知书时缴人民币伍仟元（包含评审费）给代理公司，请投标人在报价时予以考虑。</w:t>
      </w:r>
    </w:p>
    <w:p>
      <w:pPr>
        <w:pStyle w:val="9"/>
        <w:pageBreakBefore/>
        <w:rPr>
          <w:rStyle w:val="10"/>
          <w:rFonts w:ascii="黑体" w:hAnsi="黑体" w:eastAsia="黑体"/>
          <w:szCs w:val="22"/>
        </w:rPr>
      </w:pPr>
      <w:r>
        <w:rPr>
          <w:rStyle w:val="10"/>
          <w:rFonts w:ascii="黑体" w:hAnsi="黑体" w:eastAsia="黑体"/>
          <w:szCs w:val="22"/>
        </w:rPr>
        <w:t>三．项目技术要求和有关说明</w:t>
      </w:r>
    </w:p>
    <w:p>
      <w:pPr>
        <w:spacing w:line="360" w:lineRule="auto"/>
        <w:ind w:right="33"/>
        <w:rPr>
          <w:rStyle w:val="10"/>
          <w:rFonts w:ascii="宋体" w:hAnsi="宋体"/>
          <w:b/>
          <w:spacing w:val="4"/>
          <w:sz w:val="24"/>
          <w:szCs w:val="24"/>
        </w:rPr>
      </w:pPr>
      <w:r>
        <w:rPr>
          <w:rStyle w:val="10"/>
          <w:rFonts w:ascii="宋体" w:hAnsi="宋体"/>
          <w:b/>
          <w:spacing w:val="4"/>
          <w:sz w:val="24"/>
          <w:szCs w:val="24"/>
        </w:rPr>
        <w:t>一、对技术规格和伴随服务的要求</w:t>
      </w:r>
    </w:p>
    <w:p>
      <w:pPr>
        <w:spacing w:line="360" w:lineRule="auto"/>
        <w:ind w:right="33"/>
        <w:rPr>
          <w:rStyle w:val="10"/>
          <w:rFonts w:ascii="宋体" w:hAnsi="宋体"/>
          <w:spacing w:val="4"/>
          <w:sz w:val="24"/>
          <w:szCs w:val="24"/>
        </w:rPr>
      </w:pPr>
      <w:r>
        <w:rPr>
          <w:rStyle w:val="10"/>
          <w:rFonts w:ascii="宋体" w:hAnsi="宋体"/>
          <w:spacing w:val="4"/>
          <w:sz w:val="24"/>
          <w:szCs w:val="24"/>
        </w:rPr>
        <w:t>（一）报价要求：</w:t>
      </w:r>
    </w:p>
    <w:p>
      <w:pPr>
        <w:spacing w:line="360" w:lineRule="auto"/>
        <w:ind w:right="33"/>
        <w:rPr>
          <w:rStyle w:val="10"/>
          <w:rFonts w:ascii="宋体" w:hAnsi="宋体"/>
          <w:spacing w:val="4"/>
          <w:sz w:val="24"/>
          <w:szCs w:val="24"/>
        </w:rPr>
      </w:pPr>
      <w:r>
        <w:rPr>
          <w:rStyle w:val="10"/>
          <w:rFonts w:ascii="宋体" w:hAnsi="宋体"/>
          <w:spacing w:val="4"/>
          <w:sz w:val="24"/>
          <w:szCs w:val="24"/>
        </w:rPr>
        <w:t>1．供应商应以图书公开发行价基础上的最低折扣报价。</w:t>
      </w:r>
    </w:p>
    <w:p>
      <w:pPr>
        <w:spacing w:line="360" w:lineRule="auto"/>
        <w:ind w:right="33"/>
        <w:rPr>
          <w:rStyle w:val="10"/>
          <w:rFonts w:ascii="宋体" w:hAnsi="宋体"/>
          <w:spacing w:val="4"/>
          <w:sz w:val="24"/>
          <w:szCs w:val="24"/>
        </w:rPr>
      </w:pPr>
      <w:r>
        <w:rPr>
          <w:rStyle w:val="10"/>
          <w:rFonts w:ascii="宋体" w:hAnsi="宋体"/>
          <w:spacing w:val="4"/>
          <w:sz w:val="24"/>
          <w:szCs w:val="24"/>
        </w:rPr>
        <w:t>2．图书公开发行价包括提供图书和伴随服务（编目、加工、运输）费用，以及交货之前所有含税费用。</w:t>
      </w:r>
    </w:p>
    <w:p>
      <w:pPr>
        <w:spacing w:line="360" w:lineRule="auto"/>
        <w:ind w:right="33"/>
        <w:rPr>
          <w:rStyle w:val="10"/>
          <w:rFonts w:ascii="宋体" w:hAnsi="宋体"/>
          <w:spacing w:val="4"/>
          <w:sz w:val="24"/>
          <w:szCs w:val="24"/>
        </w:rPr>
      </w:pPr>
      <w:r>
        <w:rPr>
          <w:rStyle w:val="10"/>
          <w:rFonts w:ascii="宋体" w:hAnsi="宋体"/>
          <w:spacing w:val="4"/>
          <w:sz w:val="24"/>
          <w:szCs w:val="24"/>
        </w:rPr>
        <w:t>3．所购图书均以成交清单结算，明折明扣，开具正式税务发票，发票必须写明码洋数、折扣、实洋数。</w:t>
      </w:r>
    </w:p>
    <w:p>
      <w:pPr>
        <w:spacing w:line="360" w:lineRule="auto"/>
        <w:ind w:right="33"/>
        <w:rPr>
          <w:rStyle w:val="10"/>
          <w:rFonts w:ascii="宋体" w:hAnsi="宋体"/>
          <w:spacing w:val="4"/>
          <w:sz w:val="24"/>
          <w:szCs w:val="24"/>
        </w:rPr>
      </w:pPr>
      <w:r>
        <w:rPr>
          <w:rStyle w:val="10"/>
          <w:rFonts w:ascii="宋体" w:hAnsi="宋体"/>
          <w:spacing w:val="4"/>
          <w:sz w:val="24"/>
          <w:szCs w:val="24"/>
        </w:rPr>
        <w:t>4.招标方保留在最低折扣基础上与中标供应商进一步商谈的权利。</w:t>
      </w:r>
    </w:p>
    <w:p>
      <w:pPr>
        <w:spacing w:line="360" w:lineRule="auto"/>
        <w:ind w:right="33"/>
        <w:rPr>
          <w:rStyle w:val="10"/>
          <w:rFonts w:ascii="宋体" w:hAnsi="宋体"/>
          <w:spacing w:val="4"/>
          <w:sz w:val="24"/>
          <w:szCs w:val="24"/>
        </w:rPr>
      </w:pPr>
      <w:r>
        <w:rPr>
          <w:rStyle w:val="10"/>
          <w:rFonts w:ascii="宋体" w:hAnsi="宋体"/>
          <w:spacing w:val="4"/>
          <w:sz w:val="24"/>
          <w:szCs w:val="24"/>
        </w:rPr>
        <w:t>（二）图书质量：</w:t>
      </w:r>
    </w:p>
    <w:p>
      <w:pPr>
        <w:spacing w:line="360" w:lineRule="auto"/>
        <w:ind w:right="33"/>
        <w:rPr>
          <w:rStyle w:val="10"/>
          <w:rFonts w:ascii="宋体" w:hAnsi="宋体"/>
          <w:spacing w:val="4"/>
          <w:sz w:val="24"/>
          <w:szCs w:val="24"/>
        </w:rPr>
      </w:pPr>
      <w:r>
        <w:rPr>
          <w:rStyle w:val="10"/>
          <w:rFonts w:ascii="宋体" w:hAnsi="宋体"/>
          <w:spacing w:val="4"/>
          <w:sz w:val="24"/>
          <w:szCs w:val="24"/>
        </w:rPr>
        <w:t>1．供应商必须承诺按正规渠道提供2018-2022年正版图书，图书质量达到国家规定的图书验收标准，若提供盗版、盗印图书必须承担全部法律责任，并按盗版书码洋十倍处罚，同时中止供货合同，列入不良记录。必须满足且不限于以下出版社2018-2022年的正版图书供货90%以上：科学出版社、高等教育出版社、人民邮电出版社、化学工业出版社、电子工业出版社、机械工业出版社、中国建筑工业出版社、人民交通出版社、外语教学与研究出版社、中国质检出版社（中国标准出版社）、清华大学出版社、其他各大学出版社。</w:t>
      </w:r>
    </w:p>
    <w:p>
      <w:pPr>
        <w:spacing w:line="360" w:lineRule="auto"/>
        <w:ind w:right="33"/>
        <w:rPr>
          <w:rStyle w:val="10"/>
          <w:rFonts w:ascii="宋体" w:hAnsi="宋体"/>
          <w:spacing w:val="4"/>
          <w:sz w:val="24"/>
          <w:szCs w:val="24"/>
        </w:rPr>
      </w:pPr>
      <w:r>
        <w:rPr>
          <w:rStyle w:val="10"/>
          <w:rFonts w:ascii="宋体" w:hAnsi="宋体"/>
          <w:spacing w:val="4"/>
          <w:sz w:val="24"/>
          <w:szCs w:val="24"/>
        </w:rPr>
        <w:t>2．一经发现盗版、盗印或劣质图书（缺页、错装、倒装、损坏等）无论加工与否，供应商无条件退书。</w:t>
      </w:r>
    </w:p>
    <w:p>
      <w:pPr>
        <w:spacing w:line="360" w:lineRule="auto"/>
        <w:ind w:right="33"/>
        <w:rPr>
          <w:rStyle w:val="10"/>
          <w:rFonts w:ascii="宋体" w:hAnsi="宋体"/>
          <w:spacing w:val="4"/>
          <w:sz w:val="24"/>
          <w:szCs w:val="24"/>
        </w:rPr>
      </w:pPr>
      <w:r>
        <w:rPr>
          <w:rStyle w:val="10"/>
          <w:rFonts w:ascii="宋体" w:hAnsi="宋体"/>
          <w:spacing w:val="4"/>
          <w:sz w:val="24"/>
          <w:szCs w:val="24"/>
        </w:rPr>
        <w:t>3．图书在验收后流通使用三个月内，若出现脱胶等非人为因素损坏，供应商无条件退换。</w:t>
      </w:r>
    </w:p>
    <w:p>
      <w:pPr>
        <w:spacing w:line="360" w:lineRule="auto"/>
        <w:ind w:right="33"/>
        <w:rPr>
          <w:rStyle w:val="10"/>
          <w:rFonts w:ascii="宋体" w:hAnsi="宋体"/>
          <w:spacing w:val="4"/>
          <w:sz w:val="24"/>
          <w:szCs w:val="24"/>
        </w:rPr>
      </w:pPr>
      <w:r>
        <w:rPr>
          <w:rStyle w:val="10"/>
          <w:rFonts w:ascii="宋体" w:hAnsi="宋体"/>
          <w:spacing w:val="4"/>
          <w:sz w:val="24"/>
          <w:szCs w:val="24"/>
        </w:rPr>
        <w:t>4．供应商须保证招标方不因版权、税务等法律问题受第三方起诉。</w:t>
      </w:r>
    </w:p>
    <w:p>
      <w:pPr>
        <w:spacing w:line="360" w:lineRule="auto"/>
        <w:ind w:right="33"/>
        <w:rPr>
          <w:rStyle w:val="10"/>
          <w:rFonts w:ascii="宋体" w:hAnsi="宋体"/>
          <w:spacing w:val="4"/>
          <w:sz w:val="24"/>
          <w:szCs w:val="24"/>
        </w:rPr>
      </w:pPr>
      <w:r>
        <w:rPr>
          <w:rStyle w:val="10"/>
          <w:rFonts w:ascii="宋体" w:hAnsi="宋体"/>
          <w:spacing w:val="4"/>
          <w:sz w:val="24"/>
          <w:szCs w:val="24"/>
        </w:rPr>
        <w:t>（三）采访服务：</w:t>
      </w:r>
    </w:p>
    <w:p>
      <w:pPr>
        <w:spacing w:line="360" w:lineRule="auto"/>
        <w:ind w:right="33"/>
        <w:rPr>
          <w:rStyle w:val="10"/>
          <w:rFonts w:ascii="宋体" w:hAnsi="宋体"/>
          <w:spacing w:val="4"/>
          <w:sz w:val="24"/>
          <w:szCs w:val="24"/>
        </w:rPr>
      </w:pPr>
      <w:r>
        <w:rPr>
          <w:rStyle w:val="10"/>
          <w:rFonts w:ascii="宋体" w:hAnsi="宋体"/>
          <w:spacing w:val="4"/>
          <w:sz w:val="24"/>
          <w:szCs w:val="24"/>
        </w:rPr>
        <w:t>1．供应商具备全面、及时提供电子版全国图书书目数据的能力与条件。</w:t>
      </w:r>
    </w:p>
    <w:p>
      <w:pPr>
        <w:spacing w:line="360" w:lineRule="auto"/>
        <w:ind w:right="33"/>
        <w:rPr>
          <w:rStyle w:val="10"/>
          <w:rFonts w:ascii="宋体" w:hAnsi="宋体"/>
          <w:spacing w:val="4"/>
          <w:sz w:val="24"/>
          <w:szCs w:val="24"/>
        </w:rPr>
      </w:pPr>
      <w:r>
        <w:rPr>
          <w:rStyle w:val="10"/>
          <w:rFonts w:ascii="宋体" w:hAnsi="宋体"/>
          <w:spacing w:val="4"/>
          <w:sz w:val="24"/>
          <w:szCs w:val="24"/>
        </w:rPr>
        <w:t>2．供应商具有功能完善的专业网站，向客户开放网上书目查询和征订，并实现书目数据上传和下载。</w:t>
      </w:r>
    </w:p>
    <w:p>
      <w:pPr>
        <w:spacing w:line="360" w:lineRule="auto"/>
        <w:ind w:right="33"/>
        <w:rPr>
          <w:rStyle w:val="10"/>
          <w:rFonts w:ascii="宋体" w:hAnsi="宋体"/>
          <w:spacing w:val="4"/>
          <w:sz w:val="24"/>
          <w:szCs w:val="24"/>
        </w:rPr>
      </w:pPr>
      <w:r>
        <w:rPr>
          <w:rStyle w:val="10"/>
          <w:rFonts w:ascii="宋体" w:hAnsi="宋体"/>
          <w:spacing w:val="4"/>
          <w:sz w:val="24"/>
          <w:szCs w:val="24"/>
        </w:rPr>
        <w:t>3．书目数据一律采用ISO2709标准，便于招标方下载和导入汇文系统查重，中文图书的MARC采访书目数据必须具备下列字段：国际标准书号、图书征定号、书名、著者、版次、出版社、出版时间、单价、内容附注、使用对象及分类号等；确保100%分编率，确保时效。</w:t>
      </w:r>
    </w:p>
    <w:p>
      <w:pPr>
        <w:spacing w:line="360" w:lineRule="auto"/>
        <w:ind w:right="33"/>
        <w:rPr>
          <w:rStyle w:val="10"/>
          <w:rFonts w:ascii="宋体" w:hAnsi="宋体"/>
          <w:spacing w:val="4"/>
          <w:sz w:val="24"/>
          <w:szCs w:val="24"/>
        </w:rPr>
      </w:pPr>
      <w:r>
        <w:rPr>
          <w:rStyle w:val="10"/>
          <w:rFonts w:ascii="宋体" w:hAnsi="宋体"/>
          <w:spacing w:val="4"/>
          <w:sz w:val="24"/>
          <w:szCs w:val="24"/>
        </w:rPr>
        <w:t>4．供应商须全面了解招标方的专业设置和学科建设要求，努力提供符合招标方学科特色和馆藏建设要求的纲目订单和专题性书目，不得选择性供书。</w:t>
      </w:r>
    </w:p>
    <w:p>
      <w:pPr>
        <w:spacing w:line="360" w:lineRule="auto"/>
        <w:ind w:right="33"/>
        <w:rPr>
          <w:rStyle w:val="10"/>
          <w:rFonts w:ascii="宋体" w:hAnsi="宋体"/>
          <w:spacing w:val="4"/>
          <w:sz w:val="24"/>
          <w:szCs w:val="24"/>
        </w:rPr>
      </w:pPr>
      <w:r>
        <w:rPr>
          <w:rStyle w:val="10"/>
          <w:rFonts w:ascii="宋体" w:hAnsi="宋体"/>
          <w:spacing w:val="4"/>
          <w:sz w:val="24"/>
          <w:szCs w:val="24"/>
        </w:rPr>
        <w:t>5．供应商具备不定期组织招标方采访馆员参加全国大型书展或外出到出版社现场选书及专题购书的条件和能力。</w:t>
      </w:r>
    </w:p>
    <w:p>
      <w:pPr>
        <w:spacing w:line="360" w:lineRule="auto"/>
        <w:ind w:right="33"/>
        <w:rPr>
          <w:rStyle w:val="10"/>
          <w:rFonts w:ascii="宋体" w:hAnsi="宋体"/>
          <w:spacing w:val="4"/>
          <w:sz w:val="24"/>
          <w:szCs w:val="24"/>
        </w:rPr>
      </w:pPr>
      <w:r>
        <w:rPr>
          <w:rStyle w:val="10"/>
          <w:rFonts w:ascii="宋体" w:hAnsi="宋体"/>
          <w:spacing w:val="4"/>
          <w:sz w:val="24"/>
          <w:szCs w:val="24"/>
        </w:rPr>
        <w:t>6．供应商不得以任何理由搭售招标方未征订的图书，一经发现，无条件退书并列入不良记录。</w:t>
      </w:r>
    </w:p>
    <w:p>
      <w:pPr>
        <w:spacing w:line="360" w:lineRule="auto"/>
        <w:ind w:right="33"/>
        <w:rPr>
          <w:rStyle w:val="10"/>
          <w:rFonts w:ascii="宋体" w:hAnsi="宋体"/>
          <w:spacing w:val="4"/>
          <w:sz w:val="24"/>
          <w:szCs w:val="24"/>
        </w:rPr>
      </w:pPr>
      <w:r>
        <w:rPr>
          <w:rStyle w:val="10"/>
          <w:rFonts w:ascii="宋体" w:hAnsi="宋体"/>
          <w:spacing w:val="4"/>
          <w:sz w:val="24"/>
          <w:szCs w:val="24"/>
        </w:rPr>
        <w:t>（四）到书速度和到书率：</w:t>
      </w:r>
    </w:p>
    <w:p>
      <w:pPr>
        <w:pStyle w:val="33"/>
        <w:spacing w:after="0" w:line="360" w:lineRule="auto"/>
        <w:ind w:firstLine="496" w:firstLineChars="200"/>
        <w:rPr>
          <w:rStyle w:val="10"/>
          <w:rFonts w:ascii="宋体" w:hAnsi="宋体"/>
          <w:spacing w:val="4"/>
          <w:sz w:val="24"/>
          <w:szCs w:val="24"/>
        </w:rPr>
      </w:pPr>
      <w:r>
        <w:rPr>
          <w:rStyle w:val="10"/>
          <w:rFonts w:ascii="宋体" w:hAnsi="宋体"/>
          <w:spacing w:val="4"/>
          <w:sz w:val="24"/>
          <w:szCs w:val="24"/>
        </w:rPr>
        <w:t>供应商在规定期限内应尽量缩短到书周期。</w:t>
      </w:r>
    </w:p>
    <w:p>
      <w:pPr>
        <w:spacing w:line="360" w:lineRule="auto"/>
        <w:ind w:right="33"/>
        <w:rPr>
          <w:rStyle w:val="10"/>
          <w:rFonts w:hAnsi="宋体"/>
          <w:sz w:val="24"/>
          <w:szCs w:val="24"/>
          <w:highlight w:val="none"/>
        </w:rPr>
      </w:pPr>
      <w:r>
        <w:rPr>
          <w:rStyle w:val="10"/>
          <w:rFonts w:hAnsi="宋体"/>
          <w:sz w:val="24"/>
          <w:szCs w:val="24"/>
          <w:highlight w:val="none"/>
        </w:rPr>
        <w:t>（1）期货两个月的到书率达到75%以上，六个月的到书率达到80%以上，九个月的到书率达到85%以上；</w:t>
      </w:r>
    </w:p>
    <w:p>
      <w:pPr>
        <w:spacing w:line="360" w:lineRule="auto"/>
        <w:ind w:right="33"/>
        <w:rPr>
          <w:rStyle w:val="10"/>
          <w:rFonts w:hAnsi="宋体"/>
          <w:sz w:val="24"/>
          <w:szCs w:val="24"/>
          <w:highlight w:val="none"/>
        </w:rPr>
      </w:pPr>
      <w:r>
        <w:rPr>
          <w:rStyle w:val="10"/>
          <w:rFonts w:hAnsi="宋体"/>
          <w:sz w:val="24"/>
          <w:szCs w:val="24"/>
          <w:highlight w:val="none"/>
        </w:rPr>
        <w:t>（2）现货一个月的到书率达到80%以上，两个月的到书率达到85%以上，三个月的到书率达到90%以上；</w:t>
      </w:r>
    </w:p>
    <w:p>
      <w:pPr>
        <w:spacing w:line="360" w:lineRule="auto"/>
        <w:ind w:right="33"/>
        <w:rPr>
          <w:rStyle w:val="10"/>
          <w:rFonts w:hAnsi="宋体"/>
          <w:sz w:val="24"/>
          <w:szCs w:val="24"/>
          <w:highlight w:val="none"/>
        </w:rPr>
      </w:pPr>
      <w:r>
        <w:rPr>
          <w:rStyle w:val="10"/>
          <w:rFonts w:hAnsi="宋体"/>
          <w:sz w:val="24"/>
          <w:szCs w:val="24"/>
          <w:highlight w:val="none"/>
        </w:rPr>
        <w:t>（3）保证对零散订单及时响应；</w:t>
      </w:r>
    </w:p>
    <w:p>
      <w:pPr>
        <w:spacing w:line="360" w:lineRule="auto"/>
        <w:ind w:right="33"/>
        <w:rPr>
          <w:rStyle w:val="10"/>
          <w:rFonts w:hAnsi="宋体"/>
          <w:sz w:val="24"/>
          <w:szCs w:val="24"/>
          <w:highlight w:val="none"/>
        </w:rPr>
      </w:pPr>
      <w:r>
        <w:rPr>
          <w:rStyle w:val="10"/>
          <w:rFonts w:hAnsi="宋体"/>
          <w:sz w:val="24"/>
          <w:szCs w:val="24"/>
          <w:highlight w:val="none"/>
        </w:rPr>
        <w:t>（4）到书率达不到以上（1）（2）要求的扣除货款实洋的10%作为违约金。</w:t>
      </w:r>
    </w:p>
    <w:p>
      <w:pPr>
        <w:spacing w:line="360" w:lineRule="auto"/>
        <w:ind w:right="33" w:firstLine="496" w:firstLineChars="200"/>
        <w:rPr>
          <w:rStyle w:val="10"/>
          <w:rFonts w:ascii="宋体" w:hAnsi="宋体"/>
          <w:spacing w:val="4"/>
          <w:sz w:val="24"/>
          <w:szCs w:val="24"/>
        </w:rPr>
      </w:pPr>
      <w:r>
        <w:rPr>
          <w:rStyle w:val="10"/>
          <w:rFonts w:ascii="宋体" w:hAnsi="宋体"/>
          <w:spacing w:val="4"/>
          <w:sz w:val="24"/>
          <w:szCs w:val="24"/>
        </w:rPr>
        <w:t>超过期限的到书，招标方有权作出不接受处理，供应商应无条件退书；对未能订购的图书应书面说明理由；供应商须及时通知变更出版日期、不出版和订价有变动的图书信息，以便招标方作出相应调整和处理。</w:t>
      </w:r>
    </w:p>
    <w:p>
      <w:pPr>
        <w:spacing w:line="360" w:lineRule="auto"/>
        <w:ind w:right="33"/>
        <w:rPr>
          <w:rStyle w:val="10"/>
          <w:rFonts w:ascii="宋体" w:hAnsi="宋体"/>
          <w:spacing w:val="4"/>
          <w:sz w:val="24"/>
          <w:szCs w:val="24"/>
        </w:rPr>
      </w:pPr>
      <w:r>
        <w:rPr>
          <w:rStyle w:val="10"/>
          <w:rFonts w:ascii="宋体" w:hAnsi="宋体"/>
          <w:spacing w:val="4"/>
          <w:sz w:val="24"/>
          <w:szCs w:val="24"/>
        </w:rPr>
        <w:t>（五）编目加工：</w:t>
      </w:r>
    </w:p>
    <w:p>
      <w:pPr>
        <w:spacing w:line="360" w:lineRule="auto"/>
        <w:ind w:right="33"/>
        <w:rPr>
          <w:rStyle w:val="10"/>
          <w:rFonts w:ascii="宋体" w:hAnsi="宋体"/>
          <w:spacing w:val="4"/>
          <w:sz w:val="24"/>
          <w:szCs w:val="24"/>
        </w:rPr>
      </w:pPr>
      <w:r>
        <w:rPr>
          <w:rStyle w:val="10"/>
          <w:rFonts w:ascii="宋体" w:hAnsi="宋体"/>
          <w:spacing w:val="4"/>
          <w:sz w:val="24"/>
          <w:szCs w:val="24"/>
        </w:rPr>
        <w:t>图书编目加工是图书供货伴随服务的主要内容，须高质量免费提供。</w:t>
      </w:r>
    </w:p>
    <w:p>
      <w:pPr>
        <w:spacing w:line="360" w:lineRule="auto"/>
        <w:ind w:right="33"/>
        <w:rPr>
          <w:rStyle w:val="10"/>
          <w:rFonts w:ascii="宋体" w:hAnsi="宋体"/>
          <w:spacing w:val="4"/>
          <w:sz w:val="24"/>
          <w:szCs w:val="24"/>
        </w:rPr>
      </w:pPr>
      <w:r>
        <w:rPr>
          <w:rStyle w:val="10"/>
          <w:rFonts w:ascii="宋体" w:hAnsi="宋体"/>
          <w:spacing w:val="4"/>
          <w:sz w:val="24"/>
          <w:szCs w:val="24"/>
        </w:rPr>
        <w:t>1．严格按照《泰州职业技术学院中文图书分编加工细则》和《泰州职业技术学院图书分类细则》进行编目加工（见招标书）</w:t>
      </w:r>
    </w:p>
    <w:p>
      <w:pPr>
        <w:spacing w:line="360" w:lineRule="auto"/>
        <w:ind w:right="33"/>
        <w:rPr>
          <w:rStyle w:val="10"/>
          <w:rFonts w:ascii="宋体" w:hAnsi="宋体"/>
          <w:spacing w:val="4"/>
          <w:sz w:val="24"/>
          <w:szCs w:val="24"/>
        </w:rPr>
      </w:pPr>
      <w:r>
        <w:rPr>
          <w:rStyle w:val="10"/>
          <w:rFonts w:ascii="宋体" w:hAnsi="宋体"/>
          <w:spacing w:val="4"/>
          <w:sz w:val="24"/>
          <w:szCs w:val="24"/>
        </w:rPr>
        <w:t>2．供应商应提供的图书加工包括粗加工、深加工和随书光盘或磁带的加工。</w:t>
      </w:r>
    </w:p>
    <w:p>
      <w:pPr>
        <w:spacing w:line="360" w:lineRule="auto"/>
        <w:ind w:right="33"/>
        <w:rPr>
          <w:rStyle w:val="10"/>
          <w:rFonts w:ascii="宋体" w:hAnsi="宋体"/>
          <w:spacing w:val="4"/>
          <w:sz w:val="24"/>
          <w:szCs w:val="24"/>
        </w:rPr>
      </w:pPr>
      <w:r>
        <w:rPr>
          <w:rStyle w:val="10"/>
          <w:rFonts w:ascii="宋体" w:hAnsi="宋体"/>
          <w:spacing w:val="4"/>
          <w:sz w:val="24"/>
          <w:szCs w:val="24"/>
        </w:rPr>
        <w:t>粗加工：盖馆藏章、夹磁条、贴条形码、贴书标。</w:t>
      </w:r>
    </w:p>
    <w:p>
      <w:pPr>
        <w:spacing w:line="360" w:lineRule="auto"/>
        <w:ind w:right="33"/>
        <w:rPr>
          <w:rStyle w:val="10"/>
          <w:rFonts w:ascii="宋体" w:hAnsi="宋体"/>
          <w:spacing w:val="4"/>
          <w:sz w:val="24"/>
          <w:szCs w:val="24"/>
        </w:rPr>
      </w:pPr>
      <w:r>
        <w:rPr>
          <w:rStyle w:val="10"/>
          <w:rFonts w:ascii="宋体" w:hAnsi="宋体"/>
          <w:spacing w:val="4"/>
          <w:sz w:val="24"/>
          <w:szCs w:val="24"/>
        </w:rPr>
        <w:t>深加工：编目、图书标引、图书馆藏分配、上架。</w:t>
      </w:r>
    </w:p>
    <w:p>
      <w:pPr>
        <w:spacing w:line="360" w:lineRule="auto"/>
        <w:ind w:right="33"/>
        <w:rPr>
          <w:rStyle w:val="10"/>
          <w:rFonts w:ascii="宋体" w:hAnsi="宋体"/>
          <w:spacing w:val="4"/>
          <w:sz w:val="24"/>
          <w:szCs w:val="24"/>
        </w:rPr>
      </w:pPr>
      <w:r>
        <w:rPr>
          <w:rStyle w:val="10"/>
          <w:rFonts w:ascii="宋体" w:hAnsi="宋体"/>
          <w:spacing w:val="4"/>
          <w:sz w:val="24"/>
          <w:szCs w:val="24"/>
        </w:rPr>
        <w:t>随书光盘或磁带的加工：独立编目、在光盘或磁带上贴条形码、用黑色记号笔书写索书号；单独馆藏分配、入柜。</w:t>
      </w:r>
    </w:p>
    <w:p>
      <w:pPr>
        <w:spacing w:line="360" w:lineRule="auto"/>
        <w:ind w:right="33"/>
        <w:rPr>
          <w:rStyle w:val="10"/>
          <w:rFonts w:ascii="宋体" w:hAnsi="宋体"/>
          <w:spacing w:val="4"/>
          <w:sz w:val="24"/>
          <w:szCs w:val="24"/>
        </w:rPr>
      </w:pPr>
      <w:r>
        <w:rPr>
          <w:rStyle w:val="10"/>
          <w:rFonts w:ascii="宋体" w:hAnsi="宋体"/>
          <w:spacing w:val="4"/>
          <w:sz w:val="24"/>
          <w:szCs w:val="24"/>
        </w:rPr>
        <w:t>3．严格按CNMARC和CALIS的规范和标准提供标准、规范、著录详尽且准确的MARC编目数据，并根据招标方的分编细则进行编目，确保100%分编率。</w:t>
      </w:r>
    </w:p>
    <w:p>
      <w:pPr>
        <w:spacing w:line="360" w:lineRule="auto"/>
        <w:ind w:right="33"/>
        <w:rPr>
          <w:rStyle w:val="10"/>
          <w:rFonts w:ascii="宋体" w:hAnsi="宋体"/>
          <w:spacing w:val="4"/>
          <w:sz w:val="24"/>
          <w:szCs w:val="24"/>
        </w:rPr>
      </w:pPr>
      <w:r>
        <w:rPr>
          <w:rStyle w:val="10"/>
          <w:rFonts w:ascii="宋体" w:hAnsi="宋体"/>
          <w:spacing w:val="4"/>
          <w:sz w:val="24"/>
          <w:szCs w:val="24"/>
        </w:rPr>
        <w:t>（六）运输与交货验收：</w:t>
      </w:r>
    </w:p>
    <w:p>
      <w:pPr>
        <w:spacing w:line="360" w:lineRule="auto"/>
        <w:ind w:right="33"/>
        <w:rPr>
          <w:rStyle w:val="10"/>
          <w:rFonts w:ascii="宋体" w:hAnsi="宋体"/>
          <w:spacing w:val="4"/>
          <w:sz w:val="24"/>
          <w:szCs w:val="24"/>
        </w:rPr>
      </w:pPr>
      <w:r>
        <w:rPr>
          <w:rStyle w:val="10"/>
          <w:rFonts w:ascii="宋体" w:hAnsi="宋体"/>
          <w:spacing w:val="4"/>
          <w:sz w:val="24"/>
          <w:szCs w:val="24"/>
        </w:rPr>
        <w:t>1．供应商应在订购图书编目加工完成后，尽快免费运输送到招标方指定馆藏地点。</w:t>
      </w:r>
    </w:p>
    <w:p>
      <w:pPr>
        <w:spacing w:line="360" w:lineRule="auto"/>
        <w:ind w:right="33"/>
        <w:rPr>
          <w:rStyle w:val="10"/>
          <w:rFonts w:ascii="宋体" w:hAnsi="宋体"/>
          <w:spacing w:val="4"/>
          <w:sz w:val="24"/>
          <w:szCs w:val="24"/>
        </w:rPr>
      </w:pPr>
      <w:r>
        <w:rPr>
          <w:rStyle w:val="10"/>
          <w:rFonts w:ascii="宋体" w:hAnsi="宋体"/>
          <w:spacing w:val="4"/>
          <w:sz w:val="24"/>
          <w:szCs w:val="24"/>
        </w:rPr>
        <w:t>2．供应商每批次供书提供完整详尽的发货清单，招标方据此核对验收。</w:t>
      </w:r>
    </w:p>
    <w:p>
      <w:pPr>
        <w:spacing w:line="360" w:lineRule="auto"/>
        <w:ind w:right="33"/>
        <w:rPr>
          <w:rStyle w:val="10"/>
          <w:rFonts w:ascii="宋体" w:hAnsi="宋体"/>
          <w:spacing w:val="4"/>
          <w:sz w:val="24"/>
          <w:szCs w:val="24"/>
        </w:rPr>
      </w:pPr>
      <w:r>
        <w:rPr>
          <w:rStyle w:val="10"/>
          <w:rFonts w:ascii="宋体" w:hAnsi="宋体"/>
          <w:spacing w:val="4"/>
          <w:sz w:val="24"/>
          <w:szCs w:val="24"/>
        </w:rPr>
        <w:t>（1）每批次到书各包一律标明“2022-批号-包号” 批号从01开始至年末结束，下一年重新开始。</w:t>
      </w:r>
    </w:p>
    <w:p>
      <w:pPr>
        <w:spacing w:line="360" w:lineRule="auto"/>
        <w:ind w:right="33"/>
        <w:rPr>
          <w:rStyle w:val="10"/>
          <w:rFonts w:ascii="宋体" w:hAnsi="宋体"/>
          <w:spacing w:val="4"/>
          <w:sz w:val="24"/>
          <w:szCs w:val="24"/>
        </w:rPr>
      </w:pPr>
      <w:r>
        <w:rPr>
          <w:rStyle w:val="10"/>
          <w:rFonts w:ascii="宋体" w:hAnsi="宋体"/>
          <w:spacing w:val="4"/>
          <w:sz w:val="24"/>
          <w:szCs w:val="24"/>
        </w:rPr>
        <w:t>（2）每批次一份总清单；总清单包含以下数据项：征订号、ISBN号、书名（多卷集有分卷书名须标明）、出版社、册数、单价、合价；总清单开始应标明“2022-批号”，末尾应统计出总种数、总册数、总金额；总清单一律按价格升序排列；总清单采用小4号字，行、列间有分隔线，清晰打印。</w:t>
      </w:r>
    </w:p>
    <w:p>
      <w:pPr>
        <w:spacing w:line="360" w:lineRule="auto"/>
        <w:ind w:right="33"/>
        <w:rPr>
          <w:rStyle w:val="10"/>
          <w:rFonts w:ascii="宋体" w:hAnsi="宋体"/>
          <w:spacing w:val="4"/>
          <w:sz w:val="24"/>
          <w:szCs w:val="24"/>
        </w:rPr>
      </w:pPr>
      <w:r>
        <w:rPr>
          <w:rStyle w:val="10"/>
          <w:rFonts w:ascii="宋体" w:hAnsi="宋体"/>
          <w:spacing w:val="4"/>
          <w:sz w:val="24"/>
          <w:szCs w:val="24"/>
        </w:rPr>
        <w:t>（3）提交供货图书附属的其它资料及正常销售赠品。</w:t>
      </w:r>
    </w:p>
    <w:p>
      <w:pPr>
        <w:spacing w:line="360" w:lineRule="auto"/>
        <w:ind w:right="33"/>
        <w:rPr>
          <w:rStyle w:val="10"/>
          <w:rFonts w:ascii="宋体" w:hAnsi="宋体"/>
          <w:spacing w:val="4"/>
          <w:sz w:val="24"/>
          <w:szCs w:val="24"/>
        </w:rPr>
      </w:pPr>
      <w:r>
        <w:rPr>
          <w:rStyle w:val="10"/>
          <w:rFonts w:ascii="宋体" w:hAnsi="宋体"/>
          <w:spacing w:val="4"/>
          <w:sz w:val="24"/>
          <w:szCs w:val="24"/>
        </w:rPr>
        <w:t>3．招标方核对、验收过程中若发现不符合馆藏建设要求的图书，供应商应无条件退换。</w:t>
      </w:r>
    </w:p>
    <w:p>
      <w:pPr>
        <w:pStyle w:val="9"/>
        <w:spacing w:line="360" w:lineRule="auto"/>
        <w:jc w:val="both"/>
        <w:rPr>
          <w:rStyle w:val="10"/>
          <w:rFonts w:ascii="宋体" w:eastAsia="宋体"/>
          <w:b/>
          <w:sz w:val="24"/>
        </w:rPr>
      </w:pPr>
      <w:r>
        <w:rPr>
          <w:rStyle w:val="10"/>
          <w:rFonts w:ascii="宋体" w:eastAsia="宋体"/>
          <w:b/>
          <w:sz w:val="24"/>
        </w:rPr>
        <w:t>二、中文图书分编加工要求</w:t>
      </w:r>
    </w:p>
    <w:p>
      <w:pPr>
        <w:spacing w:line="360" w:lineRule="auto"/>
        <w:rPr>
          <w:rStyle w:val="10"/>
          <w:rFonts w:ascii="宋体" w:hAnsi="宋体"/>
          <w:sz w:val="24"/>
          <w:szCs w:val="24"/>
        </w:rPr>
      </w:pPr>
      <w:r>
        <w:rPr>
          <w:rStyle w:val="10"/>
          <w:rFonts w:ascii="宋体" w:hAnsi="宋体"/>
          <w:sz w:val="24"/>
          <w:szCs w:val="24"/>
        </w:rPr>
        <w:t>一）</w:t>
      </w:r>
      <w:r>
        <w:rPr>
          <w:rStyle w:val="10"/>
          <w:rFonts w:ascii="宋体" w:hAnsi="宋体"/>
          <w:b/>
          <w:sz w:val="24"/>
          <w:szCs w:val="24"/>
        </w:rPr>
        <w:t>图书加工主要工作流程</w:t>
      </w:r>
    </w:p>
    <w:p>
      <w:pPr>
        <w:spacing w:line="360" w:lineRule="auto"/>
        <w:ind w:firstLine="480" w:firstLineChars="200"/>
        <w:rPr>
          <w:rStyle w:val="10"/>
          <w:rFonts w:ascii="宋体" w:hAnsi="宋体"/>
          <w:sz w:val="24"/>
          <w:szCs w:val="24"/>
        </w:rPr>
      </w:pPr>
      <w:r>
        <w:rPr>
          <w:rStyle w:val="10"/>
          <w:rFonts w:ascii="宋体" w:hAnsi="宋体"/>
          <w:sz w:val="24"/>
          <w:szCs w:val="24"/>
        </w:rPr>
        <w:t>验收新书－核对交接单，依图书批次进行编目－盖馆藏章、登录号及贴条形码－查重－分类－取种次号、附加号－总校（包括对著录和分类的校对）－打印书标－目录组织（包括对分类和种次号、附加号的校对）－粘贴书标－典藏分配。</w:t>
      </w:r>
    </w:p>
    <w:p>
      <w:pPr>
        <w:numPr>
          <w:ilvl w:val="0"/>
          <w:numId w:val="15"/>
        </w:numPr>
        <w:tabs>
          <w:tab w:val="left" w:pos="210"/>
        </w:tabs>
        <w:spacing w:line="360" w:lineRule="auto"/>
        <w:ind w:left="210" w:hanging="210"/>
        <w:rPr>
          <w:rStyle w:val="10"/>
          <w:rFonts w:ascii="宋体" w:hAnsi="宋体"/>
          <w:sz w:val="24"/>
          <w:szCs w:val="24"/>
        </w:rPr>
      </w:pPr>
      <w:r>
        <w:rPr>
          <w:rStyle w:val="10"/>
          <w:rFonts w:ascii="宋体" w:hAnsi="宋体"/>
          <w:sz w:val="24"/>
          <w:szCs w:val="24"/>
        </w:rPr>
        <w:t>验收新书</w:t>
      </w:r>
    </w:p>
    <w:p>
      <w:pPr>
        <w:spacing w:line="360" w:lineRule="auto"/>
        <w:ind w:left="480" w:hanging="480"/>
        <w:rPr>
          <w:rStyle w:val="10"/>
          <w:rFonts w:ascii="宋体" w:hAnsi="宋体"/>
          <w:sz w:val="24"/>
          <w:szCs w:val="24"/>
        </w:rPr>
      </w:pPr>
      <w:r>
        <w:rPr>
          <w:rStyle w:val="10"/>
          <w:rFonts w:ascii="宋体" w:hAnsi="宋体"/>
          <w:sz w:val="24"/>
          <w:szCs w:val="24"/>
        </w:rPr>
        <w:t>1.1分批次对图书进行验收。仔细核对每种书的价格和复本数，是否与订购数据一致；若图书出现破损、倒装、缺页、严重印刷错误等现象，要及时记录，并与供货商联系退换。</w:t>
      </w:r>
    </w:p>
    <w:p>
      <w:pPr>
        <w:spacing w:line="360" w:lineRule="auto"/>
        <w:rPr>
          <w:rStyle w:val="10"/>
          <w:rFonts w:ascii="宋体" w:hAnsi="宋体"/>
          <w:sz w:val="24"/>
          <w:szCs w:val="24"/>
        </w:rPr>
      </w:pPr>
      <w:r>
        <w:rPr>
          <w:rStyle w:val="10"/>
          <w:rFonts w:ascii="宋体" w:hAnsi="宋体"/>
          <w:sz w:val="24"/>
          <w:szCs w:val="24"/>
        </w:rPr>
        <w:t>1.2验收无误后，粘夹磁条、盖馆藏章及贴条形码。</w:t>
      </w:r>
    </w:p>
    <w:p>
      <w:pPr>
        <w:spacing w:line="360" w:lineRule="auto"/>
        <w:ind w:left="480" w:hanging="480"/>
        <w:rPr>
          <w:rStyle w:val="10"/>
          <w:rFonts w:ascii="宋体" w:hAnsi="宋体"/>
          <w:sz w:val="24"/>
          <w:szCs w:val="24"/>
        </w:rPr>
      </w:pPr>
      <w:r>
        <w:rPr>
          <w:rStyle w:val="10"/>
          <w:rFonts w:ascii="宋体" w:hAnsi="宋体"/>
          <w:sz w:val="24"/>
          <w:szCs w:val="24"/>
        </w:rPr>
        <w:t>1.3验收完毕，仔细核对每批书的总括登录账或个别财产账，种数、册数、总码洋是否与清单一致，要求项目详细、清楚，必须做到书、帐相符。</w:t>
      </w:r>
    </w:p>
    <w:p>
      <w:pPr>
        <w:spacing w:line="360" w:lineRule="auto"/>
        <w:rPr>
          <w:rStyle w:val="10"/>
          <w:rFonts w:ascii="宋体" w:hAnsi="宋体"/>
          <w:sz w:val="24"/>
          <w:szCs w:val="24"/>
        </w:rPr>
      </w:pPr>
      <w:r>
        <w:rPr>
          <w:rStyle w:val="10"/>
          <w:rFonts w:ascii="宋体" w:hAnsi="宋体"/>
          <w:sz w:val="24"/>
          <w:szCs w:val="24"/>
        </w:rPr>
        <w:t>1.4核对无误后，送分编交接。</w:t>
      </w:r>
    </w:p>
    <w:p>
      <w:pPr>
        <w:spacing w:line="360" w:lineRule="auto"/>
        <w:rPr>
          <w:rStyle w:val="10"/>
          <w:rFonts w:ascii="宋体" w:hAnsi="宋体"/>
          <w:sz w:val="24"/>
          <w:szCs w:val="24"/>
        </w:rPr>
      </w:pPr>
      <w:r>
        <w:rPr>
          <w:rStyle w:val="10"/>
          <w:rFonts w:ascii="宋体" w:hAnsi="宋体"/>
          <w:sz w:val="24"/>
          <w:szCs w:val="24"/>
        </w:rPr>
        <w:t>2.分编细则</w:t>
      </w:r>
    </w:p>
    <w:p>
      <w:pPr>
        <w:tabs>
          <w:tab w:val="left" w:pos="180"/>
          <w:tab w:val="left" w:pos="3060"/>
        </w:tabs>
        <w:spacing w:line="360" w:lineRule="auto"/>
        <w:ind w:left="480" w:hanging="480"/>
        <w:rPr>
          <w:rStyle w:val="10"/>
          <w:rFonts w:ascii="宋体" w:hAnsi="宋体"/>
          <w:sz w:val="24"/>
          <w:szCs w:val="24"/>
        </w:rPr>
      </w:pPr>
      <w:r>
        <w:rPr>
          <w:rStyle w:val="10"/>
          <w:rFonts w:ascii="宋体" w:hAnsi="宋体"/>
          <w:sz w:val="24"/>
          <w:szCs w:val="24"/>
        </w:rPr>
        <w:t>2.1所有图书以《中国图书馆分类法》第五版作为分类依据, 按《中图法》的体系结构、使用规则进行分类。MARC著录要求符合CALIS著录标准。</w:t>
      </w:r>
    </w:p>
    <w:p>
      <w:pPr>
        <w:tabs>
          <w:tab w:val="left" w:pos="180"/>
          <w:tab w:val="left" w:pos="3060"/>
        </w:tabs>
        <w:spacing w:line="360" w:lineRule="auto"/>
        <w:ind w:firstLine="480" w:firstLineChars="200"/>
        <w:rPr>
          <w:rStyle w:val="10"/>
          <w:rFonts w:ascii="宋体" w:hAnsi="宋体"/>
          <w:sz w:val="24"/>
          <w:szCs w:val="24"/>
        </w:rPr>
      </w:pPr>
      <w:r>
        <w:rPr>
          <w:rStyle w:val="10"/>
          <w:rFonts w:ascii="宋体" w:hAnsi="宋体"/>
          <w:sz w:val="24"/>
          <w:szCs w:val="24"/>
        </w:rPr>
        <w:t>著录字段要求为：010,100,101,102,105,106,200,205,210,215, 225,300,330,410,510,517,606,690,701,702,801,905等字段。</w:t>
      </w:r>
    </w:p>
    <w:p>
      <w:pPr>
        <w:spacing w:line="360" w:lineRule="auto"/>
        <w:ind w:left="480" w:hanging="480"/>
        <w:rPr>
          <w:rStyle w:val="10"/>
          <w:rFonts w:ascii="宋体" w:hAnsi="宋体"/>
          <w:sz w:val="24"/>
          <w:szCs w:val="24"/>
        </w:rPr>
      </w:pPr>
      <w:r>
        <w:rPr>
          <w:rStyle w:val="10"/>
          <w:rFonts w:ascii="宋体" w:hAnsi="宋体"/>
          <w:sz w:val="24"/>
          <w:szCs w:val="24"/>
        </w:rPr>
        <w:t>2.2图书分类必须确认图书内容，要详审书名、浏览书中的序言、导言和内容提要，必要时要浏览内容，并参考各种相关工具书。</w:t>
      </w:r>
    </w:p>
    <w:p>
      <w:pPr>
        <w:spacing w:line="360" w:lineRule="auto"/>
        <w:ind w:left="480" w:hanging="480"/>
        <w:rPr>
          <w:rStyle w:val="10"/>
          <w:rFonts w:ascii="宋体" w:hAnsi="宋体"/>
          <w:sz w:val="24"/>
          <w:szCs w:val="24"/>
        </w:rPr>
      </w:pPr>
      <w:r>
        <w:rPr>
          <w:rStyle w:val="10"/>
          <w:rFonts w:ascii="宋体" w:hAnsi="宋体"/>
          <w:sz w:val="24"/>
          <w:szCs w:val="24"/>
        </w:rPr>
        <w:t>2.3所有图书均按其学科内容归类，要求做到归类准确、前后一致，不能出现同书异号、异书同号的现象，如有差错必须及时更正。</w:t>
      </w:r>
    </w:p>
    <w:p>
      <w:pPr>
        <w:spacing w:line="360" w:lineRule="auto"/>
        <w:ind w:left="480" w:hanging="480"/>
        <w:rPr>
          <w:rStyle w:val="10"/>
          <w:rFonts w:ascii="宋体" w:hAnsi="宋体"/>
          <w:sz w:val="24"/>
          <w:szCs w:val="24"/>
        </w:rPr>
      </w:pPr>
      <w:r>
        <w:rPr>
          <w:rStyle w:val="10"/>
          <w:rFonts w:ascii="宋体" w:hAnsi="宋体"/>
          <w:sz w:val="24"/>
          <w:szCs w:val="24"/>
        </w:rPr>
        <w:t>2.4与我院专业设置有关的类目应尽量详分，同我院专业设置关系不大的类目粗分到三级或四级。此分类细则指905字段的索书号，即传统的排架分类号，而在690字段的分类号则尽可能详尽、全面。(详见《分类细则》)</w:t>
      </w:r>
    </w:p>
    <w:p>
      <w:pPr>
        <w:spacing w:line="360" w:lineRule="auto"/>
        <w:ind w:left="480" w:hanging="480"/>
        <w:rPr>
          <w:rStyle w:val="10"/>
          <w:rFonts w:ascii="宋体" w:hAnsi="宋体"/>
          <w:sz w:val="24"/>
          <w:szCs w:val="24"/>
        </w:rPr>
      </w:pPr>
      <w:r>
        <w:rPr>
          <w:rStyle w:val="10"/>
          <w:rFonts w:ascii="宋体" w:hAnsi="宋体"/>
          <w:sz w:val="24"/>
          <w:szCs w:val="24"/>
        </w:rPr>
        <w:t>2.5专业语言图书放入各专业中，不再在H大类下组配。如机械英语入TH。</w:t>
      </w:r>
    </w:p>
    <w:p>
      <w:pPr>
        <w:spacing w:line="360" w:lineRule="auto"/>
        <w:ind w:left="480" w:hanging="480"/>
        <w:rPr>
          <w:rStyle w:val="10"/>
          <w:rFonts w:ascii="宋体" w:hAnsi="宋体"/>
          <w:sz w:val="24"/>
          <w:szCs w:val="24"/>
        </w:rPr>
      </w:pPr>
      <w:r>
        <w:rPr>
          <w:rStyle w:val="10"/>
          <w:rFonts w:ascii="宋体" w:hAnsi="宋体"/>
          <w:sz w:val="24"/>
          <w:szCs w:val="24"/>
        </w:rPr>
        <w:t>2.6丛书：具有独立的题名、责任者、国际标准号、价格等条件的丛书单册一般均以单书归入有关各类；按专门学科编辑的丛书，所属类目一样，可集中归类；另有些综合性的丛书，出版时间相对集中，有总目次，本馆收藏较全的，也可集中归类。</w:t>
      </w:r>
    </w:p>
    <w:p>
      <w:pPr>
        <w:spacing w:line="360" w:lineRule="auto"/>
        <w:ind w:left="480" w:hanging="480"/>
        <w:rPr>
          <w:rStyle w:val="10"/>
          <w:rFonts w:ascii="宋体" w:hAnsi="宋体"/>
          <w:sz w:val="24"/>
          <w:szCs w:val="24"/>
        </w:rPr>
      </w:pPr>
      <w:r>
        <w:rPr>
          <w:rStyle w:val="10"/>
          <w:rFonts w:ascii="宋体" w:hAnsi="宋体"/>
          <w:sz w:val="24"/>
          <w:szCs w:val="24"/>
        </w:rPr>
        <w:t>2.7多卷册：都应集中分类，如书名、编者变更，应注意先后归类的一致性，按同一种书处理。</w:t>
      </w:r>
    </w:p>
    <w:p>
      <w:pPr>
        <w:spacing w:line="360" w:lineRule="auto"/>
        <w:ind w:left="480" w:hanging="480"/>
        <w:rPr>
          <w:rStyle w:val="10"/>
          <w:rFonts w:ascii="宋体" w:hAnsi="宋体"/>
          <w:sz w:val="24"/>
          <w:szCs w:val="24"/>
        </w:rPr>
      </w:pPr>
      <w:r>
        <w:rPr>
          <w:rStyle w:val="10"/>
          <w:rFonts w:ascii="宋体" w:hAnsi="宋体"/>
          <w:sz w:val="24"/>
          <w:szCs w:val="24"/>
        </w:rPr>
        <w:t>2.8连续性出版物：如年鉴、年刊及其它具有同一题名的定期或不定期连续性出版物一般集中分类；但如有一总冠名，各册都单独成篇、分别出版，又有各自书名的连续性出版物，也可分散归类。</w:t>
      </w:r>
    </w:p>
    <w:p>
      <w:pPr>
        <w:spacing w:line="360" w:lineRule="auto"/>
        <w:rPr>
          <w:rStyle w:val="10"/>
          <w:rFonts w:ascii="宋体" w:hAnsi="宋体"/>
          <w:sz w:val="24"/>
          <w:szCs w:val="24"/>
        </w:rPr>
      </w:pPr>
      <w:r>
        <w:rPr>
          <w:rStyle w:val="10"/>
          <w:rFonts w:ascii="宋体" w:hAnsi="宋体"/>
          <w:sz w:val="24"/>
          <w:szCs w:val="24"/>
        </w:rPr>
        <w:t>3. 索书号的确定：</w:t>
      </w:r>
    </w:p>
    <w:p>
      <w:pPr>
        <w:spacing w:line="360" w:lineRule="auto"/>
        <w:ind w:left="479" w:leftChars="228" w:firstLine="120" w:firstLineChars="50"/>
        <w:rPr>
          <w:rStyle w:val="10"/>
          <w:rFonts w:ascii="宋体" w:hAnsi="宋体"/>
          <w:sz w:val="24"/>
          <w:szCs w:val="24"/>
        </w:rPr>
      </w:pPr>
      <w:r>
        <w:rPr>
          <w:rStyle w:val="10"/>
          <w:rFonts w:ascii="宋体" w:hAnsi="宋体"/>
          <w:sz w:val="24"/>
          <w:szCs w:val="24"/>
        </w:rPr>
        <w:t>索书号是由分类号、种次号及版本区分号、版次号、上下册及分卷册区分号、年代号、附册区分号组成。</w:t>
      </w:r>
    </w:p>
    <w:p>
      <w:pPr>
        <w:spacing w:line="360" w:lineRule="auto"/>
        <w:rPr>
          <w:rStyle w:val="10"/>
          <w:rFonts w:ascii="宋体" w:hAnsi="宋体"/>
          <w:sz w:val="24"/>
          <w:szCs w:val="24"/>
        </w:rPr>
      </w:pPr>
      <w:r>
        <w:rPr>
          <w:rStyle w:val="10"/>
          <w:rFonts w:ascii="宋体" w:hAnsi="宋体"/>
          <w:sz w:val="24"/>
          <w:szCs w:val="24"/>
        </w:rPr>
        <w:t>3.1上下册、多卷书区分号，采用“：”</w:t>
      </w:r>
    </w:p>
    <w:p>
      <w:pPr>
        <w:spacing w:line="360" w:lineRule="auto"/>
        <w:ind w:firstLine="480" w:firstLineChars="200"/>
        <w:rPr>
          <w:rStyle w:val="10"/>
          <w:rFonts w:ascii="宋体" w:hAnsi="宋体"/>
          <w:sz w:val="24"/>
          <w:szCs w:val="24"/>
        </w:rPr>
      </w:pPr>
      <w:r>
        <w:rPr>
          <w:rStyle w:val="10"/>
          <w:rFonts w:ascii="宋体" w:hAnsi="宋体"/>
          <w:sz w:val="24"/>
          <w:szCs w:val="24"/>
        </w:rPr>
        <w:t>例：中国文学名著读本     I206       I206        I206</w:t>
      </w:r>
    </w:p>
    <w:p>
      <w:pPr>
        <w:spacing w:line="360" w:lineRule="auto"/>
        <w:ind w:firstLine="3360" w:firstLineChars="1400"/>
        <w:rPr>
          <w:rStyle w:val="10"/>
          <w:rFonts w:ascii="宋体" w:hAnsi="宋体"/>
          <w:sz w:val="24"/>
          <w:szCs w:val="24"/>
        </w:rPr>
      </w:pPr>
      <w:r>
        <w:rPr>
          <w:rStyle w:val="10"/>
          <w:rFonts w:ascii="宋体" w:hAnsi="宋体"/>
          <w:sz w:val="24"/>
          <w:szCs w:val="24"/>
        </w:rPr>
        <w:t>8:1 (上册) 8:2 (中册)  8:3 (下册)</w:t>
      </w:r>
    </w:p>
    <w:p>
      <w:pPr>
        <w:spacing w:line="360" w:lineRule="auto"/>
        <w:ind w:firstLine="480" w:firstLineChars="200"/>
        <w:rPr>
          <w:rStyle w:val="10"/>
          <w:rFonts w:ascii="宋体" w:hAnsi="宋体"/>
          <w:sz w:val="24"/>
          <w:szCs w:val="24"/>
        </w:rPr>
      </w:pPr>
      <w:r>
        <w:rPr>
          <w:rStyle w:val="10"/>
          <w:rFonts w:ascii="宋体" w:hAnsi="宋体"/>
          <w:sz w:val="24"/>
          <w:szCs w:val="24"/>
        </w:rPr>
        <w:t>例: 中国加入WTO学习读本       F743             F743</w:t>
      </w:r>
    </w:p>
    <w:p>
      <w:pPr>
        <w:spacing w:line="360" w:lineRule="auto"/>
        <w:ind w:firstLine="3960" w:firstLineChars="1650"/>
        <w:rPr>
          <w:rStyle w:val="10"/>
          <w:rFonts w:ascii="宋体" w:hAnsi="宋体"/>
          <w:sz w:val="24"/>
          <w:szCs w:val="24"/>
        </w:rPr>
      </w:pPr>
      <w:r>
        <w:rPr>
          <w:rStyle w:val="10"/>
          <w:rFonts w:ascii="宋体" w:hAnsi="宋体"/>
          <w:sz w:val="24"/>
          <w:szCs w:val="24"/>
        </w:rPr>
        <w:t>2:1 (上册)       2:3 (下册)</w:t>
      </w:r>
    </w:p>
    <w:p>
      <w:pPr>
        <w:spacing w:line="360" w:lineRule="auto"/>
        <w:ind w:left="-359" w:leftChars="-171" w:right="-512"/>
        <w:rPr>
          <w:rStyle w:val="10"/>
          <w:rFonts w:ascii="宋体" w:hAnsi="宋体"/>
          <w:sz w:val="24"/>
          <w:szCs w:val="24"/>
        </w:rPr>
      </w:pPr>
      <w:r>
        <w:rPr>
          <w:rStyle w:val="10"/>
          <w:rFonts w:ascii="宋体" w:hAnsi="宋体"/>
          <w:sz w:val="24"/>
          <w:szCs w:val="24"/>
        </w:rPr>
        <w:t xml:space="preserve">       例： 平凡的世界（第1,2,3,4卷）     </w:t>
      </w:r>
    </w:p>
    <w:p>
      <w:pPr>
        <w:spacing w:line="360" w:lineRule="auto"/>
        <w:ind w:firstLine="240" w:firstLineChars="100"/>
        <w:rPr>
          <w:rStyle w:val="10"/>
          <w:rFonts w:ascii="宋体" w:hAnsi="宋体"/>
          <w:sz w:val="24"/>
          <w:szCs w:val="24"/>
        </w:rPr>
      </w:pPr>
      <w:r>
        <w:rPr>
          <w:rStyle w:val="10"/>
          <w:rFonts w:ascii="宋体" w:hAnsi="宋体"/>
          <w:sz w:val="24"/>
          <w:szCs w:val="24"/>
        </w:rPr>
        <w:t>I247.57   　     I247.57    　I247.57          I247.57</w:t>
      </w:r>
    </w:p>
    <w:p>
      <w:pPr>
        <w:spacing w:line="360" w:lineRule="auto"/>
        <w:rPr>
          <w:rStyle w:val="10"/>
          <w:rFonts w:ascii="宋体" w:hAnsi="宋体"/>
          <w:sz w:val="24"/>
          <w:szCs w:val="24"/>
        </w:rPr>
      </w:pPr>
      <w:r>
        <w:rPr>
          <w:rStyle w:val="10"/>
          <w:rFonts w:ascii="宋体" w:hAnsi="宋体"/>
          <w:sz w:val="24"/>
          <w:szCs w:val="24"/>
        </w:rPr>
        <w:t>3:1（第1卷）   3:2（第2卷）   3:3 （第3卷）   3:4（第4卷）</w:t>
      </w:r>
    </w:p>
    <w:p>
      <w:pPr>
        <w:spacing w:line="360" w:lineRule="auto"/>
        <w:rPr>
          <w:rStyle w:val="10"/>
          <w:rFonts w:ascii="宋体" w:hAnsi="宋体"/>
          <w:sz w:val="24"/>
          <w:szCs w:val="24"/>
        </w:rPr>
      </w:pPr>
      <w:r>
        <w:rPr>
          <w:rStyle w:val="10"/>
          <w:rFonts w:ascii="宋体" w:hAnsi="宋体"/>
          <w:sz w:val="24"/>
          <w:szCs w:val="24"/>
        </w:rPr>
        <w:t>3.2版本区分号，采用“（）”</w:t>
      </w:r>
    </w:p>
    <w:p>
      <w:pPr>
        <w:spacing w:line="360" w:lineRule="auto"/>
        <w:ind w:left="-178" w:leftChars="-85" w:firstLine="720" w:firstLineChars="300"/>
        <w:rPr>
          <w:rStyle w:val="10"/>
          <w:rFonts w:ascii="宋体" w:hAnsi="宋体"/>
          <w:sz w:val="24"/>
          <w:szCs w:val="24"/>
        </w:rPr>
      </w:pPr>
      <w:r>
        <w:rPr>
          <w:rStyle w:val="10"/>
          <w:rFonts w:ascii="宋体" w:hAnsi="宋体"/>
          <w:sz w:val="24"/>
          <w:szCs w:val="24"/>
        </w:rPr>
        <w:t>例: 现代汉语词典   第1版     第2版     　第5版</w:t>
      </w:r>
    </w:p>
    <w:p>
      <w:pPr>
        <w:spacing w:line="360" w:lineRule="auto"/>
        <w:ind w:firstLine="2880" w:firstLineChars="1200"/>
        <w:rPr>
          <w:rStyle w:val="10"/>
          <w:rFonts w:ascii="宋体" w:hAnsi="宋体"/>
          <w:sz w:val="24"/>
          <w:szCs w:val="24"/>
        </w:rPr>
      </w:pPr>
      <w:r>
        <w:rPr>
          <w:rStyle w:val="10"/>
          <w:rFonts w:ascii="宋体" w:hAnsi="宋体"/>
          <w:sz w:val="24"/>
          <w:szCs w:val="24"/>
        </w:rPr>
        <w:t>H164       H164      　 H164</w:t>
      </w:r>
    </w:p>
    <w:p>
      <w:pPr>
        <w:spacing w:line="360" w:lineRule="auto"/>
        <w:ind w:firstLine="3120" w:firstLineChars="1300"/>
        <w:rPr>
          <w:rStyle w:val="10"/>
          <w:rFonts w:ascii="宋体" w:hAnsi="宋体"/>
          <w:sz w:val="24"/>
          <w:szCs w:val="24"/>
        </w:rPr>
      </w:pPr>
      <w:r>
        <w:rPr>
          <w:rStyle w:val="10"/>
          <w:rFonts w:ascii="宋体" w:hAnsi="宋体"/>
          <w:sz w:val="24"/>
          <w:szCs w:val="24"/>
        </w:rPr>
        <w:t>1        1（2）         1（5）</w:t>
      </w:r>
    </w:p>
    <w:p>
      <w:pPr>
        <w:spacing w:line="360" w:lineRule="auto"/>
        <w:ind w:firstLine="600" w:firstLineChars="250"/>
        <w:rPr>
          <w:rStyle w:val="10"/>
          <w:rFonts w:ascii="宋体" w:hAnsi="宋体"/>
          <w:sz w:val="24"/>
          <w:szCs w:val="24"/>
        </w:rPr>
      </w:pPr>
      <w:r>
        <w:rPr>
          <w:rStyle w:val="10"/>
          <w:rFonts w:ascii="宋体" w:hAnsi="宋体"/>
          <w:sz w:val="24"/>
          <w:szCs w:val="24"/>
        </w:rPr>
        <w:t>“修订版”、“新版”等附加版本说明根据实际情况对应与2版、3版等。</w:t>
      </w:r>
    </w:p>
    <w:p>
      <w:pPr>
        <w:spacing w:line="360" w:lineRule="auto"/>
        <w:rPr>
          <w:rStyle w:val="10"/>
          <w:rFonts w:ascii="宋体" w:hAnsi="宋体"/>
          <w:sz w:val="24"/>
          <w:szCs w:val="24"/>
        </w:rPr>
      </w:pPr>
      <w:r>
        <w:rPr>
          <w:rStyle w:val="10"/>
          <w:rFonts w:ascii="宋体" w:hAnsi="宋体"/>
          <w:sz w:val="24"/>
          <w:szCs w:val="24"/>
        </w:rPr>
        <w:t>3.3年代号，采用“：取四位年代号”</w:t>
      </w:r>
    </w:p>
    <w:p>
      <w:pPr>
        <w:spacing w:line="360" w:lineRule="auto"/>
        <w:ind w:firstLine="720" w:firstLineChars="300"/>
        <w:rPr>
          <w:rStyle w:val="10"/>
          <w:rFonts w:ascii="宋体" w:hAnsi="宋体"/>
          <w:sz w:val="24"/>
          <w:szCs w:val="24"/>
        </w:rPr>
      </w:pPr>
      <w:r>
        <w:rPr>
          <w:rStyle w:val="10"/>
          <w:rFonts w:ascii="宋体" w:hAnsi="宋体"/>
          <w:sz w:val="24"/>
          <w:szCs w:val="24"/>
        </w:rPr>
        <w:t>例:中国广播电视年鉴  G229.2-54　　　G229.2-54</w:t>
      </w:r>
    </w:p>
    <w:p>
      <w:pPr>
        <w:spacing w:line="360" w:lineRule="auto"/>
        <w:ind w:firstLine="3480" w:firstLineChars="1450"/>
        <w:rPr>
          <w:rStyle w:val="10"/>
          <w:rFonts w:ascii="宋体" w:hAnsi="宋体"/>
          <w:sz w:val="24"/>
          <w:szCs w:val="24"/>
        </w:rPr>
      </w:pPr>
      <w:r>
        <w:rPr>
          <w:rStyle w:val="10"/>
          <w:rFonts w:ascii="宋体" w:hAnsi="宋体"/>
          <w:sz w:val="24"/>
          <w:szCs w:val="24"/>
        </w:rPr>
        <w:t>5:2006　　　　5:2007</w:t>
      </w:r>
    </w:p>
    <w:p>
      <w:pPr>
        <w:spacing w:line="360" w:lineRule="auto"/>
        <w:rPr>
          <w:rStyle w:val="10"/>
          <w:rFonts w:ascii="宋体" w:hAnsi="宋体"/>
          <w:sz w:val="24"/>
          <w:szCs w:val="24"/>
        </w:rPr>
      </w:pPr>
      <w:r>
        <w:rPr>
          <w:rStyle w:val="10"/>
          <w:rFonts w:ascii="宋体" w:hAnsi="宋体"/>
          <w:sz w:val="24"/>
          <w:szCs w:val="24"/>
        </w:rPr>
        <w:t>3.4分卷册区分号，采用“：”</w:t>
      </w:r>
    </w:p>
    <w:p>
      <w:pPr>
        <w:spacing w:line="360" w:lineRule="auto"/>
        <w:ind w:firstLine="720" w:firstLineChars="300"/>
        <w:rPr>
          <w:rStyle w:val="10"/>
          <w:rFonts w:ascii="宋体" w:hAnsi="宋体"/>
          <w:sz w:val="24"/>
          <w:szCs w:val="24"/>
        </w:rPr>
      </w:pPr>
      <w:r>
        <w:rPr>
          <w:rStyle w:val="10"/>
          <w:rFonts w:ascii="宋体" w:hAnsi="宋体"/>
          <w:sz w:val="24"/>
          <w:szCs w:val="24"/>
        </w:rPr>
        <w:t xml:space="preserve">例：高等数学上册第一、二分册O13                </w:t>
      </w:r>
    </w:p>
    <w:p>
      <w:pPr>
        <w:spacing w:line="360" w:lineRule="auto"/>
        <w:ind w:firstLine="2880" w:firstLineChars="1200"/>
        <w:rPr>
          <w:rStyle w:val="10"/>
          <w:rFonts w:ascii="宋体" w:hAnsi="宋体"/>
          <w:sz w:val="24"/>
          <w:szCs w:val="24"/>
        </w:rPr>
      </w:pPr>
      <w:r>
        <w:rPr>
          <w:rStyle w:val="10"/>
          <w:rFonts w:ascii="宋体" w:hAnsi="宋体"/>
          <w:sz w:val="24"/>
          <w:szCs w:val="24"/>
        </w:rPr>
        <w:t>O13                     O13</w:t>
      </w:r>
    </w:p>
    <w:p>
      <w:pPr>
        <w:spacing w:line="360" w:lineRule="auto"/>
        <w:rPr>
          <w:rStyle w:val="10"/>
          <w:rFonts w:ascii="宋体" w:hAnsi="宋体"/>
          <w:sz w:val="24"/>
          <w:szCs w:val="24"/>
        </w:rPr>
      </w:pPr>
      <w:r>
        <w:rPr>
          <w:rStyle w:val="10"/>
          <w:rFonts w:ascii="宋体" w:hAnsi="宋体"/>
          <w:sz w:val="24"/>
          <w:szCs w:val="24"/>
        </w:rPr>
        <w:t xml:space="preserve">                  13:1:1上册第一分册   13:1:2上册第二分册</w:t>
      </w:r>
    </w:p>
    <w:p>
      <w:pPr>
        <w:spacing w:line="360" w:lineRule="auto"/>
        <w:ind w:left="480" w:hanging="480"/>
        <w:rPr>
          <w:rStyle w:val="10"/>
          <w:rFonts w:ascii="宋体" w:hAnsi="宋体"/>
          <w:sz w:val="24"/>
          <w:szCs w:val="24"/>
        </w:rPr>
      </w:pPr>
      <w:r>
        <w:rPr>
          <w:rStyle w:val="10"/>
          <w:rFonts w:ascii="宋体" w:hAnsi="宋体"/>
          <w:sz w:val="24"/>
          <w:szCs w:val="24"/>
        </w:rPr>
        <w:t>3.5版次号，采用“/1”，主要针对的是，书名、作者、内容相同，但出版社不同，在原种次号后加“/1”，若再有该情况出现，以此类推。</w:t>
      </w:r>
    </w:p>
    <w:p>
      <w:pPr>
        <w:spacing w:line="360" w:lineRule="auto"/>
        <w:ind w:firstLine="480" w:firstLineChars="200"/>
        <w:rPr>
          <w:rStyle w:val="10"/>
          <w:rFonts w:ascii="宋体" w:hAnsi="宋体"/>
          <w:sz w:val="24"/>
          <w:szCs w:val="24"/>
        </w:rPr>
      </w:pPr>
      <w:r>
        <w:rPr>
          <w:rStyle w:val="10"/>
          <w:rFonts w:ascii="宋体" w:hAnsi="宋体"/>
          <w:sz w:val="24"/>
          <w:szCs w:val="24"/>
        </w:rPr>
        <w:t>例：红楼梦　　曹雪芹著　　北京大学出版社　I242.49</w:t>
      </w:r>
    </w:p>
    <w:p>
      <w:pPr>
        <w:spacing w:line="360" w:lineRule="auto"/>
        <w:rPr>
          <w:rStyle w:val="10"/>
          <w:rFonts w:ascii="宋体" w:hAnsi="宋体"/>
          <w:sz w:val="24"/>
          <w:szCs w:val="24"/>
        </w:rPr>
      </w:pPr>
      <w:r>
        <w:rPr>
          <w:rStyle w:val="10"/>
          <w:rFonts w:ascii="宋体" w:hAnsi="宋体"/>
          <w:sz w:val="24"/>
          <w:szCs w:val="24"/>
        </w:rPr>
        <w:t xml:space="preserve">                                                13</w:t>
      </w:r>
    </w:p>
    <w:p>
      <w:pPr>
        <w:spacing w:line="360" w:lineRule="auto"/>
        <w:rPr>
          <w:rStyle w:val="10"/>
          <w:rFonts w:ascii="宋体" w:hAnsi="宋体"/>
          <w:sz w:val="24"/>
          <w:szCs w:val="24"/>
        </w:rPr>
      </w:pPr>
      <w:r>
        <w:rPr>
          <w:rStyle w:val="10"/>
          <w:rFonts w:ascii="宋体" w:hAnsi="宋体"/>
          <w:sz w:val="24"/>
          <w:szCs w:val="24"/>
        </w:rPr>
        <w:t>　　　　红楼梦　　曹雪芹著　　社会科学出版社　I242.49</w:t>
      </w:r>
    </w:p>
    <w:p>
      <w:pPr>
        <w:spacing w:line="360" w:lineRule="auto"/>
        <w:rPr>
          <w:rStyle w:val="10"/>
          <w:rFonts w:ascii="宋体" w:hAnsi="宋体"/>
          <w:sz w:val="24"/>
          <w:szCs w:val="24"/>
        </w:rPr>
      </w:pPr>
      <w:r>
        <w:rPr>
          <w:rStyle w:val="10"/>
          <w:rFonts w:ascii="宋体" w:hAnsi="宋体"/>
          <w:sz w:val="24"/>
          <w:szCs w:val="24"/>
        </w:rPr>
        <w:t xml:space="preserve">                                                13/1</w:t>
      </w:r>
    </w:p>
    <w:p>
      <w:pPr>
        <w:spacing w:line="360" w:lineRule="auto"/>
        <w:ind w:firstLine="960" w:firstLineChars="400"/>
        <w:rPr>
          <w:rStyle w:val="10"/>
          <w:rFonts w:ascii="宋体" w:hAnsi="宋体"/>
          <w:sz w:val="24"/>
          <w:szCs w:val="24"/>
        </w:rPr>
      </w:pPr>
      <w:r>
        <w:rPr>
          <w:rStyle w:val="10"/>
          <w:rFonts w:ascii="宋体" w:hAnsi="宋体"/>
          <w:sz w:val="24"/>
          <w:szCs w:val="24"/>
        </w:rPr>
        <w:t>红楼梦　　曹雪芹著　　岳麓书社      　I242.49</w:t>
      </w:r>
    </w:p>
    <w:p>
      <w:pPr>
        <w:spacing w:line="360" w:lineRule="auto"/>
        <w:ind w:firstLine="960" w:firstLineChars="400"/>
        <w:rPr>
          <w:rStyle w:val="10"/>
          <w:rFonts w:ascii="宋体" w:hAnsi="宋体"/>
          <w:sz w:val="24"/>
          <w:szCs w:val="24"/>
        </w:rPr>
      </w:pPr>
      <w:r>
        <w:rPr>
          <w:rStyle w:val="10"/>
          <w:rFonts w:ascii="宋体" w:hAnsi="宋体"/>
          <w:sz w:val="24"/>
          <w:szCs w:val="24"/>
        </w:rPr>
        <w:t xml:space="preserve">                                              13/2</w:t>
      </w:r>
    </w:p>
    <w:p>
      <w:pPr>
        <w:spacing w:line="360" w:lineRule="auto"/>
        <w:rPr>
          <w:rStyle w:val="10"/>
          <w:rFonts w:ascii="宋体" w:hAnsi="宋体"/>
          <w:sz w:val="24"/>
          <w:szCs w:val="24"/>
        </w:rPr>
      </w:pPr>
      <w:r>
        <w:rPr>
          <w:rStyle w:val="10"/>
          <w:rFonts w:ascii="宋体" w:hAnsi="宋体"/>
          <w:sz w:val="24"/>
          <w:szCs w:val="24"/>
        </w:rPr>
        <w:t>3.6附册区分号，采用“.1”</w:t>
      </w:r>
    </w:p>
    <w:p>
      <w:pPr>
        <w:spacing w:line="360" w:lineRule="auto"/>
        <w:ind w:firstLine="480" w:firstLineChars="200"/>
        <w:rPr>
          <w:rStyle w:val="10"/>
          <w:rFonts w:ascii="宋体" w:hAnsi="宋体"/>
          <w:sz w:val="24"/>
          <w:szCs w:val="24"/>
        </w:rPr>
      </w:pPr>
      <w:r>
        <w:rPr>
          <w:rStyle w:val="10"/>
          <w:rFonts w:ascii="宋体" w:hAnsi="宋体"/>
          <w:sz w:val="24"/>
          <w:szCs w:val="24"/>
        </w:rPr>
        <w:t>例：大学英语阅读教程，第一册　　         H319.4</w:t>
      </w:r>
    </w:p>
    <w:p>
      <w:pPr>
        <w:spacing w:line="360" w:lineRule="auto"/>
        <w:rPr>
          <w:rStyle w:val="10"/>
          <w:rFonts w:ascii="宋体" w:hAnsi="宋体"/>
          <w:sz w:val="24"/>
          <w:szCs w:val="24"/>
        </w:rPr>
      </w:pPr>
      <w:r>
        <w:rPr>
          <w:rStyle w:val="10"/>
          <w:rFonts w:ascii="宋体" w:hAnsi="宋体"/>
          <w:sz w:val="24"/>
          <w:szCs w:val="24"/>
        </w:rPr>
        <w:t>　　　　　　　　　　　　　　　　　　　　　　   20</w:t>
      </w:r>
    </w:p>
    <w:p>
      <w:pPr>
        <w:spacing w:line="360" w:lineRule="auto"/>
        <w:ind w:firstLine="960" w:firstLineChars="400"/>
        <w:rPr>
          <w:rStyle w:val="10"/>
          <w:rFonts w:ascii="宋体" w:hAnsi="宋体"/>
          <w:sz w:val="24"/>
          <w:szCs w:val="24"/>
        </w:rPr>
      </w:pPr>
      <w:r>
        <w:rPr>
          <w:rStyle w:val="10"/>
          <w:rFonts w:ascii="宋体" w:hAnsi="宋体"/>
          <w:sz w:val="24"/>
          <w:szCs w:val="24"/>
        </w:rPr>
        <w:t>大学英语阅读教程，第一册　练习册　　　H319.4</w:t>
      </w:r>
    </w:p>
    <w:p>
      <w:pPr>
        <w:spacing w:line="360" w:lineRule="auto"/>
        <w:rPr>
          <w:rStyle w:val="10"/>
          <w:rFonts w:ascii="宋体" w:hAnsi="宋体"/>
          <w:sz w:val="24"/>
          <w:szCs w:val="24"/>
        </w:rPr>
      </w:pPr>
      <w:r>
        <w:rPr>
          <w:rStyle w:val="10"/>
          <w:rFonts w:ascii="宋体" w:hAnsi="宋体"/>
          <w:sz w:val="24"/>
          <w:szCs w:val="24"/>
        </w:rPr>
        <w:t>　　　　　　　　　　　　　　　　　　　　　　   20.1</w:t>
      </w:r>
    </w:p>
    <w:p>
      <w:pPr>
        <w:spacing w:line="360" w:lineRule="auto"/>
        <w:rPr>
          <w:rStyle w:val="10"/>
          <w:rFonts w:ascii="宋体" w:hAnsi="宋体"/>
          <w:b/>
          <w:sz w:val="24"/>
          <w:szCs w:val="24"/>
        </w:rPr>
      </w:pPr>
      <w:r>
        <w:rPr>
          <w:rStyle w:val="10"/>
          <w:rFonts w:ascii="宋体" w:hAnsi="宋体"/>
          <w:b/>
          <w:sz w:val="24"/>
          <w:szCs w:val="24"/>
        </w:rPr>
        <w:t>注：各种符号的组配顺序，H319.4/123=2:3(1) 。</w:t>
      </w:r>
    </w:p>
    <w:p>
      <w:pPr>
        <w:spacing w:line="360" w:lineRule="auto"/>
        <w:ind w:left="600" w:hanging="600"/>
        <w:rPr>
          <w:rStyle w:val="10"/>
          <w:rFonts w:ascii="宋体" w:hAnsi="宋体"/>
          <w:sz w:val="24"/>
          <w:szCs w:val="24"/>
        </w:rPr>
      </w:pPr>
      <w:r>
        <w:rPr>
          <w:rStyle w:val="10"/>
          <w:rFonts w:ascii="宋体" w:hAnsi="宋体"/>
          <w:sz w:val="24"/>
          <w:szCs w:val="24"/>
        </w:rPr>
        <w:t>3.7光盘索书号的确定:采用与之相配套图书的索书号，并在种次号前加“CD”（大写），以示区分。　　　例：经济管理学：书　F270/25  光盘  F270/CD25</w:t>
      </w:r>
    </w:p>
    <w:p>
      <w:pPr>
        <w:spacing w:line="360" w:lineRule="auto"/>
        <w:rPr>
          <w:rStyle w:val="10"/>
          <w:rFonts w:ascii="宋体" w:hAnsi="宋体"/>
          <w:sz w:val="24"/>
          <w:szCs w:val="24"/>
        </w:rPr>
      </w:pPr>
      <w:r>
        <w:rPr>
          <w:rStyle w:val="10"/>
          <w:rFonts w:ascii="宋体" w:hAnsi="宋体"/>
          <w:sz w:val="24"/>
          <w:szCs w:val="24"/>
        </w:rPr>
        <w:t>3.8编目完成后，打印书标，并粘贴好书标后，送典藏。</w:t>
      </w:r>
    </w:p>
    <w:p>
      <w:pPr>
        <w:spacing w:line="360" w:lineRule="auto"/>
        <w:rPr>
          <w:rStyle w:val="10"/>
          <w:rFonts w:ascii="宋体" w:hAnsi="宋体"/>
          <w:sz w:val="24"/>
          <w:szCs w:val="24"/>
        </w:rPr>
      </w:pPr>
      <w:r>
        <w:rPr>
          <w:rStyle w:val="10"/>
          <w:rFonts w:ascii="宋体" w:hAnsi="宋体"/>
          <w:sz w:val="24"/>
          <w:szCs w:val="24"/>
        </w:rPr>
        <w:t>4.典藏</w:t>
      </w:r>
    </w:p>
    <w:p>
      <w:pPr>
        <w:spacing w:line="360" w:lineRule="auto"/>
        <w:rPr>
          <w:rStyle w:val="10"/>
          <w:rFonts w:ascii="宋体" w:hAnsi="宋体"/>
          <w:sz w:val="24"/>
          <w:szCs w:val="24"/>
        </w:rPr>
      </w:pPr>
      <w:r>
        <w:rPr>
          <w:rStyle w:val="10"/>
          <w:rFonts w:ascii="宋体" w:hAnsi="宋体"/>
          <w:sz w:val="24"/>
          <w:szCs w:val="24"/>
        </w:rPr>
        <w:t>4.1新书分配：将图书分配到相应馆藏地，并打印各馆藏地交接清单。</w:t>
      </w:r>
    </w:p>
    <w:p>
      <w:pPr>
        <w:spacing w:line="360" w:lineRule="auto"/>
        <w:ind w:left="479" w:leftChars="228" w:firstLine="240" w:firstLineChars="100"/>
        <w:rPr>
          <w:rStyle w:val="10"/>
          <w:rFonts w:ascii="宋体" w:hAnsi="宋体"/>
          <w:sz w:val="24"/>
          <w:szCs w:val="24"/>
        </w:rPr>
      </w:pPr>
      <w:r>
        <w:rPr>
          <w:rStyle w:val="10"/>
          <w:rFonts w:ascii="宋体" w:hAnsi="宋体"/>
          <w:sz w:val="24"/>
          <w:szCs w:val="24"/>
        </w:rPr>
        <w:t>（A～K）类的图书分配到相应的哲学管理阅览室、人文地理阅览室、语言文学阅览室、艺术阅览室；（N～Z）类的图书分配到自然科学阅览室。</w:t>
      </w:r>
    </w:p>
    <w:p>
      <w:pPr>
        <w:spacing w:line="360" w:lineRule="auto"/>
        <w:ind w:firstLine="960" w:firstLineChars="400"/>
        <w:rPr>
          <w:rStyle w:val="10"/>
          <w:rFonts w:ascii="宋体" w:hAnsi="宋体"/>
          <w:sz w:val="24"/>
          <w:szCs w:val="24"/>
        </w:rPr>
      </w:pPr>
      <w:r>
        <w:rPr>
          <w:rStyle w:val="10"/>
          <w:rFonts w:ascii="宋体" w:hAnsi="宋体"/>
          <w:sz w:val="24"/>
          <w:szCs w:val="24"/>
        </w:rPr>
        <w:t>所有图书的复本图书状态为：</w:t>
      </w:r>
      <w:r>
        <w:rPr>
          <w:rStyle w:val="10"/>
          <w:rFonts w:ascii="宋体" w:hAnsi="宋体"/>
          <w:b/>
          <w:sz w:val="24"/>
          <w:szCs w:val="24"/>
        </w:rPr>
        <w:t>可借</w:t>
      </w:r>
      <w:r>
        <w:rPr>
          <w:rStyle w:val="10"/>
          <w:rFonts w:ascii="宋体" w:hAnsi="宋体"/>
          <w:sz w:val="24"/>
          <w:szCs w:val="24"/>
        </w:rPr>
        <w:t>。</w:t>
      </w:r>
    </w:p>
    <w:p>
      <w:pPr>
        <w:spacing w:line="360" w:lineRule="auto"/>
        <w:ind w:firstLine="960" w:firstLineChars="400"/>
        <w:rPr>
          <w:rStyle w:val="10"/>
          <w:rFonts w:ascii="宋体" w:hAnsi="宋体"/>
          <w:sz w:val="24"/>
          <w:szCs w:val="24"/>
        </w:rPr>
      </w:pPr>
      <w:r>
        <w:rPr>
          <w:rStyle w:val="10"/>
          <w:rFonts w:ascii="宋体" w:hAnsi="宋体"/>
          <w:sz w:val="24"/>
          <w:szCs w:val="24"/>
        </w:rPr>
        <w:t>以下图书状态设为</w:t>
      </w:r>
      <w:r>
        <w:rPr>
          <w:rStyle w:val="10"/>
          <w:rFonts w:ascii="宋体" w:hAnsi="宋体"/>
          <w:b/>
          <w:sz w:val="24"/>
          <w:szCs w:val="24"/>
        </w:rPr>
        <w:t>阅览</w:t>
      </w:r>
      <w:r>
        <w:rPr>
          <w:rStyle w:val="10"/>
          <w:rFonts w:ascii="宋体" w:hAnsi="宋体"/>
          <w:sz w:val="24"/>
          <w:szCs w:val="24"/>
        </w:rPr>
        <w:t>。包括：百科全书、手册、字典、词（辞）典、技术标准、技术规程、年鉴等工具书。</w:t>
      </w:r>
    </w:p>
    <w:p>
      <w:pPr>
        <w:spacing w:line="360" w:lineRule="auto"/>
        <w:rPr>
          <w:rStyle w:val="10"/>
          <w:rFonts w:ascii="宋体" w:hAnsi="宋体"/>
          <w:sz w:val="24"/>
          <w:szCs w:val="24"/>
        </w:rPr>
      </w:pPr>
      <w:r>
        <w:rPr>
          <w:rStyle w:val="10"/>
          <w:rFonts w:ascii="宋体" w:hAnsi="宋体"/>
          <w:sz w:val="24"/>
          <w:szCs w:val="24"/>
        </w:rPr>
        <w:t>4.2新书上架</w:t>
      </w:r>
    </w:p>
    <w:p>
      <w:pPr>
        <w:spacing w:line="360" w:lineRule="auto"/>
        <w:ind w:left="480" w:hanging="480"/>
        <w:rPr>
          <w:rStyle w:val="10"/>
          <w:rFonts w:ascii="宋体" w:hAnsi="宋体"/>
          <w:sz w:val="24"/>
          <w:szCs w:val="24"/>
        </w:rPr>
      </w:pPr>
      <w:r>
        <w:rPr>
          <w:rStyle w:val="10"/>
          <w:rFonts w:ascii="宋体" w:hAnsi="宋体"/>
          <w:sz w:val="24"/>
          <w:szCs w:val="24"/>
        </w:rPr>
        <w:t>　　   将书送到馆藏地，馆藏地工作人员根据交接清单，核对完毕后，按图书排架号（种次号），将新书组织到书库中。</w:t>
      </w:r>
    </w:p>
    <w:p>
      <w:pPr>
        <w:spacing w:line="360" w:lineRule="auto"/>
        <w:rPr>
          <w:rStyle w:val="10"/>
          <w:rFonts w:ascii="宋体" w:hAnsi="宋体"/>
          <w:b/>
          <w:sz w:val="24"/>
          <w:szCs w:val="24"/>
        </w:rPr>
      </w:pPr>
      <w:r>
        <w:rPr>
          <w:rStyle w:val="10"/>
          <w:rFonts w:ascii="宋体" w:hAnsi="宋体"/>
          <w:b/>
          <w:sz w:val="24"/>
          <w:szCs w:val="24"/>
        </w:rPr>
        <w:t>二）、物理加工标准</w:t>
      </w:r>
    </w:p>
    <w:p>
      <w:pPr>
        <w:spacing w:line="360" w:lineRule="auto"/>
        <w:rPr>
          <w:rStyle w:val="10"/>
          <w:rFonts w:ascii="宋体" w:hAnsi="宋体"/>
          <w:sz w:val="24"/>
          <w:szCs w:val="24"/>
        </w:rPr>
      </w:pPr>
      <w:r>
        <w:rPr>
          <w:rStyle w:val="10"/>
          <w:rFonts w:ascii="宋体" w:hAnsi="宋体"/>
          <w:sz w:val="24"/>
          <w:szCs w:val="24"/>
        </w:rPr>
        <w:t>1、加盖馆藏章：每册图书盖两个馆藏章，一个于图书题名页中间空白处正盖，另一个于图书切口中间处垂直盖；馆藏章为蓝色；盖章要求端正、清楚。如图书附有光盘，在题名页条形码处加盖“本书附光盘”章。</w:t>
      </w:r>
    </w:p>
    <w:p>
      <w:pPr>
        <w:spacing w:line="360" w:lineRule="auto"/>
        <w:rPr>
          <w:rStyle w:val="10"/>
          <w:rFonts w:ascii="宋体" w:hAnsi="宋体"/>
          <w:sz w:val="24"/>
          <w:szCs w:val="24"/>
        </w:rPr>
      </w:pPr>
      <w:r>
        <w:rPr>
          <w:rStyle w:val="10"/>
          <w:rFonts w:ascii="宋体" w:hAnsi="宋体"/>
          <w:sz w:val="24"/>
          <w:szCs w:val="24"/>
        </w:rPr>
        <w:t>2、粘夹磁条：一般图书每册粘夹一根磁条，300页以上图书或单价达80元的图书及较厚的艺术类图书粘夹两根磁条；磁条材质为16公分复合钴基可充消磁条；位置为图书随机页处；要求尽量粘夹至书脊深处，隐蔽性良好。</w:t>
      </w:r>
    </w:p>
    <w:p>
      <w:pPr>
        <w:spacing w:line="360" w:lineRule="auto"/>
        <w:rPr>
          <w:rStyle w:val="10"/>
          <w:rFonts w:ascii="宋体" w:hAnsi="宋体"/>
          <w:sz w:val="24"/>
          <w:szCs w:val="24"/>
        </w:rPr>
      </w:pPr>
      <w:r>
        <w:rPr>
          <w:rStyle w:val="10"/>
          <w:rFonts w:ascii="宋体" w:hAnsi="宋体"/>
          <w:sz w:val="24"/>
          <w:szCs w:val="24"/>
        </w:rPr>
        <w:t>3、贴条形码：每册图书贴一个条形码，位置在题名页,出版社上方空白处</w:t>
      </w:r>
    </w:p>
    <w:p>
      <w:pPr>
        <w:spacing w:line="360" w:lineRule="auto"/>
        <w:rPr>
          <w:rStyle w:val="10"/>
          <w:rFonts w:ascii="宋体" w:hAnsi="宋体"/>
          <w:sz w:val="24"/>
          <w:szCs w:val="24"/>
        </w:rPr>
      </w:pPr>
      <w:r>
        <w:rPr>
          <w:rStyle w:val="10"/>
          <w:rFonts w:ascii="宋体" w:hAnsi="宋体"/>
          <w:sz w:val="24"/>
          <w:szCs w:val="24"/>
        </w:rPr>
        <w:t>4、登录号（财产号）：每册图书财产号与条码号同号。</w:t>
      </w:r>
    </w:p>
    <w:p>
      <w:pPr>
        <w:spacing w:line="360" w:lineRule="auto"/>
        <w:rPr>
          <w:rStyle w:val="10"/>
          <w:rFonts w:ascii="宋体" w:hAnsi="宋体"/>
          <w:sz w:val="24"/>
          <w:szCs w:val="24"/>
        </w:rPr>
      </w:pPr>
      <w:r>
        <w:rPr>
          <w:rStyle w:val="10"/>
          <w:rFonts w:ascii="宋体" w:hAnsi="宋体"/>
          <w:sz w:val="24"/>
          <w:szCs w:val="24"/>
        </w:rPr>
        <w:t>5、贴书标：每册图书贴书标一个，分别贴于书脊（距书底约2CM），书标为深蓝色标准书标。</w:t>
      </w:r>
    </w:p>
    <w:p>
      <w:pPr>
        <w:spacing w:line="360" w:lineRule="auto"/>
        <w:rPr>
          <w:rStyle w:val="10"/>
          <w:rFonts w:ascii="宋体" w:hAnsi="宋体"/>
          <w:sz w:val="24"/>
          <w:szCs w:val="24"/>
        </w:rPr>
      </w:pPr>
      <w:r>
        <w:rPr>
          <w:rStyle w:val="10"/>
          <w:rFonts w:ascii="宋体" w:hAnsi="宋体"/>
          <w:sz w:val="24"/>
          <w:szCs w:val="24"/>
        </w:rPr>
        <w:t>6、胶带：书脊书标上加一层胶带保护膜，要求平整、美观。</w:t>
      </w:r>
    </w:p>
    <w:p>
      <w:pPr>
        <w:spacing w:line="360" w:lineRule="auto"/>
        <w:rPr>
          <w:rStyle w:val="10"/>
          <w:rFonts w:ascii="宋体" w:hAnsi="宋体"/>
          <w:b/>
          <w:sz w:val="24"/>
          <w:szCs w:val="24"/>
        </w:rPr>
      </w:pPr>
      <w:r>
        <w:rPr>
          <w:rStyle w:val="10"/>
          <w:rFonts w:ascii="宋体" w:hAnsi="宋体"/>
          <w:b/>
          <w:sz w:val="24"/>
          <w:szCs w:val="24"/>
        </w:rPr>
        <w:t>三）加工材料规格</w:t>
      </w:r>
    </w:p>
    <w:p>
      <w:pPr>
        <w:spacing w:line="360" w:lineRule="auto"/>
        <w:rPr>
          <w:rStyle w:val="10"/>
          <w:rFonts w:ascii="宋体" w:hAnsi="宋体"/>
          <w:sz w:val="24"/>
          <w:szCs w:val="24"/>
        </w:rPr>
      </w:pPr>
      <w:r>
        <w:rPr>
          <w:rStyle w:val="10"/>
          <w:rFonts w:ascii="宋体" w:hAnsi="宋体"/>
          <w:sz w:val="24"/>
          <w:szCs w:val="24"/>
        </w:rPr>
        <w:t>1.条码起始号：</w:t>
      </w:r>
    </w:p>
    <w:p>
      <w:pPr>
        <w:spacing w:line="360" w:lineRule="auto"/>
        <w:rPr>
          <w:rStyle w:val="10"/>
          <w:rFonts w:ascii="宋体" w:hAnsi="宋体"/>
          <w:sz w:val="24"/>
          <w:szCs w:val="24"/>
        </w:rPr>
      </w:pPr>
      <w: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2" name="矩形 16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69" o:spid="_x0000_s1026" o:spt="1" style="position:absolute;left:0pt;margin-left:0pt;margin-top:0pt;height:50pt;width:50pt;visibility:hidden;z-index:251660288;mso-width-relative:page;mso-height-relative:page;" fillcolor="#FFFFFF" filled="t" stroked="t" coordsize="21600,21600" o:gfxdata="UEsDBAoAAAAAAIdO4kAAAAAAAAAAAAAAAAAEAAAAZHJzL1BLAwQUAAAACACHTuJAKW6XrNIAAAAF&#10;AQAADwAAAGRycy9kb3ducmV2LnhtbE2PzU7DMBCE70h9B2uRekGtXZCAhjg9FPVYKgKHHrfxNrEa&#10;r6PY/cnb4yIkelntaFaz3+SLi2vFifpgPWuYTRUI4soby7WG76/V5BVEiMgGW8+kYaAAi2J0l2Nm&#10;/Jk/6VTGWqQQDhlqaGLsMilD1ZDDMPUdcfL2vncYk+xraXo8p3DXykelnqVDy+lDgx0tG6oO5dFp&#10;WG3Lw8Zuef9kX9bvdv4wDB+bUuvx/Uy9gYh0if/HcMVP6FAkpp0/sgmi1ZCKxN959ZRKcve3yCKX&#10;t/TFD1BLAwQUAAAACACHTuJAKkT6WQ4CAABQBAAADgAAAGRycy9lMm9Eb2MueG1srVTNjtMwEL4j&#10;8Q6W7zRpUSs2aroHSrmsYKVlH8C1ncTCf/K4Tfs0SNx4CB4H8RqMnWy3XTj0QA/ROJ75Zr7vm3R5&#10;ezCa7GUA5WxNp5OSEmm5E8q2NX38snnzjhKIzAqmnZU1PUqgt6vXr5a9r+TMdU4LGQiCWKh6X9Mu&#10;Rl8VBfBOGgYT56XFy8YFwyIeQ1uIwHpEN7qYleWi6F0QPjguAfDterikI2K4BtA1jeJy7fjOSBsH&#10;1CA1i0gJOuWBrvK0TSN5/Nw0ICPRNUWmMT+xCcbb9CxWS1a1gflO8XEEds0ILzgZpiw2PUGtWWRk&#10;F9RfUEbx4MA1ccKdKQYiWRFkMS1faPPQMS8zF5Qa/El0+H+w/NP+PhAlajqjxDKDhv/+9uPXz+9k&#10;urihpFNCyLQmSajeQ4X5D/4+JKrg7xz/CsS6B6lR6DGruEhLBxgLDk0wqRBZk0O24HiyQB4i4fhy&#10;8XZelmgOx6sxxs4Fq56KfYD4UTpDUlDTgI2z8Gx/B3FIfUrJQzqtxEZpnQ+h3b7XgewZbsMm/xIv&#10;RIfzNG1JX9Ob+WyOczBc8QZXC0PjUSawbe53UQHnwDh/ovAP4DTYmkE3DJARhgU0KsqABazqJBMf&#10;rCDx6NEKi18gTcMYKSjRyYkU5czIlL4mE9lpiySfnUjR1okjGr/zQbXdhXW4aFmS8aNIm3x+zkjP&#10;fwS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lul6zSAAAABQEAAA8AAAAAAAAAAQAgAAAAIgAA&#10;AGRycy9kb3ducmV2LnhtbFBLAQIUABQAAAAIAIdO4kAqRPpZDgIAAFAEAAAOAAAAAAAAAAEAIAAA&#10;ACEBAABkcnMvZTJvRG9jLnhtbFBLBQYAAAAABgAGAFkBAAChBQAAAAA=&#10;">
                <v:fill on="t" focussize="0,0"/>
                <v:stroke color="#000000" joinstyle="miter"/>
                <v:imagedata o:title=""/>
                <o:lock v:ext="edit" selection="t" aspectratio="f"/>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2286000</wp:posOffset>
                </wp:positionH>
                <wp:positionV relativeFrom="paragraph">
                  <wp:posOffset>100965</wp:posOffset>
                </wp:positionV>
                <wp:extent cx="1548130" cy="485775"/>
                <wp:effectExtent l="4445" t="4445" r="9525" b="5080"/>
                <wp:wrapNone/>
                <wp:docPr id="5" name="矩形 164"/>
                <wp:cNvGraphicFramePr/>
                <a:graphic xmlns:a="http://schemas.openxmlformats.org/drawingml/2006/main">
                  <a:graphicData uri="http://schemas.microsoft.com/office/word/2010/wordprocessingShape">
                    <wps:wsp>
                      <wps:cNvSpPr/>
                      <wps:spPr>
                        <a:xfrm>
                          <a:off x="0" y="0"/>
                          <a:ext cx="1548130" cy="4857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tLeast"/>
                              <w:jc w:val="center"/>
                              <w:rPr>
                                <w:rStyle w:val="10"/>
                                <w:sz w:val="15"/>
                              </w:rPr>
                            </w:pPr>
                            <w:r>
                              <w:rPr>
                                <w:rStyle w:val="10"/>
                                <w:sz w:val="15"/>
                              </w:rPr>
                              <w:t>泰州职业技术学院</w:t>
                            </w:r>
                          </w:p>
                          <w:p>
                            <w:pPr>
                              <w:tabs>
                                <w:tab w:val="left" w:pos="720"/>
                              </w:tabs>
                              <w:spacing w:line="240" w:lineRule="atLeast"/>
                              <w:ind w:left="360"/>
                              <w:rPr>
                                <w:rStyle w:val="10"/>
                                <w:sz w:val="15"/>
                              </w:rPr>
                            </w:pPr>
                            <w:r>
                              <w:rPr>
                                <w:rStyle w:val="10"/>
                                <w:sz w:val="15"/>
                              </w:rPr>
                              <w:drawing>
                                <wp:inline distT="0" distB="0" distL="114300" distR="114300">
                                  <wp:extent cx="9525" cy="114300"/>
                                  <wp:effectExtent l="0" t="0" r="3175" b="0"/>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4"/>
                                          <a:stretch>
                                            <a:fillRect/>
                                          </a:stretch>
                                        </pic:blipFill>
                                        <pic:spPr>
                                          <a:xfrm>
                                            <a:off x="0" y="0"/>
                                            <a:ext cx="9525" cy="114300"/>
                                          </a:xfrm>
                                          <a:prstGeom prst="rect">
                                            <a:avLst/>
                                          </a:prstGeom>
                                          <a:noFill/>
                                          <a:ln>
                                            <a:noFill/>
                                          </a:ln>
                                        </pic:spPr>
                                      </pic:pic>
                                    </a:graphicData>
                                  </a:graphic>
                                </wp:inline>
                              </w:drawing>
                            </w:r>
                            <w:r>
                              <w:rPr>
                                <w:rStyle w:val="10"/>
                                <w:sz w:val="15"/>
                              </w:rPr>
                              <w:t>　　条形码</w:t>
                            </w:r>
                          </w:p>
                          <w:p>
                            <w:pPr>
                              <w:spacing w:line="240" w:lineRule="atLeast"/>
                              <w:rPr>
                                <w:rStyle w:val="10"/>
                                <w:sz w:val="15"/>
                              </w:rPr>
                            </w:pPr>
                            <w:r>
                              <w:rPr>
                                <w:rStyle w:val="10"/>
                                <w:sz w:val="15"/>
                              </w:rPr>
                              <w:t>　　　　B07000001</w:t>
                            </w:r>
                          </w:p>
                          <w:p>
                            <w:pPr>
                              <w:spacing w:line="240" w:lineRule="atLeast"/>
                              <w:rPr>
                                <w:rStyle w:val="10"/>
                                <w:sz w:val="15"/>
                              </w:rPr>
                            </w:pPr>
                          </w:p>
                          <w:p>
                            <w:pPr>
                              <w:spacing w:line="240" w:lineRule="atLeast"/>
                              <w:rPr>
                                <w:rStyle w:val="10"/>
                                <w:sz w:val="15"/>
                              </w:rPr>
                            </w:pPr>
                          </w:p>
                          <w:p>
                            <w:pPr>
                              <w:spacing w:line="240" w:lineRule="atLeast"/>
                              <w:rPr>
                                <w:rStyle w:val="10"/>
                                <w:sz w:val="15"/>
                              </w:rPr>
                            </w:pPr>
                          </w:p>
                          <w:p>
                            <w:pPr>
                              <w:rPr>
                                <w:rStyle w:val="10"/>
                              </w:rPr>
                            </w:pPr>
                          </w:p>
                        </w:txbxContent>
                      </wps:txbx>
                      <wps:bodyPr upright="1"/>
                    </wps:wsp>
                  </a:graphicData>
                </a:graphic>
              </wp:anchor>
            </w:drawing>
          </mc:Choice>
          <mc:Fallback>
            <w:pict>
              <v:rect id="矩形 164" o:spid="_x0000_s1026" o:spt="1" style="position:absolute;left:0pt;margin-left:180pt;margin-top:7.95pt;height:38.25pt;width:121.9pt;z-index:251662336;mso-width-relative:page;mso-height-relative:page;" fillcolor="#FFFFFF" filled="t" stroked="t" coordsize="21600,21600" o:gfxdata="UEsDBAoAAAAAAIdO4kAAAAAAAAAAAAAAAAAEAAAAZHJzL1BLAwQUAAAACACHTuJAJIgASNcAAAAJ&#10;AQAADwAAAGRycy9kb3ducmV2LnhtbE2PQU+DQBCF7yb+h82YeLO7BSWCLD1oauKxpRdvC4yAsrOE&#10;XVraX+94ssfJe3nzfflmsYM44uR7RxrWKwUCqXZNT62GQ7l9eAbhg6HGDI5Qwxk9bIrbm9xkjTvR&#10;Do/70AoeIZ8ZDV0IYyalrzu0xq/ciMTZl5usCXxOrWwmc+JxO8hIqURa0xN/6MyIrx3WP/vZaqj6&#10;6GAuu/Jd2XQbh4+l/J4/37S+v1urFxABl/Bfhj98RoeCmSo3U+PFoCFOFLsEDp5SEFxIVMwulYY0&#10;egRZ5PLaoPgFUEsDBBQAAAAIAIdO4kCf26BUAgIAACsEAAAOAAAAZHJzL2Uyb0RvYy54bWytU02u&#10;0zAQ3iNxB8t7mqa075Wo6VtQygbBkx4cwLWdxJL/5HGb9DRI7DgEx0Fcg7FT+n4XXZCFM2OPv5nv&#10;m/HqZjCaHGQA5WxNy8mUEmm5E8q2Nf32dftmSQlEZgXTzsqaHiXQm/XrV6veV3LmOqeFDARBLFS9&#10;r2kXo6+KAngnDYOJ89LiYeOCYRHd0BYisB7RjS5m0+lV0bsgfHBcAuDuZjykJ8RwCaBrGsXlxvG9&#10;kTaOqEFqFpESdMoDXedqm0by+KVpQEaia4pMY14xCdq7tBbrFavawHyn+KkEdkkJTzgZpiwmPUNt&#10;WGRkH9QzKKN4cOCaOOHOFCORrAiyKKdPtLnrmJeZC0oN/iw6/D9Y/vlwG4gSNV1QYpnBhv/5/vP3&#10;rx+kvJondXoPFQbd+dtw8gDNRHVogkl/JEGGrOjxrKgcIuG4WS7my/Itis3xbL5cXF8vEmhxf9sH&#10;iB+lMyQZNQ3YsSwkO3yCOIb+C0nJwGkltkrr7IR2914HcmDY3W3+TuiPwrQlfU3fLWZIkTMc2QZH&#10;BU3jkTbYNud7dAMeAk/z9xJwKmzDoBsLyAgpjFVGRRmy1UkmPlhB4tGjtBZfFE3FGCko0RIfYLJy&#10;ZGRKXxKJ2mmLEqbGjK1IVhx2A8Ikc+fEEXu690G1HUpa5tLTCc5Q1v4072lIH/oZ9P6Nr/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IgASNcAAAAJAQAADwAAAAAAAAABACAAAAAiAAAAZHJzL2Rv&#10;d25yZXYueG1sUEsBAhQAFAAAAAgAh07iQJ/boFQCAgAAKwQAAA4AAAAAAAAAAQAgAAAAJgEAAGRy&#10;cy9lMm9Eb2MueG1sUEsFBgAAAAAGAAYAWQEAAJoFAAAAAA==&#10;">
                <v:fill on="t" focussize="0,0"/>
                <v:stroke color="#000000" joinstyle="miter"/>
                <v:imagedata o:title=""/>
                <o:lock v:ext="edit" aspectratio="f"/>
                <v:textbox>
                  <w:txbxContent>
                    <w:p>
                      <w:pPr>
                        <w:spacing w:line="240" w:lineRule="atLeast"/>
                        <w:jc w:val="center"/>
                        <w:rPr>
                          <w:rStyle w:val="10"/>
                          <w:sz w:val="15"/>
                        </w:rPr>
                      </w:pPr>
                      <w:r>
                        <w:rPr>
                          <w:rStyle w:val="10"/>
                          <w:sz w:val="15"/>
                        </w:rPr>
                        <w:t>泰州职业技术学院</w:t>
                      </w:r>
                    </w:p>
                    <w:p>
                      <w:pPr>
                        <w:tabs>
                          <w:tab w:val="left" w:pos="720"/>
                        </w:tabs>
                        <w:spacing w:line="240" w:lineRule="atLeast"/>
                        <w:ind w:left="360"/>
                        <w:rPr>
                          <w:rStyle w:val="10"/>
                          <w:sz w:val="15"/>
                        </w:rPr>
                      </w:pPr>
                      <w:r>
                        <w:rPr>
                          <w:rStyle w:val="10"/>
                          <w:sz w:val="15"/>
                        </w:rPr>
                        <w:drawing>
                          <wp:inline distT="0" distB="0" distL="114300" distR="114300">
                            <wp:extent cx="9525" cy="114300"/>
                            <wp:effectExtent l="0" t="0" r="3175" b="0"/>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4"/>
                                    <a:stretch>
                                      <a:fillRect/>
                                    </a:stretch>
                                  </pic:blipFill>
                                  <pic:spPr>
                                    <a:xfrm>
                                      <a:off x="0" y="0"/>
                                      <a:ext cx="9525" cy="114300"/>
                                    </a:xfrm>
                                    <a:prstGeom prst="rect">
                                      <a:avLst/>
                                    </a:prstGeom>
                                    <a:noFill/>
                                    <a:ln>
                                      <a:noFill/>
                                    </a:ln>
                                  </pic:spPr>
                                </pic:pic>
                              </a:graphicData>
                            </a:graphic>
                          </wp:inline>
                        </w:drawing>
                      </w:r>
                      <w:r>
                        <w:rPr>
                          <w:rStyle w:val="10"/>
                          <w:sz w:val="15"/>
                        </w:rPr>
                        <w:t>　　条形码</w:t>
                      </w:r>
                    </w:p>
                    <w:p>
                      <w:pPr>
                        <w:spacing w:line="240" w:lineRule="atLeast"/>
                        <w:rPr>
                          <w:rStyle w:val="10"/>
                          <w:sz w:val="15"/>
                        </w:rPr>
                      </w:pPr>
                      <w:r>
                        <w:rPr>
                          <w:rStyle w:val="10"/>
                          <w:sz w:val="15"/>
                        </w:rPr>
                        <w:t>　　　　B07000001</w:t>
                      </w:r>
                    </w:p>
                    <w:p>
                      <w:pPr>
                        <w:spacing w:line="240" w:lineRule="atLeast"/>
                        <w:rPr>
                          <w:rStyle w:val="10"/>
                          <w:sz w:val="15"/>
                        </w:rPr>
                      </w:pPr>
                    </w:p>
                    <w:p>
                      <w:pPr>
                        <w:spacing w:line="240" w:lineRule="atLeast"/>
                        <w:rPr>
                          <w:rStyle w:val="10"/>
                          <w:sz w:val="15"/>
                        </w:rPr>
                      </w:pPr>
                    </w:p>
                    <w:p>
                      <w:pPr>
                        <w:spacing w:line="240" w:lineRule="atLeast"/>
                        <w:rPr>
                          <w:rStyle w:val="10"/>
                          <w:sz w:val="15"/>
                        </w:rPr>
                      </w:pPr>
                    </w:p>
                    <w:p>
                      <w:pPr>
                        <w:rPr>
                          <w:rStyle w:val="10"/>
                        </w:rPr>
                      </w:pPr>
                    </w:p>
                  </w:txbxContent>
                </v:textbox>
              </v:rect>
            </w:pict>
          </mc:Fallback>
        </mc:AlternateContent>
      </w:r>
      <w:r>
        <w:rPr>
          <w:rStyle w:val="10"/>
          <w:rFonts w:ascii="宋体" w:hAnsi="宋体"/>
          <w:sz w:val="24"/>
          <w:szCs w:val="24"/>
        </w:rPr>
        <w:t>例：（图书）B07000001～　　　　　　　</w:t>
      </w:r>
      <w:r>
        <w:rPr>
          <w:rFonts w:ascii="宋体" w:hAnsi="宋体"/>
          <w:sz w:val="24"/>
          <w:szCs w:val="24"/>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3" name="图片 16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prstGeom prst="rect">
                          <a:avLst/>
                        </a:prstGeom>
                        <a:noFill/>
                        <a:ln>
                          <a:noFill/>
                        </a:ln>
                      </wps:spPr>
                      <wps:bodyPr upright="1"/>
                    </wps:wsp>
                  </a:graphicData>
                </a:graphic>
              </wp:anchor>
            </w:drawing>
          </mc:Choice>
          <mc:Fallback>
            <w:pict>
              <v:rect id="图片 168" o:spid="_x0000_s1026" o:spt="1" style="position:absolute;left:0pt;margin-left:0pt;margin-top:0pt;height:50pt;width:50pt;visibility:hidden;z-index:251661312;mso-width-relative:page;mso-height-relative:page;" filled="f" stroked="f" coordsize="21600,21600" o:gfxdata="UEsDBAoAAAAAAIdO4kAAAAAAAAAAAAAAAAAEAAAAZHJzL1BLAwQUAAAACACHTuJARLgOgtEAAAAF&#10;AQAADwAAAGRycy9kb3ducmV2LnhtbE2PQUvDQBCF74L/YRnBm91tESkxmx4K9lCl0Fjv2+yYBLOz&#10;MTtN4793KoJehnm84c338tUUOjXikNpIFuYzAwqpir6l2sLh9eluCSqxI++6SGjhCxOsiuur3GU+&#10;nmmPY8m1khBKmbPQMPeZ1qlqMLg0iz2SeO9xCI5FDrX2gztLeOj0wpgHHVxL8qFxPa4brD7KU7Dw&#10;tmu328/ly2bN0+Z5sZviWO7vrb29mZtHUIwT/x3DBV/QoRCmYzyRT6qzIEX4Z148Y0Qefxdd5Po/&#10;ffENUEsDBBQAAAAIAIdO4kBNLxkIrgEAAGgDAAAOAAAAZHJzL2Uyb0RvYy54bWytU0tu2zAQ3Rfo&#10;HQjua8kJahSC5WyMZBO0AdwegKFGFhGSQ3Boyz5B0TP0Lr1N0Wt0SCtunW6y6EYgh8M370Mtbw7O&#10;ij1EMuhbOZ/VUoDX2Bm/beWXz7fvPkhBSflOWfTQyiOQvFm9fbMcQwNXOKDtIAoG8dSMoZVDSqGp&#10;KtIDOEUzDOD5sMfoVOJt3FZdVCOjO1td1fWiGjF2IaIGIq6uT4dyQoyvAcS+NxrWqHcOfDqhRrAq&#10;sSQaTCC5Kmz7HnT61PcESdhWstJUvjyE14/5W62WqtlGFQajJwrqNRReaHLKeB56hlqrpMQumn+g&#10;nNERCfs00+iqk5DiCKuY1y+82QwqQNHCVlM4m07/D1Z/3D9EYbpWXkvhlePAf37/8evbVzFf8EMY&#10;TNdBfibZqDFQw/2b8BCzVAr3qJ9IeNyAZaOnruqiLW9ounDoo8sXWbU4lAiO5wjgkITm4uL6fV1z&#10;OJqPpjVPrlTzfDlESneATuRFKyMPLsar/T2lU+tzS57l8dZYW1K2/qLAmLlS6J4YZq6P2B3ZkF2I&#10;ZjtcSOIACpHpseSE/94XpD8/yO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RLgOgtEAAAAFAQAA&#10;DwAAAAAAAAABACAAAAAiAAAAZHJzL2Rvd25yZXYueG1sUEsBAhQAFAAAAAgAh07iQE0vGQiuAQAA&#10;aAMAAA4AAAAAAAAAAQAgAAAAIAEAAGRycy9lMm9Eb2MueG1sUEsFBgAAAAAGAAYAWQEAAEAFAAAA&#10;AA==&#10;">
                <v:fill on="f" focussize="0,0"/>
                <v:stroke on="f"/>
                <v:imagedata o:title=""/>
                <o:lock v:ext="edit" selection="t" aspectratio="f"/>
              </v:rect>
            </w:pict>
          </mc:Fallback>
        </mc:AlternateContent>
      </w:r>
    </w:p>
    <w:p>
      <w:pPr>
        <w:spacing w:line="360" w:lineRule="auto"/>
        <w:rPr>
          <w:rStyle w:val="10"/>
          <w:rFonts w:ascii="宋体" w:hAnsi="宋体"/>
          <w:sz w:val="24"/>
          <w:szCs w:val="24"/>
        </w:rPr>
      </w:pPr>
      <w:r>
        <w:rPr>
          <w:rStyle w:val="10"/>
          <w:rFonts w:ascii="宋体" w:hAnsi="宋体"/>
          <w:sz w:val="24"/>
          <w:szCs w:val="24"/>
        </w:rPr>
        <w:t xml:space="preserve">  　　　　　　　　　　　　　　　　　2.0×4.5（cm）</w:t>
      </w:r>
    </w:p>
    <w:p>
      <w:pPr>
        <w:spacing w:line="360" w:lineRule="auto"/>
        <w:rPr>
          <w:rStyle w:val="10"/>
          <w:rFonts w:ascii="宋体" w:hAnsi="宋体"/>
          <w:sz w:val="24"/>
          <w:szCs w:val="24"/>
        </w:rPr>
      </w:pPr>
    </w:p>
    <w:p>
      <w:pPr>
        <w:spacing w:line="360" w:lineRule="auto"/>
        <w:rPr>
          <w:rStyle w:val="10"/>
          <w:rFonts w:ascii="宋体" w:hAnsi="宋体"/>
          <w:sz w:val="24"/>
          <w:szCs w:val="24"/>
        </w:rPr>
      </w:pPr>
    </w:p>
    <w:p>
      <w:pPr>
        <w:spacing w:line="360" w:lineRule="auto"/>
        <w:rPr>
          <w:rStyle w:val="10"/>
          <w:rFonts w:ascii="宋体" w:hAnsi="宋体"/>
          <w:sz w:val="24"/>
          <w:szCs w:val="24"/>
        </w:rPr>
      </w:pPr>
    </w:p>
    <w:p>
      <w:pPr>
        <w:spacing w:line="360" w:lineRule="auto"/>
        <w:rPr>
          <w:rStyle w:val="10"/>
          <w:rFonts w:ascii="宋体" w:hAnsi="宋体"/>
          <w:sz w:val="24"/>
          <w:szCs w:val="24"/>
        </w:rPr>
      </w:pPr>
      <w:r>
        <w:rPr>
          <w:rStyle w:val="10"/>
          <w:rFonts w:ascii="宋体" w:hAnsi="宋体"/>
          <w:sz w:val="24"/>
          <w:szCs w:val="24"/>
        </w:rPr>
        <w:t xml:space="preserve">2.标签： </w:t>
      </w:r>
      <w:r>
        <mc:AlternateContent>
          <mc:Choice Requires="wps">
            <w:drawing>
              <wp:anchor distT="0" distB="0" distL="114300" distR="114300" simplePos="0" relativeHeight="251663360" behindDoc="0" locked="0" layoutInCell="1" allowOverlap="1">
                <wp:simplePos x="0" y="0"/>
                <wp:positionH relativeFrom="column">
                  <wp:posOffset>2400300</wp:posOffset>
                </wp:positionH>
                <wp:positionV relativeFrom="paragraph">
                  <wp:posOffset>99060</wp:posOffset>
                </wp:positionV>
                <wp:extent cx="914400" cy="495300"/>
                <wp:effectExtent l="4445" t="4445" r="8255" b="8255"/>
                <wp:wrapNone/>
                <wp:docPr id="6" name="矩形 165"/>
                <wp:cNvGraphicFramePr/>
                <a:graphic xmlns:a="http://schemas.openxmlformats.org/drawingml/2006/main">
                  <a:graphicData uri="http://schemas.microsoft.com/office/word/2010/wordprocessingShape">
                    <wps:wsp>
                      <wps:cNvSpPr/>
                      <wps:spPr>
                        <a:xfrm>
                          <a:off x="0" y="0"/>
                          <a:ext cx="9144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Style w:val="10"/>
                              </w:rPr>
                            </w:pPr>
                            <w:r>
                              <w:rPr>
                                <w:rStyle w:val="10"/>
                              </w:rPr>
                              <w:t xml:space="preserve">   H315</w:t>
                            </w:r>
                          </w:p>
                          <w:p>
                            <w:pPr>
                              <w:rPr>
                                <w:rStyle w:val="10"/>
                              </w:rPr>
                            </w:pPr>
                            <w:r>
                              <w:rPr>
                                <w:rStyle w:val="10"/>
                              </w:rPr>
                              <w:t xml:space="preserve">    16</w:t>
                            </w:r>
                          </w:p>
                          <w:p>
                            <w:pPr>
                              <w:rPr>
                                <w:rStyle w:val="10"/>
                              </w:rPr>
                            </w:pPr>
                          </w:p>
                        </w:txbxContent>
                      </wps:txbx>
                      <wps:bodyPr upright="1"/>
                    </wps:wsp>
                  </a:graphicData>
                </a:graphic>
              </wp:anchor>
            </w:drawing>
          </mc:Choice>
          <mc:Fallback>
            <w:pict>
              <v:rect id="矩形 165" o:spid="_x0000_s1026" o:spt="1" style="position:absolute;left:0pt;margin-left:189pt;margin-top:7.8pt;height:39pt;width:72pt;z-index:251663360;mso-width-relative:page;mso-height-relative:page;" fillcolor="#FFFFFF" filled="t" stroked="t" coordsize="21600,21600" o:gfxdata="UEsDBAoAAAAAAIdO4kAAAAAAAAAAAAAAAAAEAAAAZHJzL1BLAwQUAAAACACHTuJAJ1F1V9gAAAAJ&#10;AQAADwAAAGRycy9kb3ducmV2LnhtbE2PQU+DQBCF7yb+h82YeLNLIcWWsvSgqYnHll68DewUUHaX&#10;sEuL/nrHkz3Oey9vvpfvZtOLC42+c1bBchGBIFs73dlGwancP61B+IBWY+8sKfgmD7vi/i7HTLur&#10;PdDlGBrBJdZnqKANYcik9HVLBv3CDWTZO7vRYOBzbKQe8crlppdxFKXSYGf5Q4sDvbRUfx0no6Dq&#10;4hP+HMq3yGz2SXify8/p41Wpx4dltAURaA7/YfjDZ3QomKlyk9Ve9AqS5zVvCWysUhAcWMUxC5WC&#10;TZKCLHJ5u6D4BVBLAwQUAAAACACHTuJA/IFtBwACAAAqBAAADgAAAGRycy9lMm9Eb2MueG1srVNL&#10;rtMwFJ0jsQfLc5q0tBUvavoGlDJB8KQHC3BtJ7Hkn3zdJl0NEjMWwXIQ2+DaCX0fGHRABs6xfX18&#10;z7nXm9vBaHKSAZSzNZ3PSkqk5U4o29b0y+f9qzeUQGRWMO2srOlZAr3dvnyx6X0lF65zWshAkMRC&#10;1fuadjH6qiiAd9IwmDkvLW42LhgWcRraQgTWI7vRxaIs10XvgvDBcQmAq7txk06M4RpC1zSKy53j&#10;RyNtHFmD1CyiJOiUB7rN2TaN5PFT04CMRNcUlcY84iWID2ksthtWtYH5TvEpBXZNCs80GaYsXnqh&#10;2rHIyDGov6iM4sGBa+KMO1OMQrIjqGJePvPmvmNeZi1oNfiL6fD/aPnH010gStR0TYllBgv+6+v3&#10;nz++kfl6ldzpPVQYdO/vwjQDhEnq0AST/iiCDNnR88VROUTCcfFmvlyW6DXHreXN6jViZCkeDvsA&#10;8b10hiRQ04AFyz6y0weIY+ifkHQXOK3EXmmdJ6E9vNWBnBgWd5+/if1JmLakx0xWixXmwbBjG+wU&#10;hMajarBtvu/JCXhMXObvX8QpsR2DbkwgM6QwVhkVZciok0y8s4LEs0dnLT4ompIxUlCiJb6/hHJk&#10;ZEpfE4neaYsWprqMlUgoDocBaRI8OHHGkh59UG2Hls5z6mkHWyh7P7V76tHH80z68MS3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nUXVX2AAAAAkBAAAPAAAAAAAAAAEAIAAAACIAAABkcnMvZG93&#10;bnJldi54bWxQSwECFAAUAAAACACHTuJA/IFtBwACAAAqBAAADgAAAAAAAAABACAAAAAnAQAAZHJz&#10;L2Uyb0RvYy54bWxQSwUGAAAAAAYABgBZAQAAmQUAAAAA&#10;">
                <v:fill on="t" focussize="0,0"/>
                <v:stroke color="#000000" joinstyle="miter"/>
                <v:imagedata o:title=""/>
                <o:lock v:ext="edit" aspectratio="f"/>
                <v:textbox>
                  <w:txbxContent>
                    <w:p>
                      <w:pPr>
                        <w:rPr>
                          <w:rStyle w:val="10"/>
                        </w:rPr>
                      </w:pPr>
                      <w:r>
                        <w:rPr>
                          <w:rStyle w:val="10"/>
                        </w:rPr>
                        <w:t xml:space="preserve">   H315</w:t>
                      </w:r>
                    </w:p>
                    <w:p>
                      <w:pPr>
                        <w:rPr>
                          <w:rStyle w:val="10"/>
                        </w:rPr>
                      </w:pPr>
                      <w:r>
                        <w:rPr>
                          <w:rStyle w:val="10"/>
                        </w:rPr>
                        <w:t xml:space="preserve">    16</w:t>
                      </w:r>
                    </w:p>
                    <w:p>
                      <w:pPr>
                        <w:rPr>
                          <w:rStyle w:val="10"/>
                        </w:rPr>
                      </w:pPr>
                    </w:p>
                  </w:txbxContent>
                </v:textbox>
              </v:rect>
            </w:pict>
          </mc:Fallback>
        </mc:AlternateContent>
      </w:r>
      <w:r>
        <w:rPr>
          <w:rStyle w:val="10"/>
          <w:rFonts w:ascii="宋体" w:hAnsi="宋体"/>
          <w:sz w:val="24"/>
          <w:szCs w:val="24"/>
        </w:rPr>
        <w:t>例：</w:t>
      </w:r>
    </w:p>
    <w:p>
      <w:pPr>
        <w:spacing w:line="360" w:lineRule="auto"/>
        <w:rPr>
          <w:rStyle w:val="10"/>
          <w:rFonts w:ascii="宋体" w:hAnsi="宋体"/>
          <w:sz w:val="24"/>
          <w:szCs w:val="24"/>
        </w:rPr>
      </w:pPr>
      <w:r>
        <mc:AlternateContent>
          <mc:Choice Requires="wps">
            <w:drawing>
              <wp:anchor distT="0" distB="0" distL="114300" distR="114300" simplePos="0" relativeHeight="251664384" behindDoc="0" locked="0" layoutInCell="1" allowOverlap="1">
                <wp:simplePos x="0" y="0"/>
                <wp:positionH relativeFrom="column">
                  <wp:posOffset>1162685</wp:posOffset>
                </wp:positionH>
                <wp:positionV relativeFrom="paragraph">
                  <wp:posOffset>140970</wp:posOffset>
                </wp:positionV>
                <wp:extent cx="1503045" cy="636905"/>
                <wp:effectExtent l="0" t="105410" r="0" b="108585"/>
                <wp:wrapNone/>
                <wp:docPr id="7" name="直线 166"/>
                <wp:cNvGraphicFramePr/>
                <a:graphic xmlns:a="http://schemas.openxmlformats.org/drawingml/2006/main">
                  <a:graphicData uri="http://schemas.microsoft.com/office/word/2010/wordprocessingShape">
                    <wps:wsp>
                      <wps:cNvCnPr/>
                      <wps:spPr>
                        <a:xfrm rot="-480000" flipH="1">
                          <a:off x="0" y="0"/>
                          <a:ext cx="1503045" cy="63690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6" o:spid="_x0000_s1026" o:spt="20" style="position:absolute;left:0pt;flip:x;margin-left:91.55pt;margin-top:11.1pt;height:50.15pt;width:118.35pt;rotation:524288f;z-index:251664384;mso-width-relative:page;mso-height-relative:page;" filled="f" stroked="t" coordsize="21600,21600" o:gfxdata="UEsDBAoAAAAAAIdO4kAAAAAAAAAAAAAAAAAEAAAAZHJzL1BLAwQUAAAACACHTuJA10I/MdkAAAAK&#10;AQAADwAAAGRycy9kb3ducmV2LnhtbE2PzU7DMBCE70i8g7VIXBB1Yn5UQpxKIBE4IVoQcNwmSxKI&#10;11HspuHtWU5wHM1o5pt8NbteTTSGzrOFdJGAIq583XFj4eX57nQJKkTkGnvPZOGbAqyKw4Mcs9rv&#10;eU3TJjZKSjhkaKGNcci0DlVLDsPCD8TiffjRYRQ5NroecS/lrtcmSS61w45locWBbluqvjY7Z2EO&#10;Nw9P4eQ+4tu67Kb3z9fykUtrj4/S5BpUpDn+heEXX9ChEKat33EdVC96eZZK1IIxBpQEztMr+bIV&#10;x5gL0EWu/18ofgBQSwMEFAAAAAgAh07iQCtqx7YGAgAA/gMAAA4AAABkcnMvZTJvRG9jLnhtbK1T&#10;y24TMRTdI/EPlvfNTNImtKNMumgoLBBEKnzAjR8zlvyS7WSSb+E3WLHhc/obXHtCCkVIXeCFde17&#10;fHzP8fXy9mA02YsQlbMtnU5qSoRljivbtfTL5/uLa0piAstBOytaehSR3q5ev1oOvhEz1zvNRSBI&#10;YmMz+Jb2KfmmqiLrhYE4cV5YTEoXDCRchq7iAQZkN7qa1fWiGlzgPjgmYsTd9ZikJ8bwEkInpWJi&#10;7djOCJtG1iA0JJQUe+UjXZVqpRQsfZIyikR0S1FpKjNegvE2z9VqCU0XwPeKnUqAl5TwTJMBZfHS&#10;M9UaEpBdUH9RGcWCi06mCXOmGoUUR1DFtH7mzUMPXhQtaHX0Z9Pj/6NlH/ebQBRv6RtKLBh88Mev&#10;3x6//yDTxSK7M/jYIOjObsJpFf0mZKkHGQwJDi29uLqucVAitfLvsamKFSiOHIrTx7PT4pAIw83p&#10;vL6sr+aUMMwtLhc39TxfVo2smd2HmN4JZ0gOWqqVzU5AA/sPMY3QX5C8rS0ZWnozn2VOwLaU2A4Y&#10;Go/Sou3K2ei04vdK63wihm57pwPZQ26NMk4l/AHLl6wh9iOupDIMml4Af2s5SUePpln8KzSXYASn&#10;RAv8WjkqyARKPyFTUGA7/Q80OqAtGpFtH43O0dbxIz7TzgfV9ejGtFSaM9gWxbZTC+e++31dmJ6+&#10;7e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10I/MdkAAAAKAQAADwAAAAAAAAABACAAAAAiAAAA&#10;ZHJzL2Rvd25yZXYueG1sUEsBAhQAFAAAAAgAh07iQCtqx7YGAgAA/gMAAA4AAAAAAAAAAQAgAAAA&#10;KAEAAGRycy9lMm9Eb2MueG1sUEsFBgAAAAAGAAYAWQEAAKAFAAAAAA==&#10;">
                <v:fill on="f" focussize="0,0"/>
                <v:stroke color="#000000" joinstyle="round" endarrow="block"/>
                <v:imagedata o:title=""/>
                <o:lock v:ext="edit" aspectratio="f"/>
              </v:line>
            </w:pict>
          </mc:Fallback>
        </mc:AlternateContent>
      </w:r>
      <w:r>
        <w:rPr>
          <w:rStyle w:val="10"/>
          <w:rFonts w:ascii="宋体" w:hAnsi="宋体"/>
          <w:sz w:val="24"/>
          <w:szCs w:val="24"/>
        </w:rPr>
        <w:t>　　　　　　　　</w:t>
      </w:r>
    </w:p>
    <w:p>
      <w:pPr>
        <w:spacing w:line="360" w:lineRule="auto"/>
        <w:ind w:firstLine="3000" w:firstLineChars="1250"/>
        <w:rPr>
          <w:rStyle w:val="10"/>
          <w:rFonts w:ascii="宋体" w:hAnsi="宋体"/>
          <w:sz w:val="24"/>
          <w:szCs w:val="24"/>
        </w:rPr>
      </w:pPr>
      <w:r>
        <w:rPr>
          <w:rStyle w:val="10"/>
          <w:rFonts w:ascii="宋体" w:hAnsi="宋体"/>
          <w:sz w:val="24"/>
          <w:szCs w:val="24"/>
        </w:rPr>
        <w:t>5.5×3.7（cm）    深蓝色边框</w:t>
      </w:r>
    </w:p>
    <w:p>
      <w:pPr>
        <w:spacing w:line="360" w:lineRule="auto"/>
        <w:rPr>
          <w:rStyle w:val="10"/>
          <w:rFonts w:ascii="宋体" w:hAnsi="宋体"/>
          <w:sz w:val="24"/>
          <w:szCs w:val="24"/>
        </w:rPr>
      </w:pPr>
      <w:r>
        <w:rPr>
          <w:rStyle w:val="10"/>
          <w:rFonts w:ascii="宋体" w:hAnsi="宋体"/>
          <w:sz w:val="24"/>
          <w:szCs w:val="24"/>
        </w:rPr>
        <w:t>　　　　　索书号设置：　居中、宋体、粗体、小四号字。</w:t>
      </w:r>
    </w:p>
    <w:p>
      <w:pPr>
        <w:spacing w:line="360" w:lineRule="auto"/>
        <w:ind w:firstLine="120" w:firstLineChars="50"/>
        <w:rPr>
          <w:rStyle w:val="10"/>
          <w:rFonts w:ascii="宋体" w:hAnsi="宋体"/>
          <w:sz w:val="24"/>
          <w:szCs w:val="24"/>
        </w:rPr>
      </w:pPr>
      <w:r>
        <w:rPr>
          <w:rStyle w:val="10"/>
          <w:rFonts w:ascii="宋体" w:hAnsi="宋体"/>
          <w:sz w:val="24"/>
          <w:szCs w:val="24"/>
        </w:rPr>
        <w:t>3.胶带：胶带宽度为2.5CM</w:t>
      </w:r>
    </w:p>
    <w:p>
      <w:pPr>
        <w:spacing w:line="360" w:lineRule="auto"/>
        <w:rPr>
          <w:rStyle w:val="10"/>
          <w:rFonts w:ascii="宋体" w:hAnsi="宋体"/>
          <w:b/>
          <w:sz w:val="24"/>
          <w:szCs w:val="24"/>
        </w:rPr>
      </w:pPr>
      <w:r>
        <w:rPr>
          <w:rStyle w:val="10"/>
          <w:rFonts w:ascii="宋体" w:hAnsi="宋体"/>
          <w:b/>
          <w:sz w:val="24"/>
          <w:szCs w:val="24"/>
        </w:rPr>
        <w:t>四）财产清单要求</w:t>
      </w:r>
    </w:p>
    <w:p>
      <w:pPr>
        <w:spacing w:line="360" w:lineRule="auto"/>
        <w:ind w:left="240" w:hanging="240"/>
        <w:rPr>
          <w:rStyle w:val="10"/>
          <w:rFonts w:ascii="宋体" w:hAnsi="宋体"/>
          <w:sz w:val="24"/>
          <w:szCs w:val="24"/>
        </w:rPr>
      </w:pPr>
      <w:r>
        <w:rPr>
          <w:rStyle w:val="10"/>
          <w:rFonts w:ascii="宋体" w:hAnsi="宋体"/>
          <w:sz w:val="24"/>
          <w:szCs w:val="24"/>
        </w:rPr>
        <w:t>1.图书验收完成后，打印图书财产帐清单。每批次财产帐清单标题栏下加“书商简称+年度+批次号”，如“ZS06-1”、“HM06-1”等。</w:t>
      </w:r>
    </w:p>
    <w:p>
      <w:pPr>
        <w:spacing w:line="360" w:lineRule="auto"/>
        <w:rPr>
          <w:rStyle w:val="10"/>
          <w:rFonts w:ascii="宋体" w:hAnsi="宋体"/>
          <w:sz w:val="24"/>
          <w:szCs w:val="24"/>
        </w:rPr>
      </w:pPr>
      <w:r>
        <w:rPr>
          <w:rStyle w:val="10"/>
          <w:rFonts w:ascii="宋体" w:hAnsi="宋体"/>
          <w:sz w:val="24"/>
          <w:szCs w:val="24"/>
        </w:rPr>
        <w:t>2.格式：要求统一、项目详细、清楚。</w:t>
      </w:r>
    </w:p>
    <w:p>
      <w:pPr>
        <w:spacing w:line="360" w:lineRule="auto"/>
        <w:rPr>
          <w:rStyle w:val="10"/>
          <w:rFonts w:ascii="宋体" w:hAnsi="宋体"/>
          <w:sz w:val="24"/>
          <w:szCs w:val="24"/>
        </w:rPr>
      </w:pPr>
      <w:r>
        <w:rPr>
          <w:rStyle w:val="10"/>
          <w:rFonts w:ascii="宋体" w:hAnsi="宋体"/>
          <w:sz w:val="24"/>
          <w:szCs w:val="24"/>
        </w:rPr>
        <w:t>3.用A4纸，纵向打印。</w:t>
      </w:r>
    </w:p>
    <w:tbl>
      <w:tblPr>
        <w:tblStyle w:val="6"/>
        <w:tblW w:w="9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15"/>
        <w:gridCol w:w="2511"/>
        <w:gridCol w:w="1865"/>
        <w:gridCol w:w="1582"/>
        <w:gridCol w:w="557"/>
        <w:gridCol w:w="958"/>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9375" w:type="dxa"/>
            <w:gridSpan w:val="7"/>
            <w:tcBorders>
              <w:top w:val="nil"/>
              <w:left w:val="nil"/>
              <w:bottom w:val="nil"/>
              <w:right w:val="nil"/>
            </w:tcBorders>
            <w:vAlign w:val="center"/>
          </w:tcPr>
          <w:p>
            <w:pPr>
              <w:spacing w:line="360" w:lineRule="auto"/>
              <w:rPr>
                <w:rStyle w:val="10"/>
                <w:rFonts w:ascii="宋体" w:hAnsi="宋体"/>
                <w:sz w:val="24"/>
                <w:szCs w:val="24"/>
              </w:rPr>
            </w:pPr>
            <w:r>
              <w:rPr>
                <w:rStyle w:val="10"/>
                <w:rFonts w:ascii="宋体" w:hAnsi="宋体"/>
                <w:sz w:val="24"/>
                <w:szCs w:val="24"/>
              </w:rPr>
              <w:t>例：ZS06-1        泰州职业技术学院图书馆图书财产帐清单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915" w:type="dxa"/>
            <w:tcBorders>
              <w:top w:val="single" w:color="000000" w:sz="4" w:space="0"/>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财产号</w:t>
            </w:r>
          </w:p>
        </w:tc>
        <w:tc>
          <w:tcPr>
            <w:tcW w:w="2511" w:type="dxa"/>
            <w:tcBorders>
              <w:top w:val="single" w:color="000000" w:sz="4" w:space="0"/>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书名</w:t>
            </w:r>
          </w:p>
        </w:tc>
        <w:tc>
          <w:tcPr>
            <w:tcW w:w="1865" w:type="dxa"/>
            <w:tcBorders>
              <w:top w:val="single" w:color="000000" w:sz="4" w:space="0"/>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作者</w:t>
            </w:r>
          </w:p>
        </w:tc>
        <w:tc>
          <w:tcPr>
            <w:tcW w:w="1582" w:type="dxa"/>
            <w:tcBorders>
              <w:top w:val="single" w:color="000000" w:sz="4" w:space="0"/>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出版社</w:t>
            </w:r>
          </w:p>
        </w:tc>
        <w:tc>
          <w:tcPr>
            <w:tcW w:w="557" w:type="dxa"/>
            <w:tcBorders>
              <w:top w:val="single" w:color="000000" w:sz="4" w:space="0"/>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出版年</w:t>
            </w:r>
          </w:p>
        </w:tc>
        <w:tc>
          <w:tcPr>
            <w:tcW w:w="958" w:type="dxa"/>
            <w:tcBorders>
              <w:top w:val="single" w:color="000000" w:sz="4" w:space="0"/>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索书号</w:t>
            </w:r>
          </w:p>
        </w:tc>
        <w:tc>
          <w:tcPr>
            <w:tcW w:w="987" w:type="dxa"/>
            <w:tcBorders>
              <w:top w:val="single" w:color="000000" w:sz="4" w:space="0"/>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人民币价格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915" w:type="dxa"/>
            <w:tcBorders>
              <w:top w:val="nil"/>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B07000001</w:t>
            </w:r>
          </w:p>
        </w:tc>
        <w:tc>
          <w:tcPr>
            <w:tcW w:w="2511"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至高无上:当我啃完大英百科全书</w:t>
            </w:r>
          </w:p>
        </w:tc>
        <w:tc>
          <w:tcPr>
            <w:tcW w:w="1865"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(美)A·J·雅各布著</w:t>
            </w:r>
          </w:p>
        </w:tc>
        <w:tc>
          <w:tcPr>
            <w:tcW w:w="1582"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复旦大学出版社</w:t>
            </w:r>
          </w:p>
        </w:tc>
        <w:tc>
          <w:tcPr>
            <w:tcW w:w="55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2005</w:t>
            </w:r>
          </w:p>
        </w:tc>
        <w:tc>
          <w:tcPr>
            <w:tcW w:w="958"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G792/7</w:t>
            </w:r>
          </w:p>
        </w:tc>
        <w:tc>
          <w:tcPr>
            <w:tcW w:w="98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915" w:type="dxa"/>
            <w:tcBorders>
              <w:top w:val="nil"/>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B07000002</w:t>
            </w:r>
          </w:p>
        </w:tc>
        <w:tc>
          <w:tcPr>
            <w:tcW w:w="2511"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至高无上:当我啃完大英百科全书</w:t>
            </w:r>
          </w:p>
        </w:tc>
        <w:tc>
          <w:tcPr>
            <w:tcW w:w="1865"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(美)A·J·雅各布著</w:t>
            </w:r>
          </w:p>
        </w:tc>
        <w:tc>
          <w:tcPr>
            <w:tcW w:w="1582"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复旦大学出版社</w:t>
            </w:r>
          </w:p>
        </w:tc>
        <w:tc>
          <w:tcPr>
            <w:tcW w:w="55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2005</w:t>
            </w:r>
          </w:p>
        </w:tc>
        <w:tc>
          <w:tcPr>
            <w:tcW w:w="958"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G792/7</w:t>
            </w:r>
          </w:p>
        </w:tc>
        <w:tc>
          <w:tcPr>
            <w:tcW w:w="98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915" w:type="dxa"/>
            <w:tcBorders>
              <w:top w:val="nil"/>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B07000003</w:t>
            </w:r>
          </w:p>
        </w:tc>
        <w:tc>
          <w:tcPr>
            <w:tcW w:w="2511"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至高无上:当我啃完大英百科全书</w:t>
            </w:r>
          </w:p>
        </w:tc>
        <w:tc>
          <w:tcPr>
            <w:tcW w:w="1865"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(美)A·J·雅各布著</w:t>
            </w:r>
          </w:p>
        </w:tc>
        <w:tc>
          <w:tcPr>
            <w:tcW w:w="1582"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复旦大学出版社</w:t>
            </w:r>
          </w:p>
        </w:tc>
        <w:tc>
          <w:tcPr>
            <w:tcW w:w="55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2005</w:t>
            </w:r>
          </w:p>
        </w:tc>
        <w:tc>
          <w:tcPr>
            <w:tcW w:w="958"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G792/7</w:t>
            </w:r>
          </w:p>
        </w:tc>
        <w:tc>
          <w:tcPr>
            <w:tcW w:w="98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915" w:type="dxa"/>
            <w:tcBorders>
              <w:top w:val="nil"/>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B07000004</w:t>
            </w:r>
          </w:p>
        </w:tc>
        <w:tc>
          <w:tcPr>
            <w:tcW w:w="2511"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至高无上:当我啃完大英百科全书</w:t>
            </w:r>
          </w:p>
        </w:tc>
        <w:tc>
          <w:tcPr>
            <w:tcW w:w="1865"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(美)A·J·雅各布著</w:t>
            </w:r>
          </w:p>
        </w:tc>
        <w:tc>
          <w:tcPr>
            <w:tcW w:w="1582"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复旦大学出版社</w:t>
            </w:r>
          </w:p>
        </w:tc>
        <w:tc>
          <w:tcPr>
            <w:tcW w:w="55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2005</w:t>
            </w:r>
          </w:p>
        </w:tc>
        <w:tc>
          <w:tcPr>
            <w:tcW w:w="958"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G792/7</w:t>
            </w:r>
          </w:p>
        </w:tc>
        <w:tc>
          <w:tcPr>
            <w:tcW w:w="98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5" w:type="dxa"/>
            <w:tcBorders>
              <w:top w:val="nil"/>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B07000005</w:t>
            </w:r>
          </w:p>
        </w:tc>
        <w:tc>
          <w:tcPr>
            <w:tcW w:w="2511"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咖啡:一种从容和谐的职场智慧</w:t>
            </w:r>
          </w:p>
        </w:tc>
        <w:tc>
          <w:tcPr>
            <w:tcW w:w="1865"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(美)查克·马丁(Chuck Martin)著</w:t>
            </w:r>
          </w:p>
        </w:tc>
        <w:tc>
          <w:tcPr>
            <w:tcW w:w="1582"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北京师范大学出版社</w:t>
            </w:r>
          </w:p>
        </w:tc>
        <w:tc>
          <w:tcPr>
            <w:tcW w:w="55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2005</w:t>
            </w:r>
          </w:p>
        </w:tc>
        <w:tc>
          <w:tcPr>
            <w:tcW w:w="958"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B848.4/165</w:t>
            </w:r>
          </w:p>
        </w:tc>
        <w:tc>
          <w:tcPr>
            <w:tcW w:w="98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5" w:type="dxa"/>
            <w:tcBorders>
              <w:top w:val="nil"/>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B07000006</w:t>
            </w:r>
          </w:p>
        </w:tc>
        <w:tc>
          <w:tcPr>
            <w:tcW w:w="2511"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咖啡:一种从容和谐的职场智慧</w:t>
            </w:r>
          </w:p>
        </w:tc>
        <w:tc>
          <w:tcPr>
            <w:tcW w:w="1865"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(美)查克·马丁(Chuck Martin)著</w:t>
            </w:r>
          </w:p>
        </w:tc>
        <w:tc>
          <w:tcPr>
            <w:tcW w:w="1582"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北京师范大学出版社</w:t>
            </w:r>
          </w:p>
        </w:tc>
        <w:tc>
          <w:tcPr>
            <w:tcW w:w="55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2005</w:t>
            </w:r>
          </w:p>
        </w:tc>
        <w:tc>
          <w:tcPr>
            <w:tcW w:w="958"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B848.4/165</w:t>
            </w:r>
          </w:p>
        </w:tc>
        <w:tc>
          <w:tcPr>
            <w:tcW w:w="98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5" w:type="dxa"/>
            <w:tcBorders>
              <w:top w:val="nil"/>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B07000007</w:t>
            </w:r>
          </w:p>
        </w:tc>
        <w:tc>
          <w:tcPr>
            <w:tcW w:w="2511"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咖啡:一种从容和谐的职场智慧</w:t>
            </w:r>
          </w:p>
        </w:tc>
        <w:tc>
          <w:tcPr>
            <w:tcW w:w="1865"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(美)查克·马丁(Chuck Martin)著</w:t>
            </w:r>
          </w:p>
        </w:tc>
        <w:tc>
          <w:tcPr>
            <w:tcW w:w="1582"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北京师范大学出版社</w:t>
            </w:r>
          </w:p>
        </w:tc>
        <w:tc>
          <w:tcPr>
            <w:tcW w:w="55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2005</w:t>
            </w:r>
          </w:p>
        </w:tc>
        <w:tc>
          <w:tcPr>
            <w:tcW w:w="958"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B848.4/165</w:t>
            </w:r>
          </w:p>
        </w:tc>
        <w:tc>
          <w:tcPr>
            <w:tcW w:w="98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5" w:type="dxa"/>
            <w:tcBorders>
              <w:top w:val="nil"/>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B07000008</w:t>
            </w:r>
          </w:p>
        </w:tc>
        <w:tc>
          <w:tcPr>
            <w:tcW w:w="2511"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咖啡:一种从容和谐的职场智慧</w:t>
            </w:r>
          </w:p>
        </w:tc>
        <w:tc>
          <w:tcPr>
            <w:tcW w:w="1865"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(美)查克·马丁(Chuck Martin)著</w:t>
            </w:r>
          </w:p>
        </w:tc>
        <w:tc>
          <w:tcPr>
            <w:tcW w:w="1582"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北京师范大学出版社</w:t>
            </w:r>
          </w:p>
        </w:tc>
        <w:tc>
          <w:tcPr>
            <w:tcW w:w="55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2005</w:t>
            </w:r>
          </w:p>
        </w:tc>
        <w:tc>
          <w:tcPr>
            <w:tcW w:w="958"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B848.4/165</w:t>
            </w:r>
          </w:p>
        </w:tc>
        <w:tc>
          <w:tcPr>
            <w:tcW w:w="98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16.80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915" w:type="dxa"/>
            <w:tcBorders>
              <w:top w:val="nil"/>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B07000009</w:t>
            </w:r>
          </w:p>
        </w:tc>
        <w:tc>
          <w:tcPr>
            <w:tcW w:w="2511"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新剑桥商务英语.中级,词汇用法</w:t>
            </w:r>
          </w:p>
        </w:tc>
        <w:tc>
          <w:tcPr>
            <w:tcW w:w="1865"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Bill Mascull</w:t>
            </w:r>
          </w:p>
        </w:tc>
        <w:tc>
          <w:tcPr>
            <w:tcW w:w="1582"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人民邮电出版社</w:t>
            </w:r>
          </w:p>
        </w:tc>
        <w:tc>
          <w:tcPr>
            <w:tcW w:w="55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2005</w:t>
            </w:r>
          </w:p>
        </w:tc>
        <w:tc>
          <w:tcPr>
            <w:tcW w:w="958"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H313/148</w:t>
            </w:r>
          </w:p>
        </w:tc>
        <w:tc>
          <w:tcPr>
            <w:tcW w:w="98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915" w:type="dxa"/>
            <w:tcBorders>
              <w:top w:val="nil"/>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B07000010</w:t>
            </w:r>
          </w:p>
        </w:tc>
        <w:tc>
          <w:tcPr>
            <w:tcW w:w="2511"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新剑桥商务英语.中级,词汇用法</w:t>
            </w:r>
          </w:p>
        </w:tc>
        <w:tc>
          <w:tcPr>
            <w:tcW w:w="1865"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Bill Mascull</w:t>
            </w:r>
          </w:p>
        </w:tc>
        <w:tc>
          <w:tcPr>
            <w:tcW w:w="1582"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人民邮电出版社</w:t>
            </w:r>
          </w:p>
        </w:tc>
        <w:tc>
          <w:tcPr>
            <w:tcW w:w="55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2005</w:t>
            </w:r>
          </w:p>
        </w:tc>
        <w:tc>
          <w:tcPr>
            <w:tcW w:w="958"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H313/148</w:t>
            </w:r>
          </w:p>
        </w:tc>
        <w:tc>
          <w:tcPr>
            <w:tcW w:w="98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915" w:type="dxa"/>
            <w:tcBorders>
              <w:top w:val="nil"/>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B07000011</w:t>
            </w:r>
          </w:p>
        </w:tc>
        <w:tc>
          <w:tcPr>
            <w:tcW w:w="2511"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讨山记</w:t>
            </w:r>
          </w:p>
        </w:tc>
        <w:tc>
          <w:tcPr>
            <w:tcW w:w="1865"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阿宝图文</w:t>
            </w:r>
          </w:p>
        </w:tc>
        <w:tc>
          <w:tcPr>
            <w:tcW w:w="1582"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湖南文艺出版社</w:t>
            </w:r>
          </w:p>
        </w:tc>
        <w:tc>
          <w:tcPr>
            <w:tcW w:w="55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2005</w:t>
            </w:r>
          </w:p>
        </w:tc>
        <w:tc>
          <w:tcPr>
            <w:tcW w:w="958"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I25/898</w:t>
            </w:r>
          </w:p>
        </w:tc>
        <w:tc>
          <w:tcPr>
            <w:tcW w:w="98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915" w:type="dxa"/>
            <w:tcBorders>
              <w:top w:val="nil"/>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B07000012</w:t>
            </w:r>
          </w:p>
        </w:tc>
        <w:tc>
          <w:tcPr>
            <w:tcW w:w="2511"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讨山记</w:t>
            </w:r>
          </w:p>
        </w:tc>
        <w:tc>
          <w:tcPr>
            <w:tcW w:w="1865"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阿宝图文</w:t>
            </w:r>
          </w:p>
        </w:tc>
        <w:tc>
          <w:tcPr>
            <w:tcW w:w="1582"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湖南文艺出版社</w:t>
            </w:r>
          </w:p>
        </w:tc>
        <w:tc>
          <w:tcPr>
            <w:tcW w:w="55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2005</w:t>
            </w:r>
          </w:p>
        </w:tc>
        <w:tc>
          <w:tcPr>
            <w:tcW w:w="958"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I25/898</w:t>
            </w:r>
          </w:p>
        </w:tc>
        <w:tc>
          <w:tcPr>
            <w:tcW w:w="98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915" w:type="dxa"/>
            <w:tcBorders>
              <w:top w:val="nil"/>
              <w:left w:val="single" w:color="000000" w:sz="4" w:space="0"/>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B07000013</w:t>
            </w:r>
          </w:p>
        </w:tc>
        <w:tc>
          <w:tcPr>
            <w:tcW w:w="2511"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讨山记</w:t>
            </w:r>
          </w:p>
        </w:tc>
        <w:tc>
          <w:tcPr>
            <w:tcW w:w="1865"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阿宝图文</w:t>
            </w:r>
          </w:p>
        </w:tc>
        <w:tc>
          <w:tcPr>
            <w:tcW w:w="1582"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湖南文艺出版社</w:t>
            </w:r>
          </w:p>
        </w:tc>
        <w:tc>
          <w:tcPr>
            <w:tcW w:w="55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2005</w:t>
            </w:r>
          </w:p>
        </w:tc>
        <w:tc>
          <w:tcPr>
            <w:tcW w:w="958"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I25/898</w:t>
            </w:r>
          </w:p>
        </w:tc>
        <w:tc>
          <w:tcPr>
            <w:tcW w:w="987" w:type="dxa"/>
            <w:tcBorders>
              <w:top w:val="nil"/>
              <w:left w:val="nil"/>
              <w:bottom w:val="single" w:color="000000" w:sz="4" w:space="0"/>
              <w:right w:val="single" w:color="000000" w:sz="4" w:space="0"/>
            </w:tcBorders>
            <w:vAlign w:val="center"/>
          </w:tcPr>
          <w:p>
            <w:pPr>
              <w:spacing w:line="360" w:lineRule="auto"/>
              <w:rPr>
                <w:rStyle w:val="10"/>
                <w:rFonts w:ascii="宋体" w:hAnsi="宋体"/>
                <w:sz w:val="24"/>
                <w:szCs w:val="24"/>
              </w:rPr>
            </w:pPr>
            <w:r>
              <w:rPr>
                <w:rStyle w:val="10"/>
                <w:rFonts w:ascii="宋体" w:hAnsi="宋体"/>
                <w:sz w:val="24"/>
                <w:szCs w:val="24"/>
              </w:rPr>
              <w:t>20.00</w:t>
            </w:r>
          </w:p>
        </w:tc>
      </w:tr>
    </w:tbl>
    <w:p>
      <w:pPr>
        <w:spacing w:line="360" w:lineRule="auto"/>
        <w:rPr>
          <w:rStyle w:val="10"/>
          <w:rFonts w:ascii="宋体" w:hAnsi="宋体"/>
          <w:b/>
          <w:sz w:val="24"/>
          <w:szCs w:val="24"/>
        </w:rPr>
      </w:pPr>
      <w:r>
        <w:rPr>
          <w:rStyle w:val="10"/>
          <w:rFonts w:ascii="宋体" w:hAnsi="宋体"/>
          <w:b/>
          <w:sz w:val="24"/>
          <w:szCs w:val="24"/>
        </w:rPr>
        <w:t>五）、非书资料的加工</w:t>
      </w:r>
    </w:p>
    <w:p>
      <w:pPr>
        <w:tabs>
          <w:tab w:val="left" w:pos="5280"/>
        </w:tabs>
        <w:spacing w:line="360" w:lineRule="auto"/>
        <w:rPr>
          <w:rStyle w:val="10"/>
          <w:rFonts w:ascii="宋体" w:hAnsi="宋体"/>
          <w:sz w:val="24"/>
          <w:szCs w:val="24"/>
        </w:rPr>
      </w:pPr>
      <w:r>
        <w:rPr>
          <w:rStyle w:val="10"/>
          <w:rFonts w:ascii="宋体" w:hAnsi="宋体"/>
          <w:sz w:val="24"/>
          <w:szCs w:val="24"/>
        </w:rPr>
        <w:t>1.随书光盘加工</w:t>
      </w:r>
    </w:p>
    <w:p>
      <w:pPr>
        <w:spacing w:line="360" w:lineRule="auto"/>
        <w:rPr>
          <w:rStyle w:val="10"/>
          <w:rFonts w:ascii="宋体" w:hAnsi="宋体"/>
          <w:sz w:val="24"/>
          <w:szCs w:val="24"/>
        </w:rPr>
      </w:pPr>
      <w:r>
        <w:rPr>
          <w:rStyle w:val="10"/>
          <w:rFonts w:ascii="宋体" w:hAnsi="宋体"/>
          <w:sz w:val="24"/>
          <w:szCs w:val="24"/>
        </w:rPr>
        <w:t>1.1贴条形码:可将以D开头的条形码贴于光盘上，尽量不覆盖到文字。</w:t>
      </w:r>
    </w:p>
    <w:p>
      <w:pPr>
        <w:spacing w:line="360" w:lineRule="auto"/>
        <w:rPr>
          <w:rStyle w:val="10"/>
          <w:rFonts w:ascii="宋体" w:hAnsi="宋体"/>
          <w:sz w:val="24"/>
          <w:szCs w:val="24"/>
        </w:rPr>
      </w:pPr>
      <w:r>
        <w:rPr>
          <w:rStyle w:val="10"/>
          <w:rFonts w:ascii="宋体" w:hAnsi="宋体"/>
          <w:sz w:val="24"/>
          <w:szCs w:val="24"/>
        </w:rPr>
        <w:t>1.2以回溯添加的方式，将财产信息添加到对应图书的MARC数据中。</w:t>
      </w:r>
    </w:p>
    <w:p>
      <w:pPr>
        <w:spacing w:line="360" w:lineRule="auto"/>
        <w:ind w:firstLine="480" w:firstLineChars="200"/>
        <w:rPr>
          <w:rStyle w:val="10"/>
          <w:rFonts w:ascii="宋体" w:hAnsi="宋体"/>
          <w:sz w:val="24"/>
          <w:szCs w:val="24"/>
        </w:rPr>
      </w:pPr>
      <w:r>
        <w:rPr>
          <w:rStyle w:val="10"/>
          <w:rFonts w:ascii="宋体" w:hAnsi="宋体"/>
          <w:sz w:val="24"/>
          <w:szCs w:val="24"/>
        </w:rPr>
        <w:t>例：馆藏地：视听阅览室　载体类型：视听光盘　价格：0</w:t>
      </w:r>
    </w:p>
    <w:p>
      <w:pPr>
        <w:spacing w:line="360" w:lineRule="auto"/>
        <w:ind w:firstLine="480" w:firstLineChars="200"/>
        <w:rPr>
          <w:rStyle w:val="10"/>
          <w:rFonts w:ascii="宋体" w:hAnsi="宋体"/>
          <w:sz w:val="24"/>
          <w:szCs w:val="24"/>
        </w:rPr>
      </w:pPr>
      <w:r>
        <w:rPr>
          <w:rStyle w:val="10"/>
          <w:rFonts w:ascii="宋体" w:hAnsi="宋体"/>
          <w:sz w:val="24"/>
          <w:szCs w:val="24"/>
        </w:rPr>
        <w:t>借阅状态：所有复本光盘状态为：可借。</w:t>
      </w:r>
    </w:p>
    <w:p>
      <w:pPr>
        <w:spacing w:line="360" w:lineRule="auto"/>
        <w:ind w:left="480" w:hanging="480"/>
        <w:rPr>
          <w:rStyle w:val="10"/>
          <w:rFonts w:ascii="宋体" w:hAnsi="宋体"/>
          <w:sz w:val="24"/>
          <w:szCs w:val="24"/>
        </w:rPr>
      </w:pPr>
      <w:r>
        <w:rPr>
          <w:rStyle w:val="10"/>
          <w:rFonts w:ascii="宋体" w:hAnsi="宋体"/>
          <w:sz w:val="24"/>
          <w:szCs w:val="24"/>
        </w:rPr>
        <w:t>1.3光盘索书号的取号规则：与配套图书的索书号一致；打印出光盘标签贴于封套的左上角；光盘上用黑色记号笔手写索书号。</w:t>
      </w:r>
    </w:p>
    <w:p>
      <w:pPr>
        <w:spacing w:line="360" w:lineRule="auto"/>
        <w:rPr>
          <w:rStyle w:val="10"/>
          <w:rFonts w:ascii="宋体" w:hAnsi="宋体"/>
          <w:sz w:val="24"/>
          <w:szCs w:val="24"/>
        </w:rPr>
      </w:pPr>
      <w:r>
        <w:rPr>
          <w:rStyle w:val="10"/>
          <w:rFonts w:ascii="宋体" w:hAnsi="宋体"/>
          <w:sz w:val="24"/>
          <w:szCs w:val="24"/>
          <w:lang w:val="zh-CN"/>
        </w:rPr>
        <w:t>2.随书磁带加工: 同随书光盘加工。　　　　　</w:t>
      </w:r>
    </w:p>
    <w:p>
      <w:pPr>
        <w:spacing w:line="360" w:lineRule="auto"/>
        <w:rPr>
          <w:rStyle w:val="10"/>
          <w:rFonts w:ascii="宋体" w:hAnsi="宋体"/>
          <w:b/>
          <w:bCs/>
          <w:sz w:val="24"/>
          <w:szCs w:val="24"/>
        </w:rPr>
      </w:pPr>
      <w:r>
        <w:rPr>
          <w:rStyle w:val="10"/>
          <w:rFonts w:ascii="宋体" w:hAnsi="宋体"/>
          <w:b/>
          <w:bCs/>
          <w:sz w:val="24"/>
          <w:szCs w:val="24"/>
        </w:rPr>
        <w:t>六）打包要求</w:t>
      </w:r>
    </w:p>
    <w:p>
      <w:pPr>
        <w:spacing w:line="360" w:lineRule="auto"/>
        <w:rPr>
          <w:rStyle w:val="10"/>
          <w:rFonts w:ascii="宋体" w:hAnsi="宋体"/>
          <w:sz w:val="24"/>
          <w:szCs w:val="24"/>
        </w:rPr>
      </w:pPr>
      <w:r>
        <w:rPr>
          <w:rStyle w:val="10"/>
          <w:rFonts w:ascii="宋体" w:hAnsi="宋体"/>
          <w:sz w:val="24"/>
          <w:szCs w:val="24"/>
        </w:rPr>
        <w:t>1、光盘集中打包，不附在书中。</w:t>
      </w:r>
    </w:p>
    <w:p>
      <w:pPr>
        <w:spacing w:line="360" w:lineRule="auto"/>
        <w:rPr>
          <w:rStyle w:val="10"/>
          <w:rFonts w:ascii="宋体" w:hAnsi="宋体"/>
          <w:sz w:val="24"/>
          <w:szCs w:val="24"/>
        </w:rPr>
      </w:pPr>
      <w:r>
        <w:rPr>
          <w:rStyle w:val="10"/>
          <w:rFonts w:ascii="宋体" w:hAnsi="宋体"/>
          <w:sz w:val="24"/>
          <w:szCs w:val="24"/>
        </w:rPr>
        <w:t>2、每包要附送书清单，每一批次要附财产清单。</w:t>
      </w:r>
    </w:p>
    <w:p>
      <w:pPr>
        <w:pStyle w:val="32"/>
        <w:spacing w:line="360" w:lineRule="auto"/>
        <w:ind w:firstLine="480" w:firstLineChars="200"/>
        <w:rPr>
          <w:rStyle w:val="10"/>
          <w:rFonts w:ascii="宋体" w:hAnsi="宋体"/>
          <w:bCs/>
          <w:sz w:val="24"/>
          <w:szCs w:val="22"/>
        </w:rPr>
      </w:pPr>
    </w:p>
    <w:p>
      <w:pPr>
        <w:pStyle w:val="9"/>
        <w:pageBreakBefore/>
        <w:rPr>
          <w:rStyle w:val="10"/>
          <w:rFonts w:ascii="黑体" w:hAnsi="黑体" w:eastAsia="黑体"/>
          <w:szCs w:val="22"/>
        </w:rPr>
      </w:pPr>
      <w:r>
        <w:rPr>
          <w:rStyle w:val="10"/>
          <w:rFonts w:ascii="黑体" w:hAnsi="黑体" w:eastAsia="黑体"/>
          <w:szCs w:val="22"/>
        </w:rPr>
        <w:t>四．合同格式（仅供参考）</w:t>
      </w:r>
    </w:p>
    <w:p>
      <w:pPr>
        <w:spacing w:line="360" w:lineRule="auto"/>
        <w:jc w:val="center"/>
        <w:rPr>
          <w:rStyle w:val="10"/>
          <w:rFonts w:ascii="楷体_GB2312" w:eastAsia="楷体_GB2312"/>
          <w:color w:val="0000FF"/>
          <w:sz w:val="30"/>
          <w:szCs w:val="30"/>
        </w:rPr>
      </w:pPr>
      <w:r>
        <w:rPr>
          <w:rStyle w:val="10"/>
          <w:rFonts w:ascii="楷体_GB2312" w:eastAsia="楷体_GB2312"/>
          <w:color w:val="0000FF"/>
          <w:sz w:val="30"/>
          <w:szCs w:val="30"/>
        </w:rPr>
        <w:t>2022年折扣图书定点采购合同</w:t>
      </w:r>
    </w:p>
    <w:p>
      <w:pPr>
        <w:spacing w:line="360" w:lineRule="auto"/>
        <w:rPr>
          <w:rStyle w:val="10"/>
          <w:rFonts w:ascii="宋体" w:hAnsi="宋体"/>
          <w:bCs/>
          <w:sz w:val="24"/>
          <w:szCs w:val="24"/>
          <w:u w:val="single"/>
        </w:rPr>
      </w:pPr>
      <w:r>
        <w:rPr>
          <w:rStyle w:val="10"/>
          <w:rFonts w:ascii="宋体" w:hAnsi="宋体"/>
          <w:bCs/>
          <w:sz w:val="24"/>
          <w:szCs w:val="24"/>
        </w:rPr>
        <w:t xml:space="preserve">甲方： </w:t>
      </w:r>
      <w:r>
        <w:rPr>
          <w:rStyle w:val="10"/>
          <w:rFonts w:ascii="宋体" w:hAnsi="宋体"/>
          <w:bCs/>
          <w:sz w:val="24"/>
          <w:szCs w:val="24"/>
          <w:u w:val="single" w:color="000000"/>
        </w:rPr>
        <w:t xml:space="preserve">泰州职业技术学院 </w:t>
      </w:r>
    </w:p>
    <w:p>
      <w:pPr>
        <w:spacing w:line="360" w:lineRule="auto"/>
        <w:rPr>
          <w:rStyle w:val="10"/>
          <w:rFonts w:ascii="宋体" w:hAnsi="宋体"/>
          <w:bCs/>
          <w:sz w:val="24"/>
          <w:szCs w:val="24"/>
          <w:u w:val="single"/>
        </w:rPr>
      </w:pPr>
      <w:r>
        <w:rPr>
          <w:rStyle w:val="10"/>
          <w:rFonts w:ascii="宋体" w:hAnsi="宋体"/>
          <w:bCs/>
          <w:sz w:val="24"/>
          <w:szCs w:val="24"/>
        </w:rPr>
        <w:t xml:space="preserve">乙方： </w:t>
      </w:r>
      <w:r>
        <w:rPr>
          <w:rStyle w:val="10"/>
          <w:rFonts w:ascii="宋体" w:hAnsi="宋体"/>
          <w:bCs/>
          <w:sz w:val="24"/>
          <w:szCs w:val="24"/>
          <w:u w:val="single" w:color="000000"/>
        </w:rPr>
        <w:t xml:space="preserve">                         </w:t>
      </w:r>
    </w:p>
    <w:p>
      <w:pPr>
        <w:pStyle w:val="33"/>
        <w:spacing w:after="0" w:line="360" w:lineRule="auto"/>
        <w:ind w:firstLine="480" w:firstLineChars="200"/>
        <w:rPr>
          <w:rStyle w:val="10"/>
          <w:rFonts w:hAnsi="宋体"/>
          <w:sz w:val="24"/>
          <w:szCs w:val="24"/>
        </w:rPr>
      </w:pPr>
      <w:r>
        <w:rPr>
          <w:rStyle w:val="10"/>
          <w:rFonts w:hAnsi="宋体"/>
          <w:sz w:val="24"/>
          <w:szCs w:val="24"/>
        </w:rPr>
        <w:t>甲乙双方本着平等、诚信的原则，根据《中华人民共和国</w:t>
      </w:r>
      <w:r>
        <w:rPr>
          <w:rStyle w:val="10"/>
          <w:rFonts w:hint="eastAsia" w:hAnsi="宋体"/>
          <w:sz w:val="24"/>
          <w:szCs w:val="24"/>
          <w:lang w:val="en-US" w:eastAsia="zh-CN"/>
        </w:rPr>
        <w:t>民</w:t>
      </w:r>
      <w:r>
        <w:rPr>
          <w:rStyle w:val="10"/>
          <w:rFonts w:hAnsi="宋体"/>
          <w:sz w:val="24"/>
          <w:szCs w:val="24"/>
        </w:rPr>
        <w:t>法</w:t>
      </w:r>
      <w:r>
        <w:rPr>
          <w:rStyle w:val="10"/>
          <w:rFonts w:hint="eastAsia" w:hAnsi="宋体"/>
          <w:sz w:val="24"/>
          <w:szCs w:val="24"/>
          <w:lang w:val="en-US" w:eastAsia="zh-CN"/>
        </w:rPr>
        <w:t>典</w:t>
      </w:r>
      <w:r>
        <w:rPr>
          <w:rStyle w:val="10"/>
          <w:rFonts w:hAnsi="宋体"/>
          <w:sz w:val="24"/>
          <w:szCs w:val="24"/>
        </w:rPr>
        <w:t>》等法律、法规、规章、规范性招标文件规定，在平等互利和协商一致的基础上同意签订本采购合同。</w:t>
      </w:r>
    </w:p>
    <w:p>
      <w:pPr>
        <w:pStyle w:val="33"/>
        <w:spacing w:after="0" w:line="360" w:lineRule="auto"/>
        <w:ind w:firstLine="480" w:firstLineChars="200"/>
        <w:rPr>
          <w:rStyle w:val="10"/>
          <w:rFonts w:hAnsi="宋体"/>
          <w:sz w:val="24"/>
          <w:szCs w:val="24"/>
        </w:rPr>
      </w:pPr>
      <w:r>
        <w:rPr>
          <w:rStyle w:val="10"/>
          <w:rFonts w:hAnsi="宋体"/>
          <w:sz w:val="24"/>
          <w:szCs w:val="24"/>
        </w:rPr>
        <w:t>本合同以《泰州职业技术学院2022年折扣图书定点采购招标文件》(标书编号</w:t>
      </w:r>
      <w:r>
        <w:rPr>
          <w:rStyle w:val="10"/>
          <w:rFonts w:hAnsi="宋体"/>
          <w:color w:val="548DD4"/>
          <w:sz w:val="24"/>
          <w:szCs w:val="24"/>
        </w:rPr>
        <w:t xml:space="preserve">：     </w:t>
      </w:r>
      <w:r>
        <w:rPr>
          <w:rStyle w:val="10"/>
          <w:rFonts w:hAnsi="宋体"/>
          <w:sz w:val="24"/>
          <w:szCs w:val="24"/>
        </w:rPr>
        <w:t>)和成交供应商的投标文件为基础制定，甲方的技术和伴随服务要求、乙方的技术和服务承诺与本合同一起构成本次图书文献合同的整体性文件，具有法律效力。</w:t>
      </w:r>
    </w:p>
    <w:p>
      <w:pPr>
        <w:pStyle w:val="33"/>
        <w:spacing w:after="0" w:line="360" w:lineRule="auto"/>
        <w:ind w:firstLine="480" w:firstLineChars="200"/>
        <w:rPr>
          <w:rStyle w:val="10"/>
          <w:rFonts w:hAnsi="宋体"/>
          <w:sz w:val="24"/>
          <w:szCs w:val="24"/>
        </w:rPr>
      </w:pPr>
      <w:r>
        <w:rPr>
          <w:rStyle w:val="10"/>
          <w:rFonts w:hAnsi="宋体"/>
          <w:sz w:val="24"/>
          <w:szCs w:val="24"/>
        </w:rPr>
        <w:t>一、甲方通过招标方式确定乙方具有作为甲方</w:t>
      </w:r>
      <w:r>
        <w:rPr>
          <w:rStyle w:val="10"/>
          <w:rFonts w:hAnsi="宋体"/>
          <w:color w:val="0000FF"/>
          <w:sz w:val="24"/>
          <w:szCs w:val="24"/>
        </w:rPr>
        <w:t>2022</w:t>
      </w:r>
      <w:r>
        <w:rPr>
          <w:rStyle w:val="10"/>
          <w:rFonts w:hAnsi="宋体"/>
          <w:sz w:val="24"/>
          <w:szCs w:val="24"/>
        </w:rPr>
        <w:t xml:space="preserve">年中文图书定点采购供应商资格；乙方不得向他人转让此供应商的资格，也不得将此供应商的资格分解后分别向他人转让。 </w:t>
      </w:r>
    </w:p>
    <w:p>
      <w:pPr>
        <w:pStyle w:val="33"/>
        <w:spacing w:after="0" w:line="360" w:lineRule="auto"/>
        <w:ind w:firstLine="480" w:firstLineChars="200"/>
        <w:rPr>
          <w:rStyle w:val="10"/>
          <w:rFonts w:hAnsi="宋体"/>
          <w:sz w:val="24"/>
          <w:szCs w:val="24"/>
        </w:rPr>
      </w:pPr>
      <w:r>
        <w:rPr>
          <w:rStyle w:val="10"/>
          <w:rFonts w:hAnsi="宋体"/>
          <w:sz w:val="24"/>
          <w:szCs w:val="24"/>
        </w:rPr>
        <w:t>二、根据甲方的要求和乙方投标书中的投标意向，经双方协商确定乙方为中文新版图书主要供应商之一，但本合同不限定采购金额。</w:t>
      </w:r>
    </w:p>
    <w:p>
      <w:pPr>
        <w:pStyle w:val="33"/>
        <w:spacing w:after="0" w:line="360" w:lineRule="auto"/>
        <w:ind w:firstLine="480" w:firstLineChars="200"/>
        <w:rPr>
          <w:rStyle w:val="10"/>
          <w:rFonts w:hAnsi="宋体"/>
          <w:sz w:val="24"/>
          <w:szCs w:val="24"/>
        </w:rPr>
      </w:pPr>
      <w:r>
        <w:rPr>
          <w:rStyle w:val="10"/>
          <w:rFonts w:hAnsi="宋体"/>
          <w:sz w:val="24"/>
          <w:szCs w:val="24"/>
        </w:rPr>
        <w:t>三、乙方义务</w:t>
      </w:r>
    </w:p>
    <w:p>
      <w:pPr>
        <w:pStyle w:val="33"/>
        <w:spacing w:after="0" w:line="360" w:lineRule="auto"/>
        <w:ind w:firstLine="480" w:firstLineChars="200"/>
        <w:rPr>
          <w:rStyle w:val="10"/>
          <w:rFonts w:hAnsi="宋体"/>
          <w:sz w:val="24"/>
          <w:szCs w:val="24"/>
        </w:rPr>
      </w:pPr>
      <w:r>
        <w:rPr>
          <w:rStyle w:val="10"/>
          <w:rFonts w:hAnsi="宋体"/>
          <w:sz w:val="24"/>
          <w:szCs w:val="24"/>
        </w:rPr>
        <w:t>1、乙方应根据标书承诺内容，乙方必须提供符合甲方要求的采访用预订书目数据，数据能够为“汇文图书馆集成管理系统”接受；</w:t>
      </w:r>
    </w:p>
    <w:p>
      <w:pPr>
        <w:pStyle w:val="33"/>
        <w:spacing w:after="0" w:line="360" w:lineRule="auto"/>
        <w:ind w:firstLine="480" w:firstLineChars="200"/>
        <w:rPr>
          <w:rStyle w:val="10"/>
          <w:rFonts w:hAnsi="宋体"/>
          <w:sz w:val="24"/>
          <w:szCs w:val="24"/>
        </w:rPr>
      </w:pPr>
      <w:r>
        <w:rPr>
          <w:rStyle w:val="10"/>
          <w:rFonts w:hAnsi="宋体"/>
          <w:sz w:val="24"/>
          <w:szCs w:val="24"/>
        </w:rPr>
        <w:t>2、乙方应全面、及时并免费向甲方提供乙方编制和搜集的各种图书出版信息，免费提供采访数据，随书免费配送编目数据，数据来源应以图书版权页信息为准，数据格式和字段满足甲方招标书中的具体要求。</w:t>
      </w:r>
    </w:p>
    <w:p>
      <w:pPr>
        <w:pStyle w:val="33"/>
        <w:spacing w:after="0" w:line="360" w:lineRule="auto"/>
        <w:ind w:firstLine="480" w:firstLineChars="200"/>
        <w:rPr>
          <w:rStyle w:val="10"/>
          <w:rFonts w:hAnsi="宋体"/>
          <w:sz w:val="24"/>
          <w:szCs w:val="24"/>
          <w:highlight w:val="none"/>
        </w:rPr>
      </w:pPr>
      <w:r>
        <w:rPr>
          <w:rStyle w:val="10"/>
          <w:rFonts w:hAnsi="宋体"/>
          <w:sz w:val="24"/>
          <w:szCs w:val="24"/>
          <w:highlight w:val="none"/>
        </w:rPr>
        <w:t>3、乙方保证到书率如下：</w:t>
      </w:r>
    </w:p>
    <w:p>
      <w:pPr>
        <w:spacing w:line="360" w:lineRule="auto"/>
        <w:ind w:right="33" w:firstLine="720" w:firstLineChars="300"/>
        <w:rPr>
          <w:rStyle w:val="10"/>
          <w:rFonts w:hAnsi="宋体"/>
          <w:sz w:val="24"/>
          <w:szCs w:val="24"/>
          <w:highlight w:val="none"/>
        </w:rPr>
      </w:pPr>
      <w:r>
        <w:rPr>
          <w:rStyle w:val="10"/>
          <w:rFonts w:hAnsi="宋体"/>
          <w:sz w:val="24"/>
          <w:szCs w:val="24"/>
          <w:highlight w:val="none"/>
        </w:rPr>
        <w:t>（1）期货两个月的到书率达到</w:t>
      </w:r>
      <w:r>
        <w:rPr>
          <w:rStyle w:val="10"/>
          <w:rFonts w:hAnsi="宋体"/>
          <w:sz w:val="24"/>
          <w:szCs w:val="24"/>
          <w:highlight w:val="none"/>
          <w:u w:val="single" w:color="000000"/>
        </w:rPr>
        <w:t xml:space="preserve">   </w:t>
      </w:r>
      <w:r>
        <w:rPr>
          <w:rStyle w:val="10"/>
          <w:rFonts w:hAnsi="宋体"/>
          <w:sz w:val="24"/>
          <w:szCs w:val="24"/>
          <w:highlight w:val="none"/>
        </w:rPr>
        <w:t>以上，六个月的到书率达到</w:t>
      </w:r>
      <w:r>
        <w:rPr>
          <w:rStyle w:val="10"/>
          <w:rFonts w:hAnsi="宋体"/>
          <w:sz w:val="24"/>
          <w:szCs w:val="24"/>
          <w:highlight w:val="none"/>
          <w:u w:val="single" w:color="000000"/>
        </w:rPr>
        <w:t xml:space="preserve">   </w:t>
      </w:r>
      <w:r>
        <w:rPr>
          <w:rStyle w:val="10"/>
          <w:rFonts w:hAnsi="宋体"/>
          <w:sz w:val="24"/>
          <w:szCs w:val="24"/>
          <w:highlight w:val="none"/>
        </w:rPr>
        <w:t>以上，九个月的到书率达到</w:t>
      </w:r>
      <w:r>
        <w:rPr>
          <w:rStyle w:val="10"/>
          <w:rFonts w:hAnsi="宋体"/>
          <w:sz w:val="24"/>
          <w:szCs w:val="24"/>
          <w:highlight w:val="none"/>
          <w:u w:val="single" w:color="000000"/>
        </w:rPr>
        <w:t xml:space="preserve">   </w:t>
      </w:r>
      <w:r>
        <w:rPr>
          <w:rStyle w:val="10"/>
          <w:rFonts w:hAnsi="宋体"/>
          <w:sz w:val="24"/>
          <w:szCs w:val="24"/>
          <w:highlight w:val="none"/>
        </w:rPr>
        <w:t>以上；</w:t>
      </w:r>
    </w:p>
    <w:p>
      <w:pPr>
        <w:spacing w:line="360" w:lineRule="auto"/>
        <w:ind w:right="33" w:firstLine="720" w:firstLineChars="300"/>
        <w:rPr>
          <w:rStyle w:val="10"/>
          <w:rFonts w:hAnsi="宋体"/>
          <w:sz w:val="24"/>
          <w:szCs w:val="24"/>
          <w:highlight w:val="none"/>
        </w:rPr>
      </w:pPr>
      <w:r>
        <w:rPr>
          <w:rStyle w:val="10"/>
          <w:rFonts w:hAnsi="宋体"/>
          <w:sz w:val="24"/>
          <w:szCs w:val="24"/>
          <w:highlight w:val="none"/>
        </w:rPr>
        <w:t>（2）现货一个月的到书率达到</w:t>
      </w:r>
      <w:r>
        <w:rPr>
          <w:rStyle w:val="10"/>
          <w:rFonts w:hAnsi="宋体"/>
          <w:sz w:val="24"/>
          <w:szCs w:val="24"/>
          <w:highlight w:val="none"/>
          <w:u w:val="single" w:color="000000"/>
        </w:rPr>
        <w:t xml:space="preserve">   </w:t>
      </w:r>
      <w:r>
        <w:rPr>
          <w:rStyle w:val="10"/>
          <w:rFonts w:hAnsi="宋体"/>
          <w:sz w:val="24"/>
          <w:szCs w:val="24"/>
          <w:highlight w:val="none"/>
        </w:rPr>
        <w:t>以上，两个月的到书率达到</w:t>
      </w:r>
      <w:r>
        <w:rPr>
          <w:rStyle w:val="10"/>
          <w:rFonts w:hAnsi="宋体"/>
          <w:sz w:val="24"/>
          <w:szCs w:val="24"/>
          <w:highlight w:val="none"/>
          <w:u w:val="single" w:color="000000"/>
        </w:rPr>
        <w:t xml:space="preserve">    </w:t>
      </w:r>
      <w:r>
        <w:rPr>
          <w:rStyle w:val="10"/>
          <w:rFonts w:hAnsi="宋体"/>
          <w:sz w:val="24"/>
          <w:szCs w:val="24"/>
          <w:highlight w:val="none"/>
        </w:rPr>
        <w:t>以上，三个月的到书率达到</w:t>
      </w:r>
      <w:r>
        <w:rPr>
          <w:rStyle w:val="10"/>
          <w:rFonts w:hAnsi="宋体"/>
          <w:sz w:val="24"/>
          <w:szCs w:val="24"/>
          <w:highlight w:val="none"/>
          <w:u w:val="single" w:color="000000"/>
        </w:rPr>
        <w:t xml:space="preserve">    </w:t>
      </w:r>
      <w:r>
        <w:rPr>
          <w:rStyle w:val="10"/>
          <w:rFonts w:hAnsi="宋体"/>
          <w:sz w:val="24"/>
          <w:szCs w:val="24"/>
          <w:highlight w:val="none"/>
        </w:rPr>
        <w:t>以上；</w:t>
      </w:r>
    </w:p>
    <w:p>
      <w:pPr>
        <w:spacing w:line="360" w:lineRule="auto"/>
        <w:ind w:right="33" w:firstLine="720" w:firstLineChars="300"/>
        <w:rPr>
          <w:rStyle w:val="10"/>
          <w:rFonts w:hAnsi="宋体"/>
          <w:sz w:val="24"/>
          <w:szCs w:val="24"/>
          <w:highlight w:val="none"/>
        </w:rPr>
      </w:pPr>
      <w:r>
        <w:rPr>
          <w:rStyle w:val="10"/>
          <w:rFonts w:hAnsi="宋体"/>
          <w:sz w:val="24"/>
          <w:szCs w:val="24"/>
          <w:highlight w:val="none"/>
        </w:rPr>
        <w:t>（3）保证对零散订单及时响应；</w:t>
      </w:r>
    </w:p>
    <w:p>
      <w:pPr>
        <w:tabs>
          <w:tab w:val="left" w:pos="312"/>
        </w:tabs>
        <w:spacing w:line="360" w:lineRule="auto"/>
        <w:ind w:firstLine="720" w:firstLineChars="300"/>
        <w:rPr>
          <w:rStyle w:val="10"/>
          <w:rFonts w:hAnsi="宋体"/>
          <w:sz w:val="24"/>
          <w:szCs w:val="24"/>
          <w:highlight w:val="none"/>
        </w:rPr>
      </w:pPr>
      <w:r>
        <w:rPr>
          <w:rStyle w:val="10"/>
          <w:rFonts w:hAnsi="宋体"/>
          <w:sz w:val="24"/>
          <w:szCs w:val="24"/>
          <w:highlight w:val="none"/>
        </w:rPr>
        <w:t xml:space="preserve">（4）到书率达不到以上（1）（2）要求的扣除货款实洋的10%作为违约金。  </w:t>
      </w:r>
    </w:p>
    <w:p>
      <w:pPr>
        <w:tabs>
          <w:tab w:val="left" w:pos="312"/>
        </w:tabs>
        <w:spacing w:line="360" w:lineRule="auto"/>
        <w:ind w:firstLine="480" w:firstLineChars="200"/>
        <w:rPr>
          <w:rStyle w:val="10"/>
          <w:rFonts w:hAnsi="宋体"/>
          <w:sz w:val="24"/>
          <w:szCs w:val="24"/>
        </w:rPr>
      </w:pPr>
      <w:r>
        <w:rPr>
          <w:rStyle w:val="10"/>
          <w:rFonts w:hAnsi="宋体"/>
          <w:sz w:val="24"/>
          <w:szCs w:val="24"/>
        </w:rPr>
        <w:t>4.不得私自夹带我校未采访的图书，夹带劣质图书，一旦发现将列入黑名单，并赔偿违约金。</w:t>
      </w:r>
    </w:p>
    <w:p>
      <w:pPr>
        <w:tabs>
          <w:tab w:val="left" w:pos="312"/>
        </w:tabs>
        <w:spacing w:line="360" w:lineRule="auto"/>
        <w:ind w:firstLine="480" w:firstLineChars="200"/>
        <w:rPr>
          <w:rStyle w:val="10"/>
          <w:rFonts w:hAnsi="宋体"/>
          <w:sz w:val="24"/>
          <w:szCs w:val="24"/>
        </w:rPr>
      </w:pPr>
      <w:r>
        <w:rPr>
          <w:rStyle w:val="10"/>
          <w:rFonts w:hAnsi="宋体"/>
          <w:sz w:val="24"/>
          <w:szCs w:val="24"/>
        </w:rPr>
        <w:t>5.加工必须符合我馆规定的加工要求，加工不合格图书必须无条件返工，直到符合加工要求，当加工不合格率达5%超过三次，解除合作关系。</w:t>
      </w:r>
    </w:p>
    <w:p>
      <w:pPr>
        <w:pStyle w:val="33"/>
        <w:spacing w:after="0" w:line="360" w:lineRule="auto"/>
        <w:ind w:firstLine="480" w:firstLineChars="200"/>
        <w:rPr>
          <w:rStyle w:val="10"/>
          <w:rFonts w:hAnsi="宋体"/>
          <w:sz w:val="24"/>
          <w:szCs w:val="24"/>
        </w:rPr>
      </w:pPr>
      <w:r>
        <w:rPr>
          <w:rStyle w:val="10"/>
          <w:rFonts w:hAnsi="宋体"/>
          <w:sz w:val="24"/>
          <w:szCs w:val="24"/>
        </w:rPr>
        <w:t>6、乙方必须提供正版图书，严格保证图书质量达到国家标准，如一经发现是盗版、盗印或劣质图书（如书缺页、错装、倒装、损坏等），无论加工与否，乙方均应无条件接受退书。对于屡次出现上述情况的书商将给予警告或停止其供货资格。</w:t>
      </w:r>
    </w:p>
    <w:p>
      <w:pPr>
        <w:pStyle w:val="33"/>
        <w:spacing w:after="0" w:line="360" w:lineRule="auto"/>
        <w:ind w:firstLine="480" w:firstLineChars="200"/>
        <w:rPr>
          <w:rStyle w:val="10"/>
          <w:rFonts w:hAnsi="宋体"/>
          <w:sz w:val="24"/>
          <w:szCs w:val="24"/>
        </w:rPr>
      </w:pPr>
      <w:r>
        <w:rPr>
          <w:rStyle w:val="10"/>
          <w:rFonts w:hAnsi="宋体"/>
          <w:sz w:val="24"/>
          <w:szCs w:val="24"/>
        </w:rPr>
        <w:t>7、乙方收到新书订单后，应先做查重处理，避免重复订购。对下列情况无论图书加工与否乙方均应无条件退换，退换手续和方法要简便、快捷。</w:t>
      </w:r>
    </w:p>
    <w:p>
      <w:pPr>
        <w:pStyle w:val="33"/>
        <w:spacing w:after="0" w:line="360" w:lineRule="auto"/>
        <w:ind w:firstLine="480" w:firstLineChars="200"/>
        <w:rPr>
          <w:rStyle w:val="10"/>
          <w:rFonts w:hAnsi="宋体"/>
          <w:sz w:val="24"/>
          <w:szCs w:val="24"/>
        </w:rPr>
      </w:pPr>
      <w:r>
        <w:rPr>
          <w:rStyle w:val="10"/>
          <w:rFonts w:hAnsi="宋体"/>
          <w:sz w:val="24"/>
          <w:szCs w:val="24"/>
        </w:rPr>
        <w:t>A、乙方没有征求甲方意见而配送的不符合甲方专业设置的书；</w:t>
      </w:r>
    </w:p>
    <w:p>
      <w:pPr>
        <w:pStyle w:val="33"/>
        <w:spacing w:after="0" w:line="360" w:lineRule="auto"/>
        <w:ind w:firstLine="480" w:firstLineChars="200"/>
        <w:rPr>
          <w:rStyle w:val="10"/>
          <w:rFonts w:hAnsi="宋体"/>
          <w:sz w:val="24"/>
          <w:szCs w:val="24"/>
        </w:rPr>
      </w:pPr>
      <w:r>
        <w:rPr>
          <w:rStyle w:val="10"/>
          <w:rFonts w:hAnsi="宋体"/>
          <w:sz w:val="24"/>
          <w:szCs w:val="24"/>
        </w:rPr>
        <w:t>B、甲方已明确做出撤订的图书；</w:t>
      </w:r>
    </w:p>
    <w:p>
      <w:pPr>
        <w:pStyle w:val="33"/>
        <w:spacing w:after="0" w:line="360" w:lineRule="auto"/>
        <w:ind w:firstLine="480" w:firstLineChars="200"/>
        <w:rPr>
          <w:rStyle w:val="10"/>
          <w:rFonts w:hAnsi="宋体"/>
          <w:sz w:val="24"/>
          <w:szCs w:val="24"/>
        </w:rPr>
      </w:pPr>
      <w:r>
        <w:rPr>
          <w:rStyle w:val="10"/>
          <w:rFonts w:hAnsi="宋体"/>
          <w:sz w:val="24"/>
          <w:szCs w:val="24"/>
        </w:rPr>
        <w:t>C、订单发出后十二个月内不到的图书；</w:t>
      </w:r>
    </w:p>
    <w:p>
      <w:pPr>
        <w:pStyle w:val="33"/>
        <w:spacing w:after="0" w:line="360" w:lineRule="auto"/>
        <w:ind w:firstLine="480" w:firstLineChars="200"/>
        <w:rPr>
          <w:rStyle w:val="10"/>
          <w:rFonts w:hAnsi="宋体"/>
          <w:sz w:val="24"/>
          <w:szCs w:val="24"/>
        </w:rPr>
      </w:pPr>
      <w:r>
        <w:rPr>
          <w:rStyle w:val="10"/>
          <w:rFonts w:hAnsi="宋体"/>
          <w:sz w:val="24"/>
          <w:szCs w:val="24"/>
        </w:rPr>
        <w:t>D、甲方没有订购乙方强行搭售的图书；</w:t>
      </w:r>
    </w:p>
    <w:p>
      <w:pPr>
        <w:pStyle w:val="33"/>
        <w:spacing w:after="0" w:line="360" w:lineRule="auto"/>
        <w:ind w:firstLine="480" w:firstLineChars="200"/>
        <w:rPr>
          <w:rStyle w:val="10"/>
          <w:rFonts w:hAnsi="宋体"/>
          <w:sz w:val="24"/>
          <w:szCs w:val="24"/>
        </w:rPr>
      </w:pPr>
      <w:r>
        <w:rPr>
          <w:rStyle w:val="10"/>
          <w:rFonts w:hAnsi="宋体"/>
          <w:sz w:val="24"/>
          <w:szCs w:val="24"/>
        </w:rPr>
        <w:t>F、图书在入库后流通使用三个月内，出现脱胶等非人为因素损坏；</w:t>
      </w:r>
    </w:p>
    <w:p>
      <w:pPr>
        <w:pStyle w:val="33"/>
        <w:spacing w:after="0" w:line="360" w:lineRule="auto"/>
        <w:ind w:firstLine="480" w:firstLineChars="200"/>
        <w:rPr>
          <w:rStyle w:val="10"/>
          <w:rFonts w:hAnsi="宋体"/>
          <w:sz w:val="24"/>
          <w:szCs w:val="24"/>
        </w:rPr>
      </w:pPr>
      <w:r>
        <w:rPr>
          <w:rStyle w:val="10"/>
          <w:rFonts w:hAnsi="宋体"/>
          <w:sz w:val="24"/>
          <w:szCs w:val="24"/>
        </w:rPr>
        <w:t>8、乙方应严格按照《泰州职业技术学院中文图书分编加工细则》和《泰州职业技术学院图书分类细则》提供图书编目加工服务，</w:t>
      </w:r>
      <w:r>
        <w:rPr>
          <w:rStyle w:val="10"/>
          <w:rFonts w:ascii="宋体" w:hAnsi="宋体"/>
          <w:bCs/>
          <w:sz w:val="24"/>
          <w:szCs w:val="24"/>
          <w:u w:val="single" w:color="000000"/>
        </w:rPr>
        <w:t>所有加工成本与服务均包含在图书总价实付码洋内</w:t>
      </w:r>
      <w:r>
        <w:rPr>
          <w:rStyle w:val="10"/>
          <w:b/>
          <w:bCs/>
        </w:rPr>
        <w:t>，</w:t>
      </w:r>
      <w:r>
        <w:rPr>
          <w:rStyle w:val="10"/>
          <w:rFonts w:hAnsi="宋体"/>
          <w:sz w:val="24"/>
          <w:szCs w:val="24"/>
        </w:rPr>
        <w:t>具体加工要求为：</w:t>
      </w:r>
    </w:p>
    <w:p>
      <w:pPr>
        <w:pStyle w:val="33"/>
        <w:spacing w:after="0" w:line="360" w:lineRule="auto"/>
        <w:ind w:firstLine="480" w:firstLineChars="200"/>
        <w:rPr>
          <w:rStyle w:val="10"/>
          <w:rFonts w:hAnsi="宋体"/>
          <w:sz w:val="24"/>
          <w:szCs w:val="24"/>
        </w:rPr>
      </w:pPr>
      <w:r>
        <w:rPr>
          <w:rStyle w:val="10"/>
          <w:rFonts w:hAnsi="宋体"/>
          <w:sz w:val="24"/>
          <w:szCs w:val="24"/>
        </w:rPr>
        <w:t>（1）、所用磁条要求：钴基、双面胶、十六公分、复合可充磁条，应保证做过充磁处理。</w:t>
      </w:r>
    </w:p>
    <w:p>
      <w:pPr>
        <w:pStyle w:val="33"/>
        <w:spacing w:after="0" w:line="360" w:lineRule="auto"/>
        <w:ind w:firstLine="480" w:firstLineChars="200"/>
        <w:rPr>
          <w:rStyle w:val="10"/>
          <w:rFonts w:hAnsi="宋体"/>
          <w:sz w:val="24"/>
          <w:szCs w:val="24"/>
        </w:rPr>
      </w:pPr>
      <w:r>
        <w:rPr>
          <w:rStyle w:val="10"/>
          <w:rFonts w:hAnsi="宋体"/>
          <w:sz w:val="24"/>
          <w:szCs w:val="24"/>
        </w:rPr>
        <w:t>（2）、磁条粘贴要求：贴磁条1根，磁条粘贴没有固定的页码要求，但是要求往书脊隐蔽深处贴，以不宜发现为准；</w:t>
      </w:r>
    </w:p>
    <w:p>
      <w:pPr>
        <w:pStyle w:val="33"/>
        <w:spacing w:after="0" w:line="360" w:lineRule="auto"/>
        <w:ind w:firstLine="480" w:firstLineChars="200"/>
        <w:rPr>
          <w:rStyle w:val="10"/>
          <w:rFonts w:hAnsi="宋体"/>
          <w:sz w:val="24"/>
          <w:szCs w:val="24"/>
        </w:rPr>
      </w:pPr>
      <w:r>
        <w:rPr>
          <w:rStyle w:val="10"/>
          <w:rFonts w:hAnsi="宋体"/>
          <w:sz w:val="24"/>
          <w:szCs w:val="24"/>
        </w:rPr>
        <w:t>（3）、馆藏章位置盖在书名页正下方空白处及切口处，图章要求正盖。馆藏章由甲方提供；</w:t>
      </w:r>
    </w:p>
    <w:p>
      <w:pPr>
        <w:pStyle w:val="33"/>
        <w:spacing w:after="0" w:line="360" w:lineRule="auto"/>
        <w:ind w:firstLine="480" w:firstLineChars="200"/>
        <w:rPr>
          <w:rStyle w:val="10"/>
          <w:rFonts w:ascii="宋体" w:hAnsi="宋体"/>
          <w:bCs/>
          <w:sz w:val="24"/>
          <w:szCs w:val="24"/>
          <w:u w:val="single"/>
        </w:rPr>
      </w:pPr>
      <w:r>
        <w:rPr>
          <w:rStyle w:val="10"/>
          <w:rFonts w:hAnsi="宋体"/>
          <w:sz w:val="24"/>
          <w:szCs w:val="24"/>
        </w:rPr>
        <w:t>（4）、</w:t>
      </w:r>
      <w:r>
        <w:rPr>
          <w:rStyle w:val="10"/>
          <w:rFonts w:ascii="宋体" w:hAnsi="宋体"/>
          <w:bCs/>
          <w:sz w:val="24"/>
          <w:szCs w:val="24"/>
          <w:u w:val="single" w:color="000000"/>
        </w:rPr>
        <w:t>乙方应指定相对固定的编目人员为甲方上门编目加工。</w:t>
      </w:r>
    </w:p>
    <w:p>
      <w:pPr>
        <w:pStyle w:val="33"/>
        <w:spacing w:after="0" w:line="360" w:lineRule="auto"/>
        <w:ind w:firstLine="480" w:firstLineChars="200"/>
        <w:rPr>
          <w:rStyle w:val="10"/>
          <w:rFonts w:hAnsi="宋体"/>
          <w:sz w:val="24"/>
          <w:szCs w:val="24"/>
        </w:rPr>
      </w:pPr>
      <w:r>
        <w:rPr>
          <w:rStyle w:val="10"/>
          <w:rFonts w:hAnsi="宋体"/>
          <w:sz w:val="24"/>
          <w:szCs w:val="24"/>
        </w:rPr>
        <w:t>9、乙方每批到书的各包应一律标注“年份-批号-包号”，批号从01开始至年末结束，下一年重新开始。每批附一份总清单（各包无需分清单），总清单应随每批到馆图书交甲方验收人员。</w:t>
      </w:r>
    </w:p>
    <w:p>
      <w:pPr>
        <w:pStyle w:val="33"/>
        <w:spacing w:after="0" w:line="360" w:lineRule="auto"/>
        <w:ind w:firstLine="480" w:firstLineChars="200"/>
        <w:rPr>
          <w:rStyle w:val="10"/>
          <w:rFonts w:hAnsi="宋体"/>
          <w:sz w:val="24"/>
          <w:szCs w:val="24"/>
        </w:rPr>
      </w:pPr>
      <w:r>
        <w:rPr>
          <w:rStyle w:val="10"/>
          <w:rFonts w:hAnsi="宋体"/>
          <w:sz w:val="24"/>
          <w:szCs w:val="24"/>
        </w:rPr>
        <w:t>乙方应保证到书清单的明了有序。清单必须有下列数据项：征订号、ISBN、书名（书名要打印完全）、出版社、册数、单价、合计价，并按价格升序排列，丛书和多卷集应各分册单独列行。总清单应注明“年号-批号”，末尾应统计出总种数、总册数、总金额，总包数。总清单应采用小4号字，行、列间有分隔线，采用激光打印机清晰打印。</w:t>
      </w:r>
    </w:p>
    <w:p>
      <w:pPr>
        <w:pStyle w:val="33"/>
        <w:spacing w:after="0" w:line="360" w:lineRule="auto"/>
        <w:ind w:firstLine="480" w:firstLineChars="200"/>
        <w:rPr>
          <w:rStyle w:val="10"/>
          <w:rFonts w:ascii="宋体" w:hAnsi="宋体"/>
          <w:bCs/>
          <w:sz w:val="24"/>
          <w:szCs w:val="24"/>
          <w:u w:val="single"/>
        </w:rPr>
      </w:pPr>
      <w:r>
        <w:rPr>
          <w:rStyle w:val="10"/>
          <w:rFonts w:hAnsi="宋体"/>
          <w:sz w:val="24"/>
          <w:szCs w:val="24"/>
        </w:rPr>
        <w:t>10、乙方除提供书目预订等购书方式外，还应有送样选书、现场选书以及根据甲方需要的其它专题购书方式，要求选书效果显著，专业针对性强，选书地点和时间没有限制；</w:t>
      </w:r>
      <w:r>
        <w:rPr>
          <w:rStyle w:val="10"/>
          <w:rFonts w:ascii="宋体" w:hAnsi="宋体"/>
          <w:bCs/>
          <w:sz w:val="24"/>
          <w:szCs w:val="24"/>
          <w:u w:val="single" w:color="000000"/>
        </w:rPr>
        <w:t>现场选书的所有费用由乙方承担。</w:t>
      </w:r>
    </w:p>
    <w:p>
      <w:pPr>
        <w:pStyle w:val="33"/>
        <w:spacing w:after="0" w:line="360" w:lineRule="auto"/>
        <w:ind w:firstLine="480" w:firstLineChars="200"/>
        <w:rPr>
          <w:rStyle w:val="10"/>
          <w:rFonts w:hAnsi="宋体"/>
          <w:sz w:val="24"/>
          <w:szCs w:val="24"/>
        </w:rPr>
      </w:pPr>
      <w:r>
        <w:rPr>
          <w:rStyle w:val="10"/>
          <w:rFonts w:hAnsi="宋体"/>
          <w:sz w:val="24"/>
          <w:szCs w:val="24"/>
        </w:rPr>
        <w:t>11、乙方在投标书所作的不与本合同相冲突的其它服务承诺。</w:t>
      </w:r>
    </w:p>
    <w:p>
      <w:pPr>
        <w:pStyle w:val="33"/>
        <w:spacing w:after="0" w:line="360" w:lineRule="auto"/>
        <w:ind w:firstLine="480" w:firstLineChars="200"/>
        <w:rPr>
          <w:rStyle w:val="10"/>
          <w:rFonts w:hAnsi="宋体"/>
          <w:sz w:val="24"/>
          <w:szCs w:val="24"/>
        </w:rPr>
      </w:pPr>
      <w:r>
        <w:rPr>
          <w:rStyle w:val="10"/>
          <w:rFonts w:hAnsi="宋体"/>
          <w:sz w:val="24"/>
          <w:szCs w:val="24"/>
        </w:rPr>
        <w:t>四、甲方义务</w:t>
      </w:r>
    </w:p>
    <w:p>
      <w:pPr>
        <w:pStyle w:val="33"/>
        <w:spacing w:after="0" w:line="360" w:lineRule="auto"/>
        <w:ind w:firstLine="480" w:firstLineChars="200"/>
        <w:rPr>
          <w:rStyle w:val="10"/>
          <w:u w:val="single"/>
        </w:rPr>
      </w:pPr>
      <w:r>
        <w:rPr>
          <w:rStyle w:val="10"/>
          <w:rFonts w:hAnsi="宋体"/>
          <w:sz w:val="24"/>
          <w:szCs w:val="24"/>
        </w:rPr>
        <w:t>1、甲方按图书实洋付款给乙方，中文新版图书折扣为图书码洋的</w:t>
      </w:r>
      <w:r>
        <w:rPr>
          <w:rStyle w:val="10"/>
          <w:u w:val="single" w:color="000000"/>
        </w:rPr>
        <w:t xml:space="preserve">             </w:t>
      </w:r>
      <w:r>
        <w:rPr>
          <w:rStyle w:val="10"/>
          <w:b/>
        </w:rPr>
        <w:t>。</w:t>
      </w:r>
    </w:p>
    <w:p>
      <w:pPr>
        <w:pStyle w:val="33"/>
        <w:spacing w:after="0" w:line="360" w:lineRule="auto"/>
        <w:ind w:firstLine="480" w:firstLineChars="200"/>
        <w:rPr>
          <w:rStyle w:val="10"/>
          <w:rFonts w:hAnsi="宋体"/>
          <w:sz w:val="24"/>
          <w:szCs w:val="24"/>
        </w:rPr>
      </w:pPr>
      <w:r>
        <w:rPr>
          <w:rStyle w:val="10"/>
          <w:rFonts w:hAnsi="宋体"/>
          <w:sz w:val="24"/>
          <w:szCs w:val="24"/>
        </w:rPr>
        <w:t xml:space="preserve">2、甲方在订购图书到馆后，应及时验收、典藏，审核无误后，在收到发票后两个月内付款；如遇特殊情况，积极与乙方协商，并争取尽可能及时付款。                                                                                                                                                                                                                                                                                                                                                                                                                                                                                                                                                                                                                                                                                                                             </w:t>
      </w:r>
    </w:p>
    <w:p>
      <w:pPr>
        <w:pStyle w:val="33"/>
        <w:spacing w:after="0" w:line="360" w:lineRule="auto"/>
        <w:ind w:firstLine="480" w:firstLineChars="200"/>
        <w:rPr>
          <w:rStyle w:val="10"/>
          <w:rFonts w:hAnsi="宋体"/>
          <w:sz w:val="24"/>
          <w:szCs w:val="24"/>
        </w:rPr>
      </w:pPr>
      <w:r>
        <w:rPr>
          <w:rStyle w:val="10"/>
          <w:rFonts w:hAnsi="宋体"/>
          <w:sz w:val="24"/>
          <w:szCs w:val="24"/>
        </w:rPr>
        <w:t>五、违约责任</w:t>
      </w:r>
    </w:p>
    <w:p>
      <w:pPr>
        <w:pStyle w:val="33"/>
        <w:spacing w:after="0" w:line="360" w:lineRule="auto"/>
        <w:ind w:firstLine="480" w:firstLineChars="200"/>
        <w:rPr>
          <w:rStyle w:val="10"/>
          <w:rFonts w:hAnsi="宋体"/>
          <w:sz w:val="24"/>
          <w:szCs w:val="24"/>
        </w:rPr>
      </w:pPr>
      <w:r>
        <w:rPr>
          <w:rStyle w:val="10"/>
          <w:rFonts w:hAnsi="宋体"/>
          <w:sz w:val="24"/>
          <w:szCs w:val="24"/>
        </w:rPr>
        <w:t>1、双方应切实履行合同内容，切实履行甲方招标书中提出技术和服务要求及乙方投标书的技术和服务承诺。在合同执行期间，乙方若不履行服务承诺，甲方有权停止其供货资格，并列入不良记录的供应家，甲方后续招标时有权拒绝其投标。</w:t>
      </w:r>
    </w:p>
    <w:p>
      <w:pPr>
        <w:pStyle w:val="33"/>
        <w:spacing w:after="0" w:line="360" w:lineRule="auto"/>
        <w:ind w:firstLine="480" w:firstLineChars="200"/>
        <w:rPr>
          <w:rStyle w:val="10"/>
          <w:rFonts w:hAnsi="宋体"/>
          <w:sz w:val="24"/>
          <w:szCs w:val="24"/>
        </w:rPr>
      </w:pPr>
      <w:r>
        <w:rPr>
          <w:rStyle w:val="10"/>
          <w:rFonts w:hAnsi="宋体"/>
          <w:sz w:val="24"/>
          <w:szCs w:val="24"/>
        </w:rPr>
        <w:t>2、合同期满或终止后一年内乙方应保证原合同期内的订单的供货和承诺不变，甲方保证按照合同接收到馆图书并及时付款。</w:t>
      </w:r>
    </w:p>
    <w:p>
      <w:pPr>
        <w:pStyle w:val="33"/>
        <w:spacing w:after="0" w:line="360" w:lineRule="auto"/>
        <w:ind w:firstLine="480" w:firstLineChars="200"/>
        <w:rPr>
          <w:rStyle w:val="10"/>
          <w:rFonts w:hAnsi="宋体"/>
          <w:sz w:val="24"/>
          <w:szCs w:val="24"/>
        </w:rPr>
      </w:pPr>
      <w:r>
        <w:rPr>
          <w:rStyle w:val="10"/>
          <w:rFonts w:hAnsi="宋体"/>
          <w:sz w:val="24"/>
          <w:szCs w:val="24"/>
        </w:rPr>
        <w:t>六、不可抗力事件处理</w:t>
      </w:r>
    </w:p>
    <w:p>
      <w:pPr>
        <w:pStyle w:val="33"/>
        <w:spacing w:after="0" w:line="360" w:lineRule="auto"/>
        <w:ind w:firstLine="480" w:firstLineChars="200"/>
        <w:rPr>
          <w:rStyle w:val="10"/>
          <w:rFonts w:hAnsi="宋体"/>
          <w:sz w:val="24"/>
          <w:szCs w:val="24"/>
        </w:rPr>
      </w:pPr>
      <w:r>
        <w:rPr>
          <w:rStyle w:val="10"/>
          <w:rFonts w:hAnsi="宋体"/>
          <w:sz w:val="24"/>
          <w:szCs w:val="24"/>
        </w:rPr>
        <w:t>1、在执行合同期限内，任何一方因不可抗力导致不能履行合同，则合同履行期可延长，其延长期与不可抗力影响期相同。</w:t>
      </w:r>
    </w:p>
    <w:p>
      <w:pPr>
        <w:pStyle w:val="33"/>
        <w:spacing w:after="0" w:line="360" w:lineRule="auto"/>
        <w:ind w:firstLine="480" w:firstLineChars="200"/>
        <w:rPr>
          <w:rStyle w:val="10"/>
          <w:rFonts w:hAnsi="宋体"/>
          <w:sz w:val="24"/>
          <w:szCs w:val="24"/>
        </w:rPr>
      </w:pPr>
      <w:r>
        <w:rPr>
          <w:rStyle w:val="10"/>
          <w:rFonts w:hAnsi="宋体"/>
          <w:sz w:val="24"/>
          <w:szCs w:val="24"/>
        </w:rPr>
        <w:t>2、不可抗力事件延续120天以上，双方应通过友好协商，确定是否继续履行合同。</w:t>
      </w:r>
    </w:p>
    <w:p>
      <w:pPr>
        <w:pStyle w:val="33"/>
        <w:spacing w:after="0" w:line="360" w:lineRule="auto"/>
        <w:ind w:firstLine="480" w:firstLineChars="200"/>
        <w:rPr>
          <w:rStyle w:val="10"/>
          <w:rFonts w:hAnsi="宋体"/>
          <w:sz w:val="24"/>
          <w:szCs w:val="24"/>
        </w:rPr>
      </w:pPr>
      <w:r>
        <w:rPr>
          <w:rStyle w:val="10"/>
          <w:rFonts w:hAnsi="宋体"/>
          <w:sz w:val="24"/>
          <w:szCs w:val="24"/>
        </w:rPr>
        <w:t>七、合同生效及其它</w:t>
      </w:r>
    </w:p>
    <w:p>
      <w:pPr>
        <w:pStyle w:val="33"/>
        <w:spacing w:after="0" w:line="360" w:lineRule="auto"/>
        <w:ind w:firstLine="480" w:firstLineChars="200"/>
        <w:rPr>
          <w:rStyle w:val="10"/>
          <w:rFonts w:hAnsi="宋体"/>
          <w:sz w:val="24"/>
          <w:szCs w:val="24"/>
        </w:rPr>
      </w:pPr>
      <w:r>
        <w:rPr>
          <w:rStyle w:val="10"/>
          <w:rFonts w:hAnsi="宋体"/>
          <w:sz w:val="24"/>
          <w:szCs w:val="24"/>
        </w:rPr>
        <w:t>1、本合同经双方授权代表签字盖章后生效。</w:t>
      </w:r>
    </w:p>
    <w:p>
      <w:pPr>
        <w:pStyle w:val="33"/>
        <w:spacing w:after="0" w:line="360" w:lineRule="auto"/>
        <w:ind w:firstLine="480" w:firstLineChars="200"/>
        <w:rPr>
          <w:rStyle w:val="10"/>
          <w:rFonts w:hAnsi="宋体"/>
          <w:sz w:val="24"/>
          <w:szCs w:val="24"/>
        </w:rPr>
      </w:pPr>
      <w:r>
        <w:rPr>
          <w:rStyle w:val="10"/>
          <w:rFonts w:hAnsi="宋体"/>
          <w:sz w:val="24"/>
          <w:szCs w:val="24"/>
        </w:rPr>
        <w:t>2、合同执行中，如需修改或补充合同内容，由双方协商另签署书面修改或补充协议作为主合同不可分割的一部分。</w:t>
      </w:r>
    </w:p>
    <w:p>
      <w:pPr>
        <w:pStyle w:val="33"/>
        <w:spacing w:after="0" w:line="360" w:lineRule="auto"/>
        <w:ind w:firstLine="480" w:firstLineChars="200"/>
        <w:rPr>
          <w:rStyle w:val="10"/>
          <w:rFonts w:hAnsi="宋体"/>
          <w:sz w:val="24"/>
          <w:szCs w:val="24"/>
        </w:rPr>
      </w:pPr>
      <w:r>
        <w:rPr>
          <w:rStyle w:val="10"/>
          <w:rFonts w:hAnsi="宋体"/>
          <w:sz w:val="24"/>
          <w:szCs w:val="24"/>
        </w:rPr>
        <w:t>3、双方保证严格遵守合同各项条款，如双方在协议执行中发生争议时，双方本着平等互利的原则以协商形式解决；如协商无法解决争议问题，则提请泰州市仲裁委员会仲裁。</w:t>
      </w:r>
    </w:p>
    <w:p>
      <w:pPr>
        <w:pStyle w:val="33"/>
        <w:spacing w:after="0" w:line="360" w:lineRule="auto"/>
        <w:ind w:firstLine="480" w:firstLineChars="200"/>
        <w:rPr>
          <w:rStyle w:val="10"/>
          <w:rFonts w:hAnsi="宋体"/>
          <w:sz w:val="24"/>
          <w:szCs w:val="24"/>
        </w:rPr>
      </w:pPr>
      <w:r>
        <w:rPr>
          <w:rStyle w:val="10"/>
          <w:rFonts w:hAnsi="宋体"/>
          <w:sz w:val="24"/>
          <w:szCs w:val="24"/>
        </w:rPr>
        <w:t>4、本合同一式叁份，甲方执贰份、乙方执壹份，具有同等法律效力。</w:t>
      </w:r>
    </w:p>
    <w:p>
      <w:pPr>
        <w:pStyle w:val="33"/>
        <w:spacing w:after="0" w:line="360" w:lineRule="auto"/>
        <w:ind w:firstLine="480" w:firstLineChars="200"/>
        <w:rPr>
          <w:rStyle w:val="10"/>
          <w:rFonts w:hAnsi="宋体"/>
          <w:sz w:val="24"/>
          <w:szCs w:val="24"/>
        </w:rPr>
      </w:pPr>
    </w:p>
    <w:p>
      <w:pPr>
        <w:pStyle w:val="33"/>
        <w:spacing w:after="0" w:line="360" w:lineRule="auto"/>
        <w:ind w:firstLine="480" w:firstLineChars="200"/>
        <w:rPr>
          <w:rStyle w:val="10"/>
          <w:rFonts w:hAnsi="宋体"/>
          <w:sz w:val="24"/>
          <w:szCs w:val="24"/>
        </w:rPr>
      </w:pPr>
      <w:r>
        <w:rPr>
          <w:rStyle w:val="10"/>
          <w:rFonts w:hAnsi="宋体"/>
          <w:sz w:val="24"/>
          <w:szCs w:val="24"/>
        </w:rPr>
        <w:t>甲方                                       乙方</w:t>
      </w:r>
    </w:p>
    <w:p>
      <w:pPr>
        <w:pStyle w:val="33"/>
        <w:spacing w:after="0" w:line="360" w:lineRule="auto"/>
        <w:ind w:firstLine="480" w:firstLineChars="200"/>
        <w:rPr>
          <w:rStyle w:val="10"/>
          <w:rFonts w:hAnsi="宋体"/>
          <w:sz w:val="24"/>
          <w:szCs w:val="24"/>
        </w:rPr>
      </w:pPr>
      <w:r>
        <w:rPr>
          <w:rStyle w:val="10"/>
          <w:rFonts w:hAnsi="宋体"/>
          <w:sz w:val="24"/>
          <w:szCs w:val="24"/>
        </w:rPr>
        <w:t>单位名称(章)：                              单位名称(章)：</w:t>
      </w:r>
    </w:p>
    <w:p>
      <w:pPr>
        <w:pStyle w:val="33"/>
        <w:spacing w:after="0" w:line="360" w:lineRule="auto"/>
        <w:ind w:firstLine="480" w:firstLineChars="200"/>
        <w:rPr>
          <w:rStyle w:val="10"/>
          <w:rFonts w:hAnsi="宋体"/>
          <w:sz w:val="24"/>
          <w:szCs w:val="24"/>
        </w:rPr>
      </w:pPr>
      <w:r>
        <w:rPr>
          <w:rStyle w:val="10"/>
          <w:rFonts w:hAnsi="宋体"/>
          <w:sz w:val="24"/>
          <w:szCs w:val="24"/>
        </w:rPr>
        <w:t xml:space="preserve">授权代表：                                 授权代表： </w:t>
      </w:r>
    </w:p>
    <w:p>
      <w:pPr>
        <w:pStyle w:val="33"/>
        <w:spacing w:after="0" w:line="360" w:lineRule="auto"/>
        <w:ind w:firstLine="480" w:firstLineChars="200"/>
        <w:rPr>
          <w:rStyle w:val="10"/>
          <w:rFonts w:hAnsi="宋体"/>
          <w:sz w:val="24"/>
          <w:szCs w:val="24"/>
        </w:rPr>
      </w:pPr>
      <w:r>
        <w:rPr>
          <w:rStyle w:val="10"/>
          <w:rFonts w:hAnsi="宋体"/>
          <w:sz w:val="24"/>
          <w:szCs w:val="24"/>
        </w:rPr>
        <w:t>日期：  年    月   日                      日期：  年   月   日</w:t>
      </w:r>
    </w:p>
    <w:p>
      <w:pPr>
        <w:pStyle w:val="33"/>
        <w:spacing w:after="0" w:line="360" w:lineRule="auto"/>
        <w:ind w:firstLine="480" w:firstLineChars="200"/>
        <w:rPr>
          <w:rStyle w:val="10"/>
          <w:rFonts w:hAnsi="宋体"/>
          <w:sz w:val="24"/>
          <w:szCs w:val="24"/>
        </w:rPr>
      </w:pPr>
      <w:r>
        <w:rPr>
          <w:rStyle w:val="10"/>
          <w:rFonts w:hAnsi="宋体"/>
          <w:sz w:val="24"/>
          <w:szCs w:val="24"/>
        </w:rPr>
        <w:t xml:space="preserve">地址：                                     地址： </w:t>
      </w:r>
    </w:p>
    <w:p>
      <w:pPr>
        <w:pStyle w:val="33"/>
        <w:spacing w:after="0" w:line="360" w:lineRule="auto"/>
        <w:ind w:firstLine="480" w:firstLineChars="200"/>
        <w:rPr>
          <w:rStyle w:val="10"/>
          <w:rFonts w:hAnsi="宋体"/>
          <w:sz w:val="24"/>
          <w:szCs w:val="24"/>
        </w:rPr>
      </w:pPr>
      <w:r>
        <w:rPr>
          <w:rStyle w:val="10"/>
          <w:rFonts w:hAnsi="宋体"/>
          <w:sz w:val="24"/>
          <w:szCs w:val="24"/>
        </w:rPr>
        <w:t>联系电话：                                 联系电话：</w:t>
      </w:r>
    </w:p>
    <w:p>
      <w:pPr>
        <w:pStyle w:val="33"/>
        <w:spacing w:after="0" w:line="360" w:lineRule="auto"/>
        <w:ind w:firstLine="480" w:firstLineChars="200"/>
        <w:rPr>
          <w:rStyle w:val="10"/>
          <w:rFonts w:hAnsi="宋体"/>
          <w:sz w:val="24"/>
          <w:szCs w:val="24"/>
        </w:rPr>
      </w:pPr>
      <w:r>
        <w:rPr>
          <w:rStyle w:val="10"/>
          <w:rFonts w:hAnsi="宋体"/>
          <w:sz w:val="24"/>
          <w:szCs w:val="24"/>
        </w:rPr>
        <w:t>邮政编码：                                 邮政编码：</w:t>
      </w:r>
    </w:p>
    <w:p>
      <w:pPr>
        <w:pStyle w:val="33"/>
        <w:spacing w:after="0" w:line="360" w:lineRule="auto"/>
        <w:ind w:firstLine="480" w:firstLineChars="200"/>
        <w:rPr>
          <w:rStyle w:val="10"/>
          <w:rFonts w:hAnsi="宋体"/>
          <w:sz w:val="24"/>
          <w:szCs w:val="24"/>
        </w:rPr>
      </w:pPr>
      <w:r>
        <w:rPr>
          <w:rStyle w:val="10"/>
          <w:rFonts w:hAnsi="宋体"/>
          <w:sz w:val="24"/>
          <w:szCs w:val="24"/>
        </w:rPr>
        <w:t xml:space="preserve">开 户 行:                                   开 户 行: </w:t>
      </w:r>
    </w:p>
    <w:p>
      <w:pPr>
        <w:pStyle w:val="33"/>
        <w:spacing w:after="0" w:line="360" w:lineRule="auto"/>
        <w:ind w:firstLine="480" w:firstLineChars="200"/>
        <w:rPr>
          <w:rStyle w:val="10"/>
          <w:rFonts w:hAnsi="宋体"/>
          <w:sz w:val="24"/>
          <w:szCs w:val="24"/>
        </w:rPr>
      </w:pPr>
      <w:r>
        <w:rPr>
          <w:rStyle w:val="10"/>
          <w:rFonts w:hAnsi="宋体"/>
          <w:sz w:val="24"/>
          <w:szCs w:val="24"/>
        </w:rPr>
        <w:t>帐号：                                      帐号：</w:t>
      </w:r>
    </w:p>
    <w:p>
      <w:pPr>
        <w:pStyle w:val="9"/>
        <w:pageBreakBefore/>
        <w:rPr>
          <w:rStyle w:val="10"/>
          <w:rFonts w:ascii="黑体" w:hAnsi="黑体" w:eastAsia="黑体"/>
          <w:szCs w:val="22"/>
        </w:rPr>
      </w:pPr>
      <w:r>
        <w:rPr>
          <w:rStyle w:val="10"/>
          <w:rFonts w:ascii="黑体" w:hAnsi="黑体" w:eastAsia="黑体"/>
          <w:szCs w:val="22"/>
        </w:rPr>
        <w:t>五. 附件</w:t>
      </w:r>
    </w:p>
    <w:p>
      <w:pPr>
        <w:jc w:val="left"/>
        <w:rPr>
          <w:rStyle w:val="10"/>
          <w:rFonts w:ascii="黑体" w:eastAsia="黑体"/>
          <w:bCs/>
          <w:sz w:val="24"/>
        </w:rPr>
      </w:pPr>
      <w:r>
        <w:rPr>
          <w:rStyle w:val="10"/>
          <w:rFonts w:ascii="黑体" w:eastAsia="黑体"/>
          <w:bCs/>
          <w:sz w:val="24"/>
        </w:rPr>
        <w:t>附件一：评分标准</w:t>
      </w:r>
    </w:p>
    <w:tbl>
      <w:tblPr>
        <w:tblStyle w:val="6"/>
        <w:tblW w:w="85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2"/>
        <w:gridCol w:w="7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blHeader/>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pPr>
              <w:spacing w:line="400" w:lineRule="atLeast"/>
              <w:jc w:val="center"/>
              <w:rPr>
                <w:rStyle w:val="10"/>
                <w:rFonts w:ascii="宋体" w:hAnsi="宋体"/>
                <w:b/>
                <w:color w:val="0D0D0D"/>
                <w:szCs w:val="21"/>
              </w:rPr>
            </w:pPr>
            <w:r>
              <w:rPr>
                <w:rStyle w:val="10"/>
                <w:rFonts w:ascii="宋体" w:hAnsi="宋体"/>
                <w:b/>
                <w:color w:val="0D0D0D"/>
                <w:szCs w:val="21"/>
              </w:rPr>
              <w:t>条款号</w:t>
            </w:r>
          </w:p>
        </w:tc>
        <w:tc>
          <w:tcPr>
            <w:tcW w:w="7261" w:type="dxa"/>
            <w:tcBorders>
              <w:top w:val="single" w:color="000000" w:sz="4" w:space="0"/>
              <w:left w:val="single" w:color="000000" w:sz="4" w:space="0"/>
              <w:bottom w:val="single" w:color="000000" w:sz="4" w:space="0"/>
              <w:right w:val="single" w:color="000000" w:sz="4" w:space="0"/>
            </w:tcBorders>
            <w:noWrap/>
            <w:vAlign w:val="center"/>
          </w:tcPr>
          <w:p>
            <w:pPr>
              <w:spacing w:line="400" w:lineRule="atLeast"/>
              <w:jc w:val="center"/>
              <w:rPr>
                <w:rStyle w:val="10"/>
                <w:rFonts w:ascii="宋体" w:hAnsi="宋体"/>
                <w:b/>
                <w:color w:val="0D0D0D"/>
                <w:szCs w:val="21"/>
              </w:rPr>
            </w:pPr>
            <w:r>
              <w:rPr>
                <w:rStyle w:val="10"/>
                <w:rFonts w:ascii="宋体" w:hAnsi="宋体"/>
                <w:b/>
                <w:color w:val="0D0D0D"/>
                <w:szCs w:val="21"/>
              </w:rPr>
              <w:t>条款内容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4"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Style w:val="10"/>
                <w:rFonts w:ascii="宋体" w:hAnsi="宋体"/>
                <w:sz w:val="24"/>
                <w:szCs w:val="24"/>
              </w:rPr>
            </w:pPr>
            <w:r>
              <w:rPr>
                <w:rStyle w:val="10"/>
                <w:rFonts w:ascii="宋体" w:hAnsi="宋体"/>
                <w:sz w:val="24"/>
                <w:szCs w:val="24"/>
              </w:rPr>
              <w:t>投标报价（70分）</w:t>
            </w:r>
          </w:p>
        </w:tc>
        <w:tc>
          <w:tcPr>
            <w:tcW w:w="7261"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jc w:val="left"/>
              <w:rPr>
                <w:rStyle w:val="10"/>
                <w:rFonts w:ascii="宋体" w:hAnsi="宋体"/>
                <w:sz w:val="24"/>
                <w:szCs w:val="24"/>
              </w:rPr>
            </w:pPr>
            <w:r>
              <w:rPr>
                <w:rStyle w:val="10"/>
                <w:rFonts w:ascii="宋体" w:hAnsi="宋体" w:cs="宋体"/>
                <w:bCs/>
                <w:sz w:val="24"/>
                <w:szCs w:val="24"/>
              </w:rPr>
              <w:t>有效折扣最低的供应商报价为评标基准价，其价格分为满分。其它供应商报价得分统一按照以下公式计算（小数点后保留两位）：报价得分=（最终报价/评标基准价）*70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rPr>
                <w:rStyle w:val="10"/>
                <w:rFonts w:ascii="宋体" w:hAnsi="宋体"/>
                <w:sz w:val="24"/>
                <w:szCs w:val="24"/>
              </w:rPr>
            </w:pPr>
            <w:r>
              <w:rPr>
                <w:rStyle w:val="10"/>
                <w:rFonts w:ascii="宋体" w:hAnsi="宋体" w:cs="宋体"/>
                <w:bCs/>
                <w:sz w:val="24"/>
                <w:szCs w:val="24"/>
              </w:rPr>
              <w:t>供应商介绍及答疑（15分）</w:t>
            </w:r>
          </w:p>
        </w:tc>
        <w:tc>
          <w:tcPr>
            <w:tcW w:w="7261"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left"/>
              <w:rPr>
                <w:rStyle w:val="10"/>
                <w:rFonts w:ascii="宋体" w:hAnsi="宋体"/>
                <w:sz w:val="24"/>
                <w:szCs w:val="24"/>
              </w:rPr>
            </w:pPr>
            <w:r>
              <w:rPr>
                <w:rStyle w:val="10"/>
                <w:rFonts w:ascii="宋体" w:hAnsi="宋体"/>
                <w:sz w:val="24"/>
                <w:szCs w:val="24"/>
              </w:rPr>
              <w:t>1、介绍答疑流畅（0-3分），2、论述结构严谨有层次（0-4分），3、服务新颖有特色（0-4分），4、服务水平印象（0-4分）。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7"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ind w:firstLine="235" w:firstLineChars="98"/>
              <w:jc w:val="center"/>
              <w:rPr>
                <w:rStyle w:val="10"/>
                <w:rFonts w:ascii="宋体" w:hAnsi="宋体"/>
                <w:sz w:val="24"/>
                <w:szCs w:val="24"/>
              </w:rPr>
            </w:pPr>
            <w:r>
              <w:rPr>
                <w:rStyle w:val="10"/>
                <w:rFonts w:ascii="宋体" w:hAnsi="宋体" w:cs="宋体"/>
                <w:bCs/>
                <w:sz w:val="24"/>
                <w:szCs w:val="24"/>
              </w:rPr>
              <w:t>经营业绩：</w:t>
            </w:r>
            <w:r>
              <w:rPr>
                <w:rStyle w:val="10"/>
                <w:rFonts w:ascii="宋体" w:hAnsi="宋体"/>
                <w:sz w:val="24"/>
                <w:szCs w:val="24"/>
              </w:rPr>
              <w:t>近三年业绩（3分）</w:t>
            </w:r>
          </w:p>
        </w:tc>
        <w:tc>
          <w:tcPr>
            <w:tcW w:w="7261"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left"/>
              <w:rPr>
                <w:rStyle w:val="10"/>
                <w:rFonts w:ascii="宋体" w:hAnsi="宋体"/>
                <w:sz w:val="24"/>
                <w:szCs w:val="24"/>
              </w:rPr>
            </w:pPr>
            <w:r>
              <w:rPr>
                <w:rStyle w:val="10"/>
                <w:rFonts w:ascii="宋体" w:hAnsi="宋体"/>
                <w:sz w:val="24"/>
                <w:szCs w:val="24"/>
              </w:rPr>
              <w:t>2019年1月1日至2021年11月30日经营高校图书馆、公共图书馆、科研机构图书馆等类似的业绩（须提供合同）。每提供一份合同得0.5分，最高得3分。（同一服务单位不同周期的合同只能算一份合同）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1"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Style w:val="10"/>
                <w:rFonts w:ascii="宋体" w:hAnsi="宋体"/>
                <w:sz w:val="24"/>
                <w:szCs w:val="24"/>
              </w:rPr>
            </w:pPr>
            <w:r>
              <w:rPr>
                <w:rStyle w:val="10"/>
                <w:rFonts w:ascii="宋体" w:hAnsi="宋体"/>
                <w:color w:val="000000"/>
                <w:sz w:val="24"/>
                <w:szCs w:val="24"/>
              </w:rPr>
              <w:t>服务能力（2分）</w:t>
            </w:r>
          </w:p>
        </w:tc>
        <w:tc>
          <w:tcPr>
            <w:tcW w:w="7261" w:type="dxa"/>
            <w:tcBorders>
              <w:top w:val="single" w:color="000000" w:sz="4" w:space="0"/>
              <w:left w:val="single" w:color="000000" w:sz="4" w:space="0"/>
              <w:bottom w:val="single" w:color="000000" w:sz="4" w:space="0"/>
              <w:right w:val="single" w:color="000000" w:sz="4" w:space="0"/>
            </w:tcBorders>
            <w:noWrap/>
          </w:tcPr>
          <w:p>
            <w:pPr>
              <w:spacing w:line="400" w:lineRule="exact"/>
              <w:rPr>
                <w:rStyle w:val="10"/>
                <w:rFonts w:ascii="宋体" w:hAnsi="宋体"/>
                <w:sz w:val="24"/>
                <w:szCs w:val="24"/>
              </w:rPr>
            </w:pPr>
            <w:r>
              <w:rPr>
                <w:rStyle w:val="10"/>
                <w:rFonts w:ascii="宋体" w:hAnsi="宋体"/>
                <w:color w:val="000000"/>
                <w:sz w:val="24"/>
                <w:szCs w:val="24"/>
              </w:rPr>
              <w:t>有组织现采的能力，能够组织参加大型图书博览会等。（需提供之前组织过现采会议的案例证明材料或承诺书）。提供新书目录更新、对编目数据的特殊要求能及时响应，提供图书免费加工服务。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2"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Style w:val="10"/>
                <w:rFonts w:ascii="宋体" w:hAnsi="宋体"/>
                <w:color w:val="000000"/>
                <w:sz w:val="24"/>
                <w:szCs w:val="24"/>
              </w:rPr>
            </w:pPr>
            <w:r>
              <w:rPr>
                <w:rStyle w:val="10"/>
                <w:rFonts w:ascii="宋体" w:hAnsi="宋体" w:cs="宋体"/>
                <w:bCs/>
                <w:sz w:val="24"/>
                <w:szCs w:val="24"/>
              </w:rPr>
              <w:t>服务承诺(3分）</w:t>
            </w:r>
          </w:p>
        </w:tc>
        <w:tc>
          <w:tcPr>
            <w:tcW w:w="7261" w:type="dxa"/>
            <w:tcBorders>
              <w:top w:val="single" w:color="000000" w:sz="4" w:space="0"/>
              <w:left w:val="single" w:color="000000" w:sz="4" w:space="0"/>
              <w:bottom w:val="single" w:color="000000" w:sz="4" w:space="0"/>
              <w:right w:val="single" w:color="000000" w:sz="4" w:space="0"/>
            </w:tcBorders>
            <w:noWrap/>
          </w:tcPr>
          <w:p>
            <w:pPr>
              <w:spacing w:line="400" w:lineRule="exact"/>
              <w:rPr>
                <w:rStyle w:val="10"/>
                <w:sz w:val="24"/>
                <w:szCs w:val="24"/>
              </w:rPr>
            </w:pPr>
            <w:r>
              <w:rPr>
                <w:rStyle w:val="10"/>
                <w:sz w:val="24"/>
                <w:szCs w:val="24"/>
              </w:rPr>
              <w:t>保证中文图书质量，无条件接受退书</w:t>
            </w:r>
          </w:p>
          <w:p>
            <w:pPr>
              <w:pStyle w:val="2"/>
              <w:ind w:left="0" w:leftChars="0"/>
              <w:rPr>
                <w:rStyle w:val="10"/>
              </w:rPr>
            </w:pPr>
            <w:r>
              <w:rPr>
                <w:rStyle w:val="10"/>
                <w:rFonts w:ascii="宋体" w:hAnsi="宋体"/>
                <w:sz w:val="24"/>
                <w:szCs w:val="24"/>
              </w:rPr>
              <w:t>保证全部中文图书均为正版，对在采购周期内存在质量问题的中文图书及形成的余书应无条件接受退书。（同时提供承诺书及同类5家高校及以上满意度证明加盖高校图书馆印章）。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Style w:val="10"/>
                <w:rFonts w:ascii="宋体" w:hAnsi="宋体" w:cs="宋体"/>
                <w:bCs/>
                <w:sz w:val="24"/>
                <w:szCs w:val="24"/>
              </w:rPr>
            </w:pPr>
            <w:r>
              <w:rPr>
                <w:rStyle w:val="10"/>
                <w:rFonts w:ascii="宋体" w:hAnsi="宋体"/>
                <w:sz w:val="24"/>
                <w:szCs w:val="24"/>
              </w:rPr>
              <w:t>伴随服务（2分）</w:t>
            </w:r>
          </w:p>
        </w:tc>
        <w:tc>
          <w:tcPr>
            <w:tcW w:w="7261"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left"/>
              <w:rPr>
                <w:rStyle w:val="10"/>
                <w:rFonts w:ascii="宋体" w:hAnsi="宋体"/>
                <w:sz w:val="24"/>
                <w:szCs w:val="24"/>
              </w:rPr>
            </w:pPr>
            <w:r>
              <w:rPr>
                <w:rStyle w:val="10"/>
                <w:rFonts w:ascii="宋体" w:hAnsi="宋体"/>
                <w:sz w:val="24"/>
                <w:szCs w:val="24"/>
              </w:rPr>
              <w:t>加工作为伴随服务，须提供现场或远程编目、加工服务，投标人须有编目加工队伍，且编目加工人有相应资质（提供两个及以上编目员证书复印件加盖单位公章，原件开评标期间携带备查）。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1" w:hRule="atLeast"/>
          <w:jc w:val="center"/>
        </w:trPr>
        <w:tc>
          <w:tcPr>
            <w:tcW w:w="1262"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center"/>
              <w:rPr>
                <w:rStyle w:val="10"/>
                <w:rFonts w:ascii="宋体" w:hAnsi="宋体"/>
                <w:sz w:val="24"/>
                <w:szCs w:val="24"/>
              </w:rPr>
            </w:pPr>
            <w:r>
              <w:rPr>
                <w:rStyle w:val="10"/>
                <w:rFonts w:ascii="宋体" w:hAnsi="宋体"/>
                <w:sz w:val="24"/>
                <w:szCs w:val="24"/>
              </w:rPr>
              <w:t>特色服务（5分）</w:t>
            </w:r>
          </w:p>
        </w:tc>
        <w:tc>
          <w:tcPr>
            <w:tcW w:w="7261" w:type="dxa"/>
            <w:tcBorders>
              <w:top w:val="single" w:color="000000" w:sz="4" w:space="0"/>
              <w:left w:val="single" w:color="000000" w:sz="4" w:space="0"/>
              <w:bottom w:val="single" w:color="000000" w:sz="4" w:space="0"/>
              <w:right w:val="single" w:color="000000" w:sz="4" w:space="0"/>
            </w:tcBorders>
            <w:noWrap/>
            <w:vAlign w:val="center"/>
          </w:tcPr>
          <w:p>
            <w:pPr>
              <w:spacing w:line="400" w:lineRule="exact"/>
              <w:jc w:val="left"/>
              <w:rPr>
                <w:rStyle w:val="10"/>
                <w:rFonts w:ascii="宋体" w:hAnsi="宋体"/>
                <w:sz w:val="24"/>
                <w:szCs w:val="24"/>
              </w:rPr>
            </w:pPr>
            <w:r>
              <w:rPr>
                <w:rStyle w:val="10"/>
                <w:rFonts w:ascii="宋体" w:hAnsi="宋体"/>
                <w:sz w:val="24"/>
                <w:szCs w:val="24"/>
              </w:rPr>
              <w:t>投标人承诺的服务内容对采购人有实际意义，且该项特色服务得到采购方认可的情况进行打分，每提供1项加1分，最多得5分。未提供的不得分。（人员培训、读书报告、协助开展阅读推广活动、提供活动奖品等）</w:t>
            </w:r>
          </w:p>
        </w:tc>
      </w:tr>
    </w:tbl>
    <w:p>
      <w:pPr>
        <w:rPr>
          <w:rStyle w:val="10"/>
        </w:rPr>
      </w:pPr>
      <w:r>
        <w:rPr>
          <w:rStyle w:val="10"/>
          <w:rFonts w:ascii="宋体" w:hAnsi="宋体"/>
          <w:color w:val="000000"/>
          <w:szCs w:val="21"/>
        </w:rPr>
        <w:t xml:space="preserve"> </w:t>
      </w:r>
    </w:p>
    <w:p>
      <w:pPr>
        <w:rPr>
          <w:rStyle w:val="10"/>
        </w:rPr>
      </w:pPr>
    </w:p>
    <w:p>
      <w:pPr>
        <w:rPr>
          <w:rStyle w:val="10"/>
        </w:rPr>
      </w:pPr>
    </w:p>
    <w:p>
      <w:pPr>
        <w:tabs>
          <w:tab w:val="left" w:pos="7422"/>
        </w:tabs>
        <w:rPr>
          <w:rStyle w:val="10"/>
        </w:rPr>
      </w:pPr>
      <w:r>
        <w:rPr>
          <w:rStyle w:val="10"/>
        </w:rPr>
        <w:tab/>
      </w:r>
    </w:p>
    <w:p>
      <w:pPr>
        <w:rPr>
          <w:rStyle w:val="10"/>
        </w:rPr>
      </w:pPr>
    </w:p>
    <w:p>
      <w:pPr>
        <w:rPr>
          <w:rStyle w:val="10"/>
        </w:rPr>
      </w:pPr>
    </w:p>
    <w:p>
      <w:pPr>
        <w:rPr>
          <w:rStyle w:val="10"/>
        </w:rPr>
      </w:pPr>
    </w:p>
    <w:p>
      <w:pPr>
        <w:tabs>
          <w:tab w:val="left" w:pos="945"/>
        </w:tabs>
        <w:spacing w:line="360" w:lineRule="auto"/>
        <w:rPr>
          <w:rStyle w:val="10"/>
          <w:rFonts w:ascii="黑体" w:eastAsia="黑体"/>
          <w:bCs/>
          <w:sz w:val="24"/>
        </w:rPr>
      </w:pPr>
      <w:r>
        <w:rPr>
          <w:rStyle w:val="10"/>
          <w:rFonts w:ascii="黑体" w:eastAsia="黑体"/>
          <w:bCs/>
          <w:sz w:val="24"/>
        </w:rPr>
        <w:t>附件二：投标文件格式</w:t>
      </w:r>
    </w:p>
    <w:p>
      <w:pPr>
        <w:rPr>
          <w:rStyle w:val="10"/>
          <w:rFonts w:ascii="黑体" w:eastAsia="黑体"/>
          <w:bCs/>
          <w:sz w:val="32"/>
        </w:rPr>
      </w:pPr>
    </w:p>
    <w:p>
      <w:pPr>
        <w:rPr>
          <w:rStyle w:val="10"/>
          <w:rFonts w:ascii="黑体" w:eastAsia="黑体"/>
          <w:bCs/>
          <w:sz w:val="32"/>
        </w:rPr>
      </w:pPr>
    </w:p>
    <w:p>
      <w:pPr>
        <w:jc w:val="center"/>
        <w:rPr>
          <w:rStyle w:val="10"/>
          <w:rFonts w:ascii="黑体" w:eastAsia="黑体"/>
          <w:bCs/>
          <w:sz w:val="52"/>
          <w:szCs w:val="52"/>
        </w:rPr>
      </w:pPr>
      <w:r>
        <w:rPr>
          <w:rStyle w:val="10"/>
          <w:rFonts w:ascii="黑体" w:eastAsia="黑体"/>
          <w:bCs/>
          <w:sz w:val="52"/>
          <w:szCs w:val="52"/>
        </w:rPr>
        <w:t>投</w:t>
      </w:r>
    </w:p>
    <w:p>
      <w:pPr>
        <w:jc w:val="center"/>
        <w:rPr>
          <w:rStyle w:val="10"/>
          <w:rFonts w:ascii="黑体" w:eastAsia="黑体"/>
          <w:bCs/>
          <w:sz w:val="72"/>
        </w:rPr>
      </w:pPr>
    </w:p>
    <w:p>
      <w:pPr>
        <w:jc w:val="center"/>
        <w:rPr>
          <w:rStyle w:val="10"/>
          <w:rFonts w:ascii="黑体" w:eastAsia="黑体"/>
          <w:bCs/>
          <w:sz w:val="52"/>
          <w:szCs w:val="52"/>
        </w:rPr>
      </w:pPr>
      <w:r>
        <w:rPr>
          <w:rStyle w:val="10"/>
          <w:rFonts w:ascii="黑体" w:eastAsia="黑体"/>
          <w:bCs/>
          <w:sz w:val="52"/>
          <w:szCs w:val="52"/>
        </w:rPr>
        <w:t>标</w:t>
      </w:r>
    </w:p>
    <w:p>
      <w:pPr>
        <w:jc w:val="center"/>
        <w:rPr>
          <w:rStyle w:val="10"/>
          <w:rFonts w:ascii="黑体" w:eastAsia="黑体"/>
          <w:bCs/>
          <w:sz w:val="72"/>
        </w:rPr>
      </w:pPr>
    </w:p>
    <w:p>
      <w:pPr>
        <w:jc w:val="center"/>
        <w:rPr>
          <w:rStyle w:val="10"/>
          <w:rFonts w:ascii="黑体" w:eastAsia="黑体"/>
          <w:bCs/>
          <w:sz w:val="52"/>
          <w:szCs w:val="52"/>
        </w:rPr>
      </w:pPr>
      <w:r>
        <w:rPr>
          <w:rStyle w:val="10"/>
          <w:rFonts w:ascii="黑体" w:eastAsia="黑体"/>
          <w:bCs/>
          <w:sz w:val="52"/>
          <w:szCs w:val="52"/>
        </w:rPr>
        <w:t>文</w:t>
      </w:r>
    </w:p>
    <w:p>
      <w:pPr>
        <w:jc w:val="center"/>
        <w:rPr>
          <w:rStyle w:val="10"/>
          <w:rFonts w:ascii="黑体" w:eastAsia="黑体"/>
          <w:bCs/>
          <w:sz w:val="52"/>
          <w:szCs w:val="52"/>
        </w:rPr>
      </w:pPr>
    </w:p>
    <w:p>
      <w:pPr>
        <w:jc w:val="center"/>
        <w:rPr>
          <w:rStyle w:val="10"/>
          <w:rFonts w:ascii="黑体" w:eastAsia="黑体"/>
          <w:bCs/>
          <w:sz w:val="52"/>
          <w:szCs w:val="52"/>
        </w:rPr>
      </w:pPr>
      <w:r>
        <w:rPr>
          <w:rStyle w:val="10"/>
          <w:rFonts w:ascii="黑体" w:eastAsia="黑体"/>
          <w:bCs/>
          <w:sz w:val="52"/>
          <w:szCs w:val="52"/>
        </w:rPr>
        <w:t>件</w:t>
      </w:r>
    </w:p>
    <w:p>
      <w:pPr>
        <w:rPr>
          <w:rStyle w:val="10"/>
          <w:rFonts w:ascii="楷体_GB2312" w:eastAsia="楷体_GB2312"/>
          <w:bCs/>
          <w:sz w:val="72"/>
        </w:rPr>
      </w:pPr>
    </w:p>
    <w:p>
      <w:pPr>
        <w:rPr>
          <w:rStyle w:val="10"/>
          <w:rFonts w:ascii="楷体_GB2312" w:eastAsia="楷体_GB2312"/>
          <w:bCs/>
          <w:sz w:val="28"/>
        </w:rPr>
      </w:pPr>
    </w:p>
    <w:p>
      <w:pPr>
        <w:rPr>
          <w:rStyle w:val="10"/>
          <w:rFonts w:ascii="黑体" w:eastAsia="黑体"/>
          <w:bCs/>
          <w:sz w:val="28"/>
          <w:szCs w:val="28"/>
        </w:rPr>
      </w:pPr>
      <w:r>
        <w:rPr>
          <w:rStyle w:val="10"/>
          <w:rFonts w:ascii="黑体" w:eastAsia="黑体"/>
          <w:bCs/>
          <w:sz w:val="28"/>
          <w:szCs w:val="28"/>
        </w:rPr>
        <w:t>项目编号：TZLC20220621</w:t>
      </w:r>
    </w:p>
    <w:p>
      <w:pPr>
        <w:rPr>
          <w:rStyle w:val="10"/>
          <w:rFonts w:ascii="黑体" w:eastAsia="黑体"/>
          <w:bCs/>
          <w:sz w:val="28"/>
          <w:szCs w:val="28"/>
        </w:rPr>
      </w:pPr>
      <w:r>
        <w:rPr>
          <w:rStyle w:val="10"/>
          <w:rFonts w:ascii="黑体" w:eastAsia="黑体"/>
          <w:bCs/>
          <w:sz w:val="28"/>
          <w:szCs w:val="28"/>
        </w:rPr>
        <w:t>项目名称：2022年折扣图书定点采购项目</w:t>
      </w:r>
    </w:p>
    <w:p>
      <w:pPr>
        <w:rPr>
          <w:rStyle w:val="10"/>
          <w:rFonts w:ascii="黑体" w:eastAsia="黑体"/>
          <w:bCs/>
          <w:sz w:val="28"/>
          <w:szCs w:val="28"/>
        </w:rPr>
      </w:pPr>
      <w:r>
        <w:rPr>
          <w:rStyle w:val="10"/>
          <w:rFonts w:ascii="黑体" w:eastAsia="黑体"/>
          <w:bCs/>
          <w:sz w:val="28"/>
          <w:szCs w:val="28"/>
        </w:rPr>
        <w:t>投标人：</w:t>
      </w:r>
    </w:p>
    <w:p>
      <w:pPr>
        <w:rPr>
          <w:rStyle w:val="10"/>
          <w:rFonts w:ascii="黑体" w:eastAsia="黑体"/>
          <w:bCs/>
          <w:sz w:val="32"/>
        </w:rPr>
      </w:pPr>
    </w:p>
    <w:p>
      <w:pPr>
        <w:jc w:val="center"/>
        <w:rPr>
          <w:rStyle w:val="10"/>
          <w:rFonts w:ascii="黑体" w:eastAsia="黑体"/>
          <w:bCs/>
          <w:sz w:val="36"/>
          <w:szCs w:val="36"/>
        </w:rPr>
      </w:pPr>
      <w:r>
        <w:rPr>
          <w:rStyle w:val="10"/>
          <w:rFonts w:ascii="黑体" w:eastAsia="黑体"/>
          <w:bCs/>
          <w:sz w:val="36"/>
          <w:szCs w:val="36"/>
        </w:rPr>
        <w:t>2022年  月  日</w:t>
      </w:r>
    </w:p>
    <w:p>
      <w:pPr>
        <w:rPr>
          <w:rStyle w:val="10"/>
          <w:kern w:val="0"/>
        </w:rPr>
      </w:pPr>
      <w:r>
        <w:rPr>
          <w:rStyle w:val="10"/>
          <w:kern w:val="0"/>
        </w:rPr>
        <w:br w:type="textWrapping"/>
      </w:r>
    </w:p>
    <w:p>
      <w:pPr>
        <w:rPr>
          <w:rStyle w:val="10"/>
          <w:rFonts w:ascii="黑体" w:hAnsi="宋体" w:eastAsia="黑体"/>
          <w:bCs/>
          <w:sz w:val="24"/>
        </w:rPr>
      </w:pPr>
      <w:r>
        <w:rPr>
          <w:rStyle w:val="10"/>
          <w:rFonts w:ascii="黑体" w:hAnsi="宋体" w:eastAsia="黑体"/>
          <w:bCs/>
          <w:sz w:val="24"/>
        </w:rPr>
        <w:t>（一）投标函（格式）：</w:t>
      </w:r>
    </w:p>
    <w:p>
      <w:pPr>
        <w:spacing w:line="360" w:lineRule="auto"/>
        <w:jc w:val="center"/>
        <w:rPr>
          <w:rStyle w:val="10"/>
          <w:rFonts w:ascii="宋体"/>
          <w:bCs/>
          <w:sz w:val="24"/>
        </w:rPr>
      </w:pPr>
      <w:r>
        <w:rPr>
          <w:rStyle w:val="10"/>
          <w:rFonts w:ascii="黑体" w:eastAsia="黑体"/>
          <w:bCs/>
          <w:sz w:val="28"/>
          <w:szCs w:val="28"/>
        </w:rPr>
        <w:t>投标函</w:t>
      </w:r>
    </w:p>
    <w:p>
      <w:pPr>
        <w:spacing w:line="360" w:lineRule="auto"/>
        <w:rPr>
          <w:rStyle w:val="10"/>
          <w:rFonts w:ascii="宋体"/>
          <w:bCs/>
          <w:sz w:val="24"/>
        </w:rPr>
      </w:pPr>
      <w:r>
        <w:rPr>
          <w:rStyle w:val="10"/>
          <w:rFonts w:ascii="宋体" w:hAnsi="宋体"/>
          <w:bCs/>
          <w:sz w:val="24"/>
        </w:rPr>
        <w:t>致泰州职业技术学院：</w:t>
      </w:r>
    </w:p>
    <w:p>
      <w:pPr>
        <w:spacing w:line="360" w:lineRule="auto"/>
        <w:ind w:firstLine="480" w:firstLineChars="200"/>
        <w:rPr>
          <w:rStyle w:val="10"/>
          <w:rFonts w:ascii="宋体"/>
          <w:bCs/>
          <w:sz w:val="24"/>
        </w:rPr>
      </w:pPr>
      <w:r>
        <w:rPr>
          <w:rStyle w:val="10"/>
          <w:rFonts w:ascii="宋体" w:hAnsi="宋体"/>
          <w:bCs/>
          <w:sz w:val="24"/>
        </w:rPr>
        <w:t>我方收到贵方编号TZLC20220621招标文件，经仔细阅读和研究，我方决定参加此项目的投标。</w:t>
      </w:r>
    </w:p>
    <w:p>
      <w:pPr>
        <w:numPr>
          <w:ilvl w:val="0"/>
          <w:numId w:val="16"/>
        </w:numPr>
        <w:tabs>
          <w:tab w:val="left" w:pos="315"/>
          <w:tab w:val="left" w:pos="840"/>
          <w:tab w:val="left" w:pos="945"/>
          <w:tab w:val="left" w:pos="1050"/>
          <w:tab w:val="left" w:pos="1260"/>
        </w:tabs>
        <w:spacing w:line="360" w:lineRule="auto"/>
        <w:ind w:left="0" w:firstLine="525"/>
        <w:rPr>
          <w:rStyle w:val="10"/>
          <w:rFonts w:ascii="宋体"/>
          <w:bCs/>
          <w:sz w:val="24"/>
        </w:rPr>
      </w:pPr>
      <w:r>
        <w:rPr>
          <w:rStyle w:val="10"/>
          <w:rFonts w:ascii="宋体" w:hAnsi="宋体"/>
          <w:bCs/>
          <w:sz w:val="24"/>
        </w:rPr>
        <w:t>我方愿意按照招标文件的一切要求提供本项目的投标，所投折扣见《开标一览表》。</w:t>
      </w:r>
    </w:p>
    <w:p>
      <w:pPr>
        <w:numPr>
          <w:ilvl w:val="0"/>
          <w:numId w:val="16"/>
        </w:numPr>
        <w:tabs>
          <w:tab w:val="left" w:pos="0"/>
          <w:tab w:val="left" w:pos="315"/>
          <w:tab w:val="left" w:pos="525"/>
          <w:tab w:val="left" w:pos="840"/>
          <w:tab w:val="left" w:pos="945"/>
          <w:tab w:val="left" w:pos="1050"/>
        </w:tabs>
        <w:spacing w:line="360" w:lineRule="auto"/>
        <w:ind w:left="0" w:firstLine="523" w:firstLineChars="218"/>
        <w:rPr>
          <w:rStyle w:val="12"/>
          <w:rFonts w:hAnsi="Times New Roman"/>
        </w:rPr>
      </w:pPr>
      <w:r>
        <w:rPr>
          <w:rStyle w:val="10"/>
          <w:rFonts w:ascii="宋体" w:hAnsi="宋体"/>
          <w:bCs/>
          <w:sz w:val="24"/>
        </w:rPr>
        <w:t>我方愿意提供泰州职业技术学院在招标文件中要求的文件、资料。</w:t>
      </w:r>
    </w:p>
    <w:p>
      <w:pPr>
        <w:numPr>
          <w:ilvl w:val="0"/>
          <w:numId w:val="16"/>
        </w:numPr>
        <w:tabs>
          <w:tab w:val="left" w:pos="0"/>
          <w:tab w:val="left" w:pos="315"/>
          <w:tab w:val="left" w:pos="525"/>
          <w:tab w:val="left" w:pos="945"/>
          <w:tab w:val="left" w:pos="1050"/>
        </w:tabs>
        <w:spacing w:line="360" w:lineRule="auto"/>
        <w:ind w:left="0" w:firstLine="523" w:firstLineChars="218"/>
        <w:rPr>
          <w:rStyle w:val="10"/>
        </w:rPr>
      </w:pPr>
      <w:r>
        <w:rPr>
          <w:rStyle w:val="10"/>
          <w:rFonts w:ascii="宋体" w:hAnsi="宋体"/>
          <w:bCs/>
          <w:sz w:val="24"/>
        </w:rPr>
        <w:t>我方同意按招标文件中的规定，本投标文件投标的有效期限为开标之日起90天。</w:t>
      </w:r>
    </w:p>
    <w:p>
      <w:pPr>
        <w:numPr>
          <w:ilvl w:val="0"/>
          <w:numId w:val="16"/>
        </w:numPr>
        <w:tabs>
          <w:tab w:val="left" w:pos="0"/>
          <w:tab w:val="left" w:pos="315"/>
          <w:tab w:val="left" w:pos="525"/>
          <w:tab w:val="left" w:pos="945"/>
          <w:tab w:val="left" w:pos="1050"/>
        </w:tabs>
        <w:spacing w:line="360" w:lineRule="auto"/>
        <w:ind w:left="0" w:firstLine="523" w:firstLineChars="218"/>
        <w:rPr>
          <w:rStyle w:val="10"/>
          <w:rFonts w:ascii="宋体"/>
          <w:bCs/>
          <w:sz w:val="24"/>
        </w:rPr>
      </w:pPr>
      <w:r>
        <w:rPr>
          <w:rStyle w:val="10"/>
          <w:rFonts w:ascii="宋体" w:hAnsi="宋体"/>
          <w:bCs/>
          <w:sz w:val="24"/>
        </w:rPr>
        <w:t>如果我方的投标文件被接受，我方将履行招标文件中规定的每一项要求，按期、按质、按量，完成交货任务。</w:t>
      </w:r>
    </w:p>
    <w:p>
      <w:pPr>
        <w:numPr>
          <w:ilvl w:val="0"/>
          <w:numId w:val="16"/>
        </w:numPr>
        <w:tabs>
          <w:tab w:val="left" w:pos="0"/>
          <w:tab w:val="left" w:pos="315"/>
          <w:tab w:val="left" w:pos="525"/>
          <w:tab w:val="left" w:pos="945"/>
          <w:tab w:val="left" w:pos="1050"/>
        </w:tabs>
        <w:spacing w:line="360" w:lineRule="auto"/>
        <w:ind w:left="0" w:firstLine="523" w:firstLineChars="218"/>
        <w:rPr>
          <w:rStyle w:val="10"/>
          <w:rFonts w:ascii="宋体"/>
          <w:bCs/>
          <w:sz w:val="24"/>
        </w:rPr>
      </w:pPr>
      <w:r>
        <w:rPr>
          <w:rStyle w:val="10"/>
          <w:rFonts w:ascii="宋体" w:hAnsi="宋体"/>
          <w:bCs/>
          <w:sz w:val="24"/>
        </w:rPr>
        <w:t>我方认为贵单位有权决定中标人。</w:t>
      </w:r>
    </w:p>
    <w:p>
      <w:pPr>
        <w:numPr>
          <w:ilvl w:val="0"/>
          <w:numId w:val="16"/>
        </w:numPr>
        <w:tabs>
          <w:tab w:val="left" w:pos="0"/>
          <w:tab w:val="left" w:pos="315"/>
          <w:tab w:val="left" w:pos="525"/>
          <w:tab w:val="left" w:pos="945"/>
          <w:tab w:val="left" w:pos="1050"/>
        </w:tabs>
        <w:spacing w:line="360" w:lineRule="auto"/>
        <w:ind w:left="0" w:firstLine="523" w:firstLineChars="218"/>
        <w:rPr>
          <w:rStyle w:val="10"/>
          <w:rFonts w:ascii="宋体"/>
          <w:bCs/>
          <w:sz w:val="24"/>
        </w:rPr>
      </w:pPr>
      <w:r>
        <w:rPr>
          <w:rStyle w:val="10"/>
          <w:rFonts w:ascii="宋体" w:hAnsi="宋体"/>
          <w:bCs/>
          <w:sz w:val="24"/>
        </w:rPr>
        <w:t>我方愿意遵守《中华人民共和国政府采购法》，并按《中华人民共和国民法典》、财政部《政府采购货物和服务招标投标管理办法》</w:t>
      </w:r>
      <w:r>
        <w:rPr>
          <w:rStyle w:val="10"/>
          <w:rFonts w:ascii="宋体" w:hAnsi="宋体"/>
          <w:sz w:val="24"/>
        </w:rPr>
        <w:t>和</w:t>
      </w:r>
      <w:r>
        <w:rPr>
          <w:rStyle w:val="10"/>
          <w:rFonts w:ascii="宋体" w:hAnsi="宋体"/>
          <w:bCs/>
          <w:sz w:val="24"/>
        </w:rPr>
        <w:t>合同条款履行自己的全部责任。</w:t>
      </w:r>
    </w:p>
    <w:p>
      <w:pPr>
        <w:numPr>
          <w:ilvl w:val="0"/>
          <w:numId w:val="16"/>
        </w:numPr>
        <w:tabs>
          <w:tab w:val="left" w:pos="0"/>
          <w:tab w:val="left" w:pos="315"/>
          <w:tab w:val="left" w:pos="525"/>
          <w:tab w:val="left" w:pos="945"/>
          <w:tab w:val="left" w:pos="1050"/>
        </w:tabs>
        <w:spacing w:line="360" w:lineRule="auto"/>
        <w:ind w:left="0" w:firstLine="523" w:firstLineChars="218"/>
        <w:rPr>
          <w:rStyle w:val="10"/>
          <w:rFonts w:ascii="宋体"/>
          <w:bCs/>
          <w:sz w:val="24"/>
        </w:rPr>
      </w:pPr>
      <w:r>
        <w:rPr>
          <w:rStyle w:val="10"/>
          <w:rFonts w:ascii="宋体" w:hAnsi="宋体"/>
          <w:bCs/>
          <w:sz w:val="24"/>
        </w:rPr>
        <w:t>我方认可并遵守招标文件所有规定，放弃对招标文件提出质疑的权利。</w:t>
      </w:r>
    </w:p>
    <w:p>
      <w:pPr>
        <w:numPr>
          <w:ilvl w:val="0"/>
          <w:numId w:val="16"/>
        </w:numPr>
        <w:tabs>
          <w:tab w:val="left" w:pos="0"/>
          <w:tab w:val="left" w:pos="315"/>
          <w:tab w:val="left" w:pos="525"/>
          <w:tab w:val="left" w:pos="945"/>
          <w:tab w:val="left" w:pos="1050"/>
        </w:tabs>
        <w:spacing w:line="360" w:lineRule="auto"/>
        <w:ind w:left="0" w:firstLine="523" w:firstLineChars="218"/>
        <w:rPr>
          <w:rStyle w:val="10"/>
          <w:rFonts w:ascii="宋体"/>
          <w:bCs/>
          <w:sz w:val="24"/>
        </w:rPr>
      </w:pPr>
      <w:r>
        <w:rPr>
          <w:rStyle w:val="10"/>
          <w:rFonts w:ascii="宋体" w:hAnsi="宋体"/>
          <w:bCs/>
          <w:sz w:val="24"/>
        </w:rPr>
        <w:t>如果我方被确定为中标人，我方愿意在</w:t>
      </w:r>
      <w:r>
        <w:rPr>
          <w:rStyle w:val="10"/>
          <w:rFonts w:ascii="宋体" w:hAnsi="宋体"/>
          <w:sz w:val="24"/>
        </w:rPr>
        <w:t>合同签订前向</w:t>
      </w:r>
      <w:r>
        <w:rPr>
          <w:rStyle w:val="10"/>
          <w:rFonts w:ascii="宋体" w:hAnsi="宋体"/>
          <w:bCs/>
          <w:sz w:val="24"/>
        </w:rPr>
        <w:t>招标人交纳人民币伍万元的履约保证金。且我方如无不可抗力，又未履行招标文件、投标文件和合同条款的，一经查实，我方愿意赔偿由此而造成的一切损失，并同意接受按招标文件的相关要求对我方进行的处罚。</w:t>
      </w:r>
    </w:p>
    <w:p>
      <w:pPr>
        <w:numPr>
          <w:ilvl w:val="0"/>
          <w:numId w:val="16"/>
        </w:numPr>
        <w:tabs>
          <w:tab w:val="left" w:pos="0"/>
          <w:tab w:val="left" w:pos="315"/>
          <w:tab w:val="left" w:pos="525"/>
          <w:tab w:val="left" w:pos="945"/>
          <w:tab w:val="left" w:pos="1050"/>
        </w:tabs>
        <w:spacing w:line="360" w:lineRule="auto"/>
        <w:ind w:left="0" w:firstLine="523" w:firstLineChars="218"/>
        <w:rPr>
          <w:rStyle w:val="10"/>
          <w:rFonts w:ascii="宋体"/>
          <w:bCs/>
          <w:sz w:val="24"/>
        </w:rPr>
      </w:pPr>
      <w:r>
        <w:rPr>
          <w:rStyle w:val="10"/>
          <w:rFonts w:ascii="宋体" w:hAnsi="宋体"/>
          <w:bCs/>
          <w:sz w:val="24"/>
        </w:rPr>
        <w:t>我方决不提供虚假材料谋取中标、决不采取不正当手段诋毁、排挤其他投标人、决不与招标人、其它投标人或者代理公司恶意串通、决不向招标人、代理公司工作人员和评委进行商业贿赂、决不在采购过程中与招标人进行协商谈判、决不拒绝有关部门监督检查或提供虚假情况，如有违反，无条件接受贵方及相关管理部门的处罚。</w:t>
      </w:r>
    </w:p>
    <w:p>
      <w:pPr>
        <w:spacing w:line="400" w:lineRule="exact"/>
        <w:ind w:firstLine="480" w:firstLineChars="200"/>
        <w:rPr>
          <w:rStyle w:val="10"/>
          <w:rFonts w:ascii="宋体"/>
          <w:bCs/>
          <w:sz w:val="24"/>
        </w:rPr>
      </w:pPr>
      <w:r>
        <w:rPr>
          <w:rStyle w:val="10"/>
          <w:rFonts w:ascii="宋体" w:hAnsi="宋体"/>
          <w:bCs/>
          <w:sz w:val="24"/>
        </w:rPr>
        <w:t xml:space="preserve">投标人（盖章）：     </w:t>
      </w:r>
    </w:p>
    <w:p>
      <w:pPr>
        <w:spacing w:line="400" w:lineRule="exact"/>
        <w:ind w:firstLine="480" w:firstLineChars="200"/>
        <w:rPr>
          <w:rStyle w:val="10"/>
          <w:rFonts w:ascii="宋体"/>
          <w:bCs/>
          <w:sz w:val="24"/>
        </w:rPr>
      </w:pPr>
      <w:r>
        <w:rPr>
          <w:rStyle w:val="10"/>
          <w:rFonts w:ascii="宋体" w:hAnsi="宋体"/>
          <w:bCs/>
          <w:sz w:val="24"/>
        </w:rPr>
        <w:t>法定代表人或法定代表人授权代表签字或盖章：</w:t>
      </w:r>
    </w:p>
    <w:p>
      <w:pPr>
        <w:spacing w:line="400" w:lineRule="exact"/>
        <w:ind w:firstLine="480" w:firstLineChars="200"/>
        <w:rPr>
          <w:rStyle w:val="10"/>
          <w:rFonts w:ascii="宋体"/>
          <w:bCs/>
          <w:sz w:val="24"/>
        </w:rPr>
      </w:pPr>
      <w:r>
        <w:rPr>
          <w:rStyle w:val="10"/>
          <w:rFonts w:ascii="宋体" w:hAnsi="宋体"/>
          <w:bCs/>
          <w:sz w:val="24"/>
        </w:rPr>
        <w:t>电话：                              传真：</w:t>
      </w:r>
    </w:p>
    <w:p>
      <w:pPr>
        <w:spacing w:line="400" w:lineRule="exact"/>
        <w:ind w:firstLine="480" w:firstLineChars="200"/>
        <w:rPr>
          <w:rStyle w:val="10"/>
          <w:rFonts w:ascii="宋体" w:hAnsi="宋体"/>
          <w:bCs/>
          <w:sz w:val="24"/>
        </w:rPr>
      </w:pPr>
      <w:r>
        <w:rPr>
          <w:rStyle w:val="10"/>
          <w:rFonts w:ascii="宋体" w:hAnsi="宋体"/>
          <w:bCs/>
          <w:sz w:val="24"/>
        </w:rPr>
        <w:t>通讯地址：                          邮编：</w:t>
      </w:r>
    </w:p>
    <w:p>
      <w:pPr>
        <w:ind w:firstLine="480" w:firstLineChars="200"/>
        <w:rPr>
          <w:rStyle w:val="10"/>
          <w:rFonts w:ascii="黑体" w:hAnsi="宋体" w:eastAsia="黑体"/>
          <w:bCs/>
          <w:sz w:val="24"/>
        </w:rPr>
      </w:pPr>
    </w:p>
    <w:p>
      <w:pPr>
        <w:spacing w:line="360" w:lineRule="auto"/>
        <w:ind w:firstLine="480" w:firstLineChars="200"/>
        <w:rPr>
          <w:rStyle w:val="10"/>
          <w:rFonts w:ascii="黑体" w:eastAsia="黑体"/>
          <w:bCs/>
          <w:sz w:val="28"/>
          <w:szCs w:val="28"/>
        </w:rPr>
      </w:pPr>
      <w:r>
        <w:rPr>
          <w:rStyle w:val="10"/>
          <w:rFonts w:ascii="黑体" w:hAnsi="宋体" w:eastAsia="黑体"/>
          <w:bCs/>
          <w:sz w:val="24"/>
        </w:rPr>
        <w:t>（二）（投标人）关于资格的声明函（格式）：</w:t>
      </w:r>
    </w:p>
    <w:p>
      <w:pPr>
        <w:spacing w:line="360" w:lineRule="auto"/>
        <w:jc w:val="center"/>
        <w:rPr>
          <w:rStyle w:val="10"/>
          <w:rFonts w:ascii="黑体" w:eastAsia="黑体"/>
          <w:bCs/>
          <w:sz w:val="28"/>
          <w:szCs w:val="28"/>
        </w:rPr>
      </w:pPr>
      <w:r>
        <w:rPr>
          <w:rStyle w:val="10"/>
          <w:rFonts w:ascii="黑体" w:eastAsia="黑体"/>
          <w:bCs/>
          <w:sz w:val="28"/>
          <w:szCs w:val="28"/>
        </w:rPr>
        <w:t>关于资格的声明函</w:t>
      </w:r>
    </w:p>
    <w:p>
      <w:pPr>
        <w:spacing w:line="360" w:lineRule="auto"/>
        <w:rPr>
          <w:rStyle w:val="10"/>
          <w:rFonts w:ascii="宋体"/>
          <w:bCs/>
          <w:sz w:val="24"/>
        </w:rPr>
      </w:pPr>
      <w:r>
        <w:rPr>
          <w:rStyle w:val="10"/>
          <w:rFonts w:ascii="宋体" w:hAnsi="宋体"/>
          <w:bCs/>
          <w:sz w:val="24"/>
        </w:rPr>
        <w:t>泰州林诚项目管理有限公司：</w:t>
      </w:r>
    </w:p>
    <w:p>
      <w:pPr>
        <w:spacing w:line="360" w:lineRule="auto"/>
        <w:rPr>
          <w:rStyle w:val="10"/>
          <w:rFonts w:ascii="宋体"/>
          <w:bCs/>
          <w:sz w:val="24"/>
        </w:rPr>
      </w:pPr>
      <w:r>
        <w:rPr>
          <w:rStyle w:val="10"/>
          <w:rFonts w:ascii="宋体" w:hAnsi="宋体"/>
          <w:bCs/>
          <w:sz w:val="24"/>
        </w:rPr>
        <w:t xml:space="preserve">    我公司（单位）</w:t>
      </w:r>
      <w:r>
        <w:rPr>
          <w:rStyle w:val="10"/>
          <w:rFonts w:ascii="宋体" w:hAnsi="宋体"/>
          <w:bCs/>
          <w:sz w:val="24"/>
          <w:u w:val="single" w:color="000000"/>
        </w:rPr>
        <w:t xml:space="preserve">               </w:t>
      </w:r>
      <w:r>
        <w:rPr>
          <w:rStyle w:val="10"/>
          <w:rFonts w:ascii="宋体" w:hAnsi="宋体"/>
          <w:bCs/>
          <w:sz w:val="24"/>
        </w:rPr>
        <w:t>参加本次项目（TZLC20220621</w:t>
      </w:r>
      <w:r>
        <w:rPr>
          <w:rStyle w:val="10"/>
          <w:rFonts w:ascii="黑体" w:eastAsia="黑体"/>
          <w:bCs/>
          <w:sz w:val="24"/>
        </w:rPr>
        <w:t>）</w:t>
      </w:r>
      <w:r>
        <w:rPr>
          <w:rStyle w:val="10"/>
          <w:rFonts w:ascii="宋体" w:hAnsi="宋体"/>
          <w:bCs/>
          <w:sz w:val="24"/>
        </w:rPr>
        <w:t>采购活动前三年内，在经营活动中没有重大违法记录，我公司（单位）愿针对本次项目（TZLC20220621</w:t>
      </w:r>
      <w:r>
        <w:rPr>
          <w:rStyle w:val="10"/>
          <w:rFonts w:ascii="黑体" w:eastAsia="黑体"/>
          <w:bCs/>
          <w:sz w:val="24"/>
        </w:rPr>
        <w:t>）</w:t>
      </w:r>
      <w:r>
        <w:rPr>
          <w:rStyle w:val="10"/>
          <w:rFonts w:ascii="宋体" w:hAnsi="宋体"/>
          <w:bCs/>
          <w:sz w:val="24"/>
        </w:rPr>
        <w:t>进行投标，投标文件中所有关于投标资格的文件、证明、陈述均是真实的、准确的。若有违背，我公司（单位）</w:t>
      </w:r>
      <w:r>
        <w:rPr>
          <w:rStyle w:val="10"/>
          <w:rFonts w:ascii="宋体" w:hAnsi="宋体"/>
          <w:bCs/>
          <w:sz w:val="24"/>
          <w:u w:val="single" w:color="000000"/>
        </w:rPr>
        <w:t xml:space="preserve">               </w:t>
      </w:r>
      <w:r>
        <w:rPr>
          <w:rStyle w:val="10"/>
          <w:rFonts w:ascii="宋体" w:hAnsi="宋体"/>
          <w:bCs/>
          <w:sz w:val="24"/>
        </w:rPr>
        <w:t>愿意承担由此而产生的一切后果。</w:t>
      </w:r>
    </w:p>
    <w:p>
      <w:pPr>
        <w:spacing w:line="360" w:lineRule="auto"/>
        <w:rPr>
          <w:rStyle w:val="10"/>
          <w:rFonts w:ascii="宋体"/>
          <w:bCs/>
          <w:sz w:val="24"/>
        </w:rPr>
      </w:pPr>
    </w:p>
    <w:p>
      <w:pPr>
        <w:spacing w:line="360" w:lineRule="auto"/>
        <w:rPr>
          <w:rStyle w:val="10"/>
          <w:rFonts w:ascii="宋体"/>
          <w:bCs/>
          <w:sz w:val="24"/>
        </w:rPr>
      </w:pPr>
      <w:r>
        <w:rPr>
          <w:rStyle w:val="10"/>
          <w:rFonts w:ascii="宋体" w:hAnsi="宋体"/>
          <w:bCs/>
          <w:sz w:val="24"/>
        </w:rPr>
        <w:t xml:space="preserve">                                       投标人（盖章）：</w:t>
      </w:r>
    </w:p>
    <w:p>
      <w:pPr>
        <w:spacing w:line="360" w:lineRule="auto"/>
        <w:rPr>
          <w:rStyle w:val="10"/>
          <w:rFonts w:ascii="宋体"/>
          <w:bCs/>
          <w:sz w:val="24"/>
        </w:rPr>
      </w:pPr>
      <w:r>
        <w:rPr>
          <w:rStyle w:val="10"/>
          <w:rFonts w:ascii="宋体" w:hAnsi="宋体"/>
          <w:bCs/>
          <w:sz w:val="24"/>
        </w:rPr>
        <w:t xml:space="preserve">         法定代表人或法定代表人授权代表（签字或盖章）：</w:t>
      </w:r>
    </w:p>
    <w:p>
      <w:pPr>
        <w:tabs>
          <w:tab w:val="left" w:pos="6300"/>
        </w:tabs>
        <w:spacing w:line="360" w:lineRule="auto"/>
        <w:jc w:val="center"/>
        <w:rPr>
          <w:rStyle w:val="10"/>
          <w:rFonts w:ascii="宋体"/>
          <w:bCs/>
          <w:sz w:val="24"/>
        </w:rPr>
      </w:pPr>
      <w:r>
        <w:rPr>
          <w:rStyle w:val="10"/>
          <w:rFonts w:ascii="宋体" w:hAnsi="宋体"/>
          <w:bCs/>
          <w:sz w:val="24"/>
        </w:rPr>
        <w:t xml:space="preserve">            日期：</w:t>
      </w:r>
    </w:p>
    <w:p>
      <w:pPr>
        <w:spacing w:line="480" w:lineRule="auto"/>
        <w:rPr>
          <w:rStyle w:val="10"/>
          <w:rFonts w:ascii="宋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pStyle w:val="33"/>
        <w:rPr>
          <w:rStyle w:val="10"/>
          <w:rFonts w:ascii="黑体" w:hAnsi="宋体" w:eastAsia="黑体"/>
          <w:bCs/>
          <w:sz w:val="24"/>
        </w:rPr>
      </w:pPr>
    </w:p>
    <w:p>
      <w:pPr>
        <w:pStyle w:val="33"/>
        <w:rPr>
          <w:rStyle w:val="10"/>
          <w:rFonts w:ascii="黑体" w:hAnsi="宋体" w:eastAsia="黑体"/>
          <w:bCs/>
          <w:sz w:val="24"/>
        </w:rPr>
      </w:pPr>
    </w:p>
    <w:p>
      <w:pPr>
        <w:pStyle w:val="33"/>
        <w:rPr>
          <w:rStyle w:val="10"/>
          <w:rFonts w:ascii="黑体" w:hAnsi="宋体" w:eastAsia="黑体"/>
          <w:bCs/>
          <w:sz w:val="24"/>
        </w:rPr>
      </w:pPr>
    </w:p>
    <w:p>
      <w:pPr>
        <w:pStyle w:val="33"/>
        <w:rPr>
          <w:rStyle w:val="10"/>
          <w:rFonts w:ascii="黑体" w:hAnsi="宋体" w:eastAsia="黑体"/>
          <w:bCs/>
          <w:sz w:val="24"/>
        </w:rPr>
      </w:pPr>
    </w:p>
    <w:p>
      <w:pPr>
        <w:pStyle w:val="33"/>
        <w:rPr>
          <w:rStyle w:val="10"/>
          <w:rFonts w:ascii="黑体" w:hAnsi="宋体" w:eastAsia="黑体"/>
          <w:bCs/>
          <w:sz w:val="24"/>
        </w:rPr>
      </w:pPr>
    </w:p>
    <w:p>
      <w:pPr>
        <w:pStyle w:val="33"/>
        <w:rPr>
          <w:rStyle w:val="10"/>
          <w:rFonts w:ascii="黑体" w:hAnsi="宋体" w:eastAsia="黑体"/>
          <w:bCs/>
          <w:sz w:val="24"/>
        </w:rPr>
      </w:pPr>
    </w:p>
    <w:p>
      <w:pPr>
        <w:pStyle w:val="33"/>
        <w:rPr>
          <w:rStyle w:val="10"/>
          <w:rFonts w:ascii="黑体" w:hAnsi="宋体" w:eastAsia="黑体"/>
          <w:bCs/>
          <w:sz w:val="24"/>
        </w:rPr>
      </w:pPr>
    </w:p>
    <w:p>
      <w:pPr>
        <w:pStyle w:val="33"/>
        <w:rPr>
          <w:rStyle w:val="10"/>
          <w:rFonts w:ascii="黑体" w:hAnsi="宋体" w:eastAsia="黑体"/>
          <w:bCs/>
          <w:sz w:val="24"/>
        </w:rPr>
      </w:pPr>
    </w:p>
    <w:p>
      <w:pPr>
        <w:pStyle w:val="33"/>
        <w:rPr>
          <w:rStyle w:val="10"/>
          <w:rFonts w:ascii="黑体" w:hAnsi="宋体" w:eastAsia="黑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rPr>
          <w:rStyle w:val="10"/>
          <w:rFonts w:ascii="黑体" w:hAnsi="宋体" w:eastAsia="黑体"/>
          <w:bCs/>
          <w:sz w:val="24"/>
        </w:rPr>
      </w:pPr>
    </w:p>
    <w:p>
      <w:pPr>
        <w:ind w:firstLine="480" w:firstLineChars="200"/>
        <w:rPr>
          <w:rStyle w:val="10"/>
          <w:rFonts w:ascii="黑体" w:eastAsia="黑体"/>
          <w:bCs/>
          <w:sz w:val="28"/>
          <w:szCs w:val="28"/>
        </w:rPr>
      </w:pPr>
      <w:r>
        <w:rPr>
          <w:rStyle w:val="10"/>
          <w:rFonts w:ascii="黑体" w:hAnsi="宋体" w:eastAsia="黑体"/>
          <w:bCs/>
          <w:sz w:val="24"/>
        </w:rPr>
        <w:t>（三）（投标人）法定代表人授权委托书（格式）：</w:t>
      </w:r>
    </w:p>
    <w:p>
      <w:pPr>
        <w:jc w:val="center"/>
        <w:rPr>
          <w:rStyle w:val="10"/>
          <w:rFonts w:ascii="黑体" w:eastAsia="黑体"/>
          <w:bCs/>
          <w:sz w:val="28"/>
          <w:szCs w:val="28"/>
        </w:rPr>
      </w:pPr>
      <w:r>
        <w:rPr>
          <w:rStyle w:val="10"/>
          <w:rFonts w:ascii="黑体" w:eastAsia="黑体"/>
          <w:bCs/>
          <w:sz w:val="28"/>
          <w:szCs w:val="28"/>
        </w:rPr>
        <w:t>法定代表人授权委托书</w:t>
      </w:r>
    </w:p>
    <w:p>
      <w:pPr>
        <w:spacing w:line="360" w:lineRule="auto"/>
        <w:rPr>
          <w:rStyle w:val="10"/>
          <w:rFonts w:ascii="宋体"/>
          <w:bCs/>
          <w:sz w:val="24"/>
        </w:rPr>
      </w:pPr>
      <w:r>
        <w:rPr>
          <w:rStyle w:val="10"/>
          <w:rFonts w:ascii="宋体" w:hAnsi="宋体"/>
          <w:bCs/>
          <w:sz w:val="24"/>
        </w:rPr>
        <w:t>泰州职业技术学院：</w:t>
      </w:r>
    </w:p>
    <w:p>
      <w:pPr>
        <w:spacing w:line="360" w:lineRule="auto"/>
        <w:rPr>
          <w:rStyle w:val="10"/>
          <w:rFonts w:ascii="宋体"/>
          <w:bCs/>
          <w:sz w:val="24"/>
        </w:rPr>
      </w:pPr>
      <w:r>
        <w:rPr>
          <w:rStyle w:val="10"/>
          <w:rFonts w:ascii="宋体" w:hAnsi="宋体"/>
          <w:bCs/>
          <w:sz w:val="24"/>
        </w:rPr>
        <w:t xml:space="preserve">    </w:t>
      </w:r>
      <w:r>
        <w:rPr>
          <w:rStyle w:val="10"/>
          <w:rFonts w:ascii="宋体" w:hAnsi="宋体"/>
          <w:bCs/>
          <w:sz w:val="24"/>
          <w:u w:val="single" w:color="000000"/>
        </w:rPr>
        <w:t xml:space="preserve">             </w:t>
      </w:r>
      <w:r>
        <w:rPr>
          <w:rStyle w:val="10"/>
          <w:rFonts w:ascii="宋体" w:hAnsi="宋体"/>
          <w:bCs/>
          <w:sz w:val="24"/>
        </w:rPr>
        <w:t>系中华人民共和国合法公司（单位），特授权</w:t>
      </w:r>
      <w:r>
        <w:rPr>
          <w:rStyle w:val="10"/>
          <w:rFonts w:ascii="宋体" w:hAnsi="宋体"/>
          <w:bCs/>
          <w:sz w:val="24"/>
          <w:u w:val="single" w:color="000000"/>
        </w:rPr>
        <w:t xml:space="preserve">       </w:t>
      </w:r>
      <w:r>
        <w:rPr>
          <w:rStyle w:val="10"/>
          <w:rFonts w:ascii="宋体" w:hAnsi="宋体"/>
          <w:bCs/>
          <w:sz w:val="24"/>
        </w:rPr>
        <w:t>代表我公司（单位）全权办理针对本项目（TZLC20220621</w:t>
      </w:r>
      <w:r>
        <w:rPr>
          <w:rStyle w:val="10"/>
          <w:rFonts w:ascii="黑体" w:eastAsia="黑体"/>
          <w:bCs/>
          <w:sz w:val="24"/>
        </w:rPr>
        <w:t>）</w:t>
      </w:r>
      <w:r>
        <w:rPr>
          <w:rStyle w:val="10"/>
          <w:rFonts w:ascii="宋体" w:hAnsi="宋体"/>
          <w:bCs/>
          <w:sz w:val="24"/>
        </w:rPr>
        <w:t>的投标、参与开标、评标、签约等具体工作，并签署全部有关的文件、协议及合同。</w:t>
      </w:r>
    </w:p>
    <w:p>
      <w:pPr>
        <w:spacing w:line="360" w:lineRule="auto"/>
        <w:ind w:firstLine="480" w:firstLineChars="200"/>
        <w:rPr>
          <w:rStyle w:val="10"/>
          <w:rFonts w:ascii="宋体"/>
          <w:bCs/>
          <w:sz w:val="24"/>
        </w:rPr>
      </w:pPr>
      <w:r>
        <w:rPr>
          <w:rStyle w:val="10"/>
          <w:rFonts w:ascii="宋体" w:hAnsi="宋体"/>
          <w:bCs/>
          <w:sz w:val="24"/>
        </w:rPr>
        <w:t>我公司（单位）对被授权代表的签名负全部责任。</w:t>
      </w:r>
    </w:p>
    <w:p>
      <w:pPr>
        <w:spacing w:line="360" w:lineRule="auto"/>
        <w:ind w:firstLine="480" w:firstLineChars="200"/>
        <w:rPr>
          <w:rStyle w:val="10"/>
          <w:rFonts w:ascii="宋体"/>
          <w:bCs/>
          <w:sz w:val="24"/>
        </w:rPr>
      </w:pPr>
      <w:r>
        <w:rPr>
          <w:rStyle w:val="10"/>
          <w:rFonts w:ascii="宋体" w:hAnsi="宋体"/>
          <w:bCs/>
          <w:sz w:val="24"/>
        </w:rPr>
        <w:t>在撤销授权的书面通知送达你处以前，本授权书一直有效，被授权代表签署的所有文件（在授权书有效期内签署的）不因授权的撤销而失效。</w:t>
      </w:r>
    </w:p>
    <w:p>
      <w:pPr>
        <w:spacing w:line="360" w:lineRule="auto"/>
        <w:ind w:firstLine="480" w:firstLineChars="200"/>
        <w:rPr>
          <w:rStyle w:val="10"/>
          <w:rFonts w:ascii="宋体"/>
          <w:bCs/>
          <w:sz w:val="24"/>
        </w:rPr>
      </w:pPr>
      <w:r>
        <w:rPr>
          <w:rStyle w:val="10"/>
          <w:rFonts w:ascii="宋体" w:hAnsi="宋体"/>
          <w:bCs/>
          <w:sz w:val="24"/>
        </w:rPr>
        <w:t>被授权代表情况：</w:t>
      </w:r>
    </w:p>
    <w:p>
      <w:pPr>
        <w:spacing w:line="360" w:lineRule="auto"/>
        <w:ind w:firstLine="525"/>
        <w:rPr>
          <w:rStyle w:val="10"/>
          <w:rFonts w:ascii="宋体"/>
          <w:bCs/>
          <w:sz w:val="24"/>
        </w:rPr>
      </w:pPr>
      <w:r>
        <w:rPr>
          <w:rStyle w:val="10"/>
          <w:rFonts w:ascii="宋体" w:hAnsi="宋体"/>
          <w:bCs/>
          <w:sz w:val="24"/>
        </w:rPr>
        <w:t>姓名：         性别：       电话：</w:t>
      </w:r>
    </w:p>
    <w:p>
      <w:pPr>
        <w:spacing w:line="360" w:lineRule="auto"/>
        <w:ind w:firstLine="3240" w:firstLineChars="1350"/>
        <w:rPr>
          <w:rStyle w:val="10"/>
          <w:rFonts w:ascii="宋体"/>
          <w:bCs/>
          <w:sz w:val="24"/>
        </w:rPr>
      </w:pPr>
    </w:p>
    <w:p>
      <w:pPr>
        <w:pStyle w:val="19"/>
        <w:spacing w:line="360" w:lineRule="auto"/>
        <w:ind w:firstLine="0"/>
        <w:rPr>
          <w:rStyle w:val="10"/>
          <w:color w:val="000000"/>
        </w:rPr>
      </w:pPr>
    </w:p>
    <w:p>
      <w:pPr>
        <w:spacing w:line="360" w:lineRule="auto"/>
        <w:rPr>
          <w:rStyle w:val="10"/>
          <w:rFonts w:ascii="宋体"/>
          <w:bCs/>
          <w:sz w:val="24"/>
        </w:rPr>
      </w:pPr>
    </w:p>
    <w:p>
      <w:pPr>
        <w:spacing w:line="360" w:lineRule="auto"/>
        <w:ind w:firstLine="3240" w:firstLineChars="1350"/>
        <w:rPr>
          <w:rStyle w:val="10"/>
          <w:rFonts w:ascii="宋体"/>
          <w:bCs/>
          <w:sz w:val="24"/>
        </w:rPr>
      </w:pPr>
      <w:r>
        <w:rPr>
          <w:rStyle w:val="10"/>
          <w:rFonts w:ascii="宋体" w:hAnsi="宋体"/>
          <w:bCs/>
          <w:sz w:val="24"/>
        </w:rPr>
        <w:t xml:space="preserve">               单位名称（盖章）：</w:t>
      </w:r>
    </w:p>
    <w:p>
      <w:pPr>
        <w:spacing w:line="360" w:lineRule="auto"/>
        <w:ind w:firstLine="4080" w:firstLineChars="1700"/>
        <w:rPr>
          <w:rStyle w:val="10"/>
          <w:rFonts w:ascii="宋体"/>
          <w:bCs/>
          <w:sz w:val="24"/>
        </w:rPr>
      </w:pPr>
      <w:r>
        <w:rPr>
          <w:rStyle w:val="10"/>
          <w:rFonts w:ascii="宋体" w:hAnsi="宋体"/>
          <w:bCs/>
          <w:sz w:val="24"/>
        </w:rPr>
        <w:t>法定代表人（签字或盖章）：</w:t>
      </w:r>
    </w:p>
    <w:p>
      <w:pPr>
        <w:spacing w:line="360" w:lineRule="auto"/>
        <w:jc w:val="center"/>
        <w:rPr>
          <w:rStyle w:val="10"/>
          <w:rFonts w:ascii="宋体"/>
          <w:bCs/>
          <w:sz w:val="24"/>
        </w:rPr>
      </w:pPr>
      <w:r>
        <w:rPr>
          <w:rStyle w:val="10"/>
          <w:rFonts w:ascii="宋体" w:hAnsi="宋体"/>
          <w:bCs/>
          <w:sz w:val="24"/>
        </w:rPr>
        <w:t xml:space="preserve">                           日期：</w:t>
      </w:r>
    </w:p>
    <w:p>
      <w:pPr>
        <w:spacing w:line="360" w:lineRule="auto"/>
        <w:ind w:firstLine="420"/>
        <w:rPr>
          <w:rStyle w:val="10"/>
          <w:rFonts w:ascii="宋体"/>
          <w:bCs/>
          <w:sz w:val="24"/>
        </w:rPr>
      </w:pPr>
      <w:r>
        <w:rPr>
          <w:rStyle w:val="10"/>
          <w:rFonts w:ascii="宋体"/>
          <w:bCs/>
          <w:sz w:val="24"/>
        </w:rPr>
        <w:t>附法定代表人和</w:t>
      </w:r>
      <w:r>
        <w:rPr>
          <w:rStyle w:val="10"/>
          <w:rFonts w:ascii="宋体" w:hAnsi="宋体"/>
          <w:bCs/>
          <w:sz w:val="24"/>
        </w:rPr>
        <w:t>被授权代表</w:t>
      </w:r>
      <w:r>
        <w:rPr>
          <w:rStyle w:val="10"/>
          <w:rFonts w:ascii="宋体"/>
          <w:bCs/>
          <w:sz w:val="24"/>
        </w:rPr>
        <w:t>的身份证复印件</w:t>
      </w:r>
    </w:p>
    <w:p>
      <w:pPr>
        <w:spacing w:line="580" w:lineRule="exact"/>
        <w:ind w:firstLine="420"/>
        <w:rPr>
          <w:rStyle w:val="10"/>
          <w:rFonts w:ascii="宋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pStyle w:val="33"/>
        <w:rPr>
          <w:rStyle w:val="10"/>
          <w:rFonts w:ascii="黑体" w:hAnsi="宋体" w:eastAsia="黑体"/>
          <w:bCs/>
          <w:sz w:val="24"/>
        </w:rPr>
      </w:pPr>
    </w:p>
    <w:p>
      <w:pPr>
        <w:pStyle w:val="33"/>
        <w:rPr>
          <w:rStyle w:val="10"/>
          <w:rFonts w:ascii="黑体" w:hAnsi="宋体" w:eastAsia="黑体"/>
          <w:bCs/>
          <w:sz w:val="24"/>
        </w:rPr>
      </w:pPr>
    </w:p>
    <w:p>
      <w:pPr>
        <w:pStyle w:val="33"/>
        <w:rPr>
          <w:rStyle w:val="10"/>
          <w:rFonts w:ascii="黑体" w:hAnsi="宋体" w:eastAsia="黑体"/>
          <w:bCs/>
          <w:sz w:val="24"/>
        </w:rPr>
      </w:pPr>
    </w:p>
    <w:p>
      <w:pPr>
        <w:pStyle w:val="33"/>
        <w:rPr>
          <w:rStyle w:val="10"/>
          <w:rFonts w:ascii="黑体" w:hAnsi="宋体" w:eastAsia="黑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ind w:firstLine="480" w:firstLineChars="200"/>
        <w:rPr>
          <w:rStyle w:val="10"/>
          <w:rFonts w:ascii="黑体" w:hAnsi="宋体" w:eastAsia="黑体"/>
          <w:bCs/>
          <w:sz w:val="24"/>
        </w:rPr>
      </w:pPr>
    </w:p>
    <w:p>
      <w:pPr>
        <w:rPr>
          <w:rStyle w:val="10"/>
          <w:rFonts w:ascii="黑体" w:hAnsi="宋体" w:eastAsia="黑体"/>
          <w:bCs/>
          <w:sz w:val="24"/>
        </w:rPr>
      </w:pPr>
    </w:p>
    <w:p>
      <w:pPr>
        <w:spacing w:line="580" w:lineRule="exact"/>
        <w:rPr>
          <w:rStyle w:val="10"/>
          <w:rFonts w:ascii="黑体" w:hAnsi="宋体" w:eastAsia="黑体"/>
          <w:bCs/>
          <w:sz w:val="24"/>
        </w:rPr>
      </w:pPr>
      <w:r>
        <w:rPr>
          <w:rStyle w:val="10"/>
          <w:rFonts w:ascii="黑体" w:hAnsi="宋体" w:eastAsia="黑体"/>
          <w:bCs/>
          <w:sz w:val="24"/>
        </w:rPr>
        <w:t>（四）承诺书（格式）：</w:t>
      </w:r>
    </w:p>
    <w:p>
      <w:pPr>
        <w:jc w:val="center"/>
        <w:rPr>
          <w:rStyle w:val="10"/>
          <w:rFonts w:ascii="黑体" w:eastAsia="黑体"/>
          <w:bCs/>
          <w:sz w:val="28"/>
          <w:szCs w:val="28"/>
        </w:rPr>
      </w:pPr>
      <w:r>
        <w:rPr>
          <w:rStyle w:val="10"/>
          <w:rFonts w:ascii="黑体" w:eastAsia="黑体"/>
          <w:bCs/>
          <w:sz w:val="28"/>
          <w:szCs w:val="28"/>
        </w:rPr>
        <w:t>承诺书</w:t>
      </w:r>
    </w:p>
    <w:p>
      <w:pPr>
        <w:spacing w:line="480" w:lineRule="auto"/>
        <w:rPr>
          <w:rStyle w:val="10"/>
          <w:rFonts w:ascii="宋体"/>
          <w:sz w:val="24"/>
        </w:rPr>
      </w:pPr>
      <w:r>
        <w:rPr>
          <w:rStyle w:val="10"/>
          <w:rFonts w:ascii="宋体" w:hAnsi="宋体"/>
          <w:sz w:val="24"/>
          <w:u w:val="single" w:color="000000"/>
        </w:rPr>
        <w:t xml:space="preserve">                             </w:t>
      </w:r>
      <w:r>
        <w:rPr>
          <w:rStyle w:val="10"/>
          <w:rFonts w:ascii="宋体" w:hAnsi="宋体"/>
          <w:sz w:val="24"/>
        </w:rPr>
        <w:t>（投标人名称）在此承诺：</w:t>
      </w:r>
    </w:p>
    <w:p>
      <w:pPr>
        <w:spacing w:line="480" w:lineRule="auto"/>
        <w:ind w:firstLine="480" w:firstLineChars="200"/>
        <w:rPr>
          <w:rStyle w:val="10"/>
          <w:rFonts w:ascii="宋体"/>
          <w:bCs/>
          <w:sz w:val="24"/>
        </w:rPr>
      </w:pPr>
      <w:r>
        <w:rPr>
          <w:rStyle w:val="10"/>
          <w:rFonts w:ascii="宋体" w:hAnsi="宋体"/>
          <w:sz w:val="24"/>
        </w:rPr>
        <w:t>1．本公司（单位）</w:t>
      </w:r>
      <w:r>
        <w:rPr>
          <w:rStyle w:val="10"/>
          <w:rFonts w:ascii="宋体" w:hAnsi="宋体"/>
          <w:bCs/>
          <w:sz w:val="24"/>
        </w:rPr>
        <w:t>对本项目（TZLC20220621）所提供的货物均为原版图书；</w:t>
      </w:r>
    </w:p>
    <w:p>
      <w:pPr>
        <w:spacing w:line="480" w:lineRule="auto"/>
        <w:ind w:firstLine="480" w:firstLineChars="200"/>
        <w:rPr>
          <w:rStyle w:val="10"/>
          <w:rFonts w:ascii="宋体" w:hAnsi="宋体"/>
          <w:bCs/>
          <w:sz w:val="24"/>
        </w:rPr>
      </w:pPr>
      <w:r>
        <w:rPr>
          <w:rStyle w:val="10"/>
          <w:rFonts w:ascii="宋体" w:hAnsi="宋体"/>
          <w:bCs/>
          <w:sz w:val="24"/>
        </w:rPr>
        <w:t>2．</w:t>
      </w:r>
      <w:r>
        <w:rPr>
          <w:rStyle w:val="10"/>
          <w:rFonts w:ascii="宋体" w:hAnsi="宋体"/>
          <w:sz w:val="24"/>
        </w:rPr>
        <w:t>本公司（单位）</w:t>
      </w:r>
      <w:r>
        <w:rPr>
          <w:rStyle w:val="10"/>
          <w:rFonts w:ascii="宋体" w:hAnsi="宋体"/>
          <w:bCs/>
          <w:sz w:val="24"/>
        </w:rPr>
        <w:t>具备履行合同所必需的设备和专业技术能力；</w:t>
      </w:r>
    </w:p>
    <w:p>
      <w:pPr>
        <w:spacing w:line="480" w:lineRule="auto"/>
        <w:ind w:firstLine="480" w:firstLineChars="200"/>
        <w:rPr>
          <w:rStyle w:val="10"/>
          <w:rFonts w:ascii="宋体" w:hAnsi="宋体"/>
          <w:sz w:val="24"/>
        </w:rPr>
      </w:pPr>
      <w:r>
        <w:rPr>
          <w:rStyle w:val="10"/>
          <w:rFonts w:ascii="宋体" w:hAnsi="宋体"/>
          <w:bCs/>
          <w:sz w:val="24"/>
        </w:rPr>
        <w:t>3.</w:t>
      </w:r>
      <w:r>
        <w:rPr>
          <w:rStyle w:val="10"/>
          <w:rFonts w:ascii="宋体"/>
          <w:bCs/>
          <w:szCs w:val="21"/>
        </w:rPr>
        <w:t xml:space="preserve"> </w:t>
      </w:r>
      <w:r>
        <w:rPr>
          <w:rStyle w:val="10"/>
          <w:rFonts w:ascii="宋体" w:hAnsi="宋体"/>
          <w:sz w:val="24"/>
        </w:rPr>
        <w:t>本公司未被“</w:t>
      </w:r>
      <w:r>
        <w:rPr>
          <w:rStyle w:val="10"/>
          <w:rFonts w:ascii="宋体" w:hAnsi="宋体"/>
          <w:bCs/>
          <w:sz w:val="24"/>
        </w:rPr>
        <w:t>信用中国</w:t>
      </w:r>
      <w:r>
        <w:rPr>
          <w:rStyle w:val="10"/>
          <w:rFonts w:ascii="宋体" w:hAnsi="宋体"/>
          <w:sz w:val="24"/>
        </w:rPr>
        <w:t>”</w:t>
      </w:r>
      <w:r>
        <w:rPr>
          <w:rStyle w:val="10"/>
          <w:rFonts w:ascii="宋体" w:hAnsi="宋体"/>
          <w:bCs/>
          <w:sz w:val="24"/>
        </w:rPr>
        <w:t>网站（</w:t>
      </w:r>
      <w:r>
        <w:rPr>
          <w:rStyle w:val="8"/>
          <w:rFonts w:ascii="宋体"/>
          <w:bCs/>
          <w:sz w:val="24"/>
          <w:u w:color="0000FF"/>
        </w:rPr>
        <w:t>www.creditchina.gov.cn</w:t>
      </w:r>
      <w:r>
        <w:rPr>
          <w:rStyle w:val="10"/>
          <w:rFonts w:ascii="宋体" w:hAnsi="宋体"/>
          <w:bCs/>
          <w:sz w:val="24"/>
        </w:rPr>
        <w:t>）</w:t>
      </w:r>
      <w:r>
        <w:rPr>
          <w:rStyle w:val="10"/>
          <w:rFonts w:ascii="宋体" w:hAnsi="宋体"/>
          <w:sz w:val="24"/>
        </w:rPr>
        <w:t>列入失信执行人、重大税收违法案件当事人名单、政府采购严重违法失信行为记录名单。</w:t>
      </w:r>
    </w:p>
    <w:p>
      <w:pPr>
        <w:spacing w:line="480" w:lineRule="auto"/>
        <w:ind w:firstLine="480" w:firstLineChars="200"/>
        <w:rPr>
          <w:rStyle w:val="10"/>
          <w:rFonts w:ascii="宋体"/>
          <w:bCs/>
          <w:sz w:val="24"/>
        </w:rPr>
      </w:pPr>
      <w:r>
        <w:rPr>
          <w:rStyle w:val="10"/>
          <w:rFonts w:ascii="宋体" w:hAnsi="宋体"/>
          <w:bCs/>
          <w:sz w:val="24"/>
        </w:rPr>
        <w:t>如违背上述承诺，本公司</w:t>
      </w:r>
      <w:r>
        <w:rPr>
          <w:rStyle w:val="10"/>
          <w:rFonts w:ascii="宋体" w:hAnsi="宋体"/>
          <w:sz w:val="24"/>
        </w:rPr>
        <w:t>（单位）</w:t>
      </w:r>
      <w:r>
        <w:rPr>
          <w:rStyle w:val="10"/>
          <w:rFonts w:ascii="宋体" w:hAnsi="宋体"/>
          <w:bCs/>
          <w:sz w:val="24"/>
        </w:rPr>
        <w:t>将承担一切法律责任。</w:t>
      </w:r>
    </w:p>
    <w:p>
      <w:pPr>
        <w:spacing w:line="480" w:lineRule="auto"/>
        <w:rPr>
          <w:rStyle w:val="10"/>
          <w:rFonts w:ascii="宋体"/>
          <w:sz w:val="24"/>
        </w:rPr>
      </w:pPr>
    </w:p>
    <w:p>
      <w:pPr>
        <w:spacing w:line="480" w:lineRule="auto"/>
        <w:ind w:firstLine="5400" w:firstLineChars="2250"/>
        <w:rPr>
          <w:rStyle w:val="10"/>
          <w:rFonts w:ascii="宋体"/>
          <w:bCs/>
          <w:sz w:val="24"/>
        </w:rPr>
      </w:pPr>
    </w:p>
    <w:p>
      <w:pPr>
        <w:spacing w:line="480" w:lineRule="auto"/>
        <w:ind w:firstLine="3720" w:firstLineChars="1550"/>
        <w:rPr>
          <w:rStyle w:val="10"/>
          <w:rFonts w:ascii="宋体"/>
          <w:bCs/>
          <w:sz w:val="24"/>
        </w:rPr>
      </w:pPr>
      <w:r>
        <w:rPr>
          <w:rStyle w:val="10"/>
          <w:rFonts w:ascii="宋体" w:hAnsi="宋体"/>
          <w:bCs/>
          <w:sz w:val="24"/>
        </w:rPr>
        <w:t>投标人（盖章）：</w:t>
      </w:r>
    </w:p>
    <w:p>
      <w:pPr>
        <w:spacing w:line="480" w:lineRule="auto"/>
        <w:ind w:firstLine="480" w:firstLineChars="200"/>
        <w:rPr>
          <w:rStyle w:val="10"/>
          <w:rFonts w:ascii="宋体"/>
          <w:bCs/>
          <w:sz w:val="24"/>
        </w:rPr>
      </w:pPr>
      <w:r>
        <w:rPr>
          <w:rStyle w:val="10"/>
          <w:rFonts w:ascii="宋体" w:hAnsi="宋体"/>
          <w:bCs/>
          <w:sz w:val="24"/>
        </w:rPr>
        <w:t>法定代表人或法定代表人授权代表签字或盖章：</w:t>
      </w:r>
    </w:p>
    <w:p>
      <w:pPr>
        <w:spacing w:line="480" w:lineRule="auto"/>
        <w:jc w:val="center"/>
        <w:rPr>
          <w:rStyle w:val="10"/>
          <w:rFonts w:ascii="宋体" w:hAnsi="宋体"/>
          <w:bCs/>
          <w:sz w:val="24"/>
        </w:rPr>
      </w:pPr>
      <w:r>
        <w:rPr>
          <w:rStyle w:val="10"/>
          <w:rFonts w:ascii="宋体" w:hAnsi="宋体"/>
          <w:bCs/>
          <w:sz w:val="24"/>
        </w:rPr>
        <w:t>日期：</w:t>
      </w:r>
    </w:p>
    <w:p>
      <w:pPr>
        <w:jc w:val="center"/>
        <w:rPr>
          <w:rStyle w:val="10"/>
          <w:rFonts w:ascii="黑体" w:eastAsia="黑体"/>
          <w:bCs/>
          <w:sz w:val="32"/>
        </w:rPr>
      </w:pPr>
    </w:p>
    <w:p>
      <w:pPr>
        <w:jc w:val="center"/>
        <w:rPr>
          <w:rStyle w:val="10"/>
          <w:rFonts w:ascii="黑体" w:eastAsia="黑体"/>
          <w:bCs/>
          <w:sz w:val="32"/>
        </w:rPr>
      </w:pPr>
    </w:p>
    <w:p>
      <w:pPr>
        <w:jc w:val="center"/>
        <w:rPr>
          <w:rStyle w:val="10"/>
          <w:rFonts w:ascii="黑体" w:eastAsia="黑体"/>
          <w:bCs/>
          <w:sz w:val="32"/>
        </w:rPr>
      </w:pPr>
    </w:p>
    <w:p>
      <w:pPr>
        <w:jc w:val="center"/>
        <w:rPr>
          <w:rStyle w:val="10"/>
          <w:rFonts w:ascii="黑体" w:eastAsia="黑体"/>
          <w:bCs/>
          <w:sz w:val="32"/>
        </w:rPr>
      </w:pPr>
    </w:p>
    <w:p>
      <w:pPr>
        <w:jc w:val="center"/>
        <w:rPr>
          <w:rStyle w:val="10"/>
          <w:rFonts w:ascii="黑体" w:eastAsia="黑体"/>
          <w:bCs/>
          <w:sz w:val="32"/>
        </w:rPr>
      </w:pPr>
    </w:p>
    <w:p>
      <w:pPr>
        <w:pStyle w:val="33"/>
        <w:rPr>
          <w:rStyle w:val="10"/>
          <w:rFonts w:ascii="黑体" w:eastAsia="黑体"/>
          <w:bCs/>
          <w:sz w:val="32"/>
        </w:rPr>
      </w:pPr>
    </w:p>
    <w:p>
      <w:pPr>
        <w:pStyle w:val="33"/>
        <w:rPr>
          <w:rStyle w:val="10"/>
          <w:rFonts w:ascii="黑体" w:eastAsia="黑体"/>
          <w:bCs/>
          <w:sz w:val="32"/>
        </w:rPr>
      </w:pPr>
    </w:p>
    <w:p>
      <w:pPr>
        <w:jc w:val="center"/>
        <w:rPr>
          <w:rStyle w:val="10"/>
          <w:rFonts w:ascii="黑体" w:eastAsia="黑体"/>
          <w:bCs/>
          <w:sz w:val="32"/>
        </w:rPr>
      </w:pPr>
    </w:p>
    <w:p>
      <w:pPr>
        <w:rPr>
          <w:rStyle w:val="10"/>
          <w:rFonts w:ascii="黑体" w:eastAsia="黑体"/>
          <w:bCs/>
          <w:sz w:val="32"/>
        </w:rPr>
      </w:pPr>
    </w:p>
    <w:p>
      <w:pPr>
        <w:ind w:firstLine="480" w:firstLineChars="200"/>
        <w:rPr>
          <w:rStyle w:val="10"/>
          <w:rFonts w:ascii="黑体" w:eastAsia="黑体"/>
          <w:bCs/>
          <w:sz w:val="28"/>
          <w:szCs w:val="28"/>
        </w:rPr>
      </w:pPr>
      <w:r>
        <w:rPr>
          <w:rStyle w:val="10"/>
          <w:rFonts w:ascii="黑体" w:hAnsi="宋体" w:eastAsia="黑体"/>
          <w:bCs/>
          <w:sz w:val="24"/>
        </w:rPr>
        <w:t>（五）开标一览表（格式）：</w:t>
      </w:r>
    </w:p>
    <w:p>
      <w:pPr>
        <w:spacing w:line="360" w:lineRule="auto"/>
        <w:jc w:val="center"/>
        <w:rPr>
          <w:rStyle w:val="10"/>
          <w:rFonts w:ascii="黑体" w:eastAsia="黑体"/>
          <w:bCs/>
          <w:sz w:val="28"/>
          <w:szCs w:val="28"/>
        </w:rPr>
      </w:pPr>
      <w:r>
        <w:rPr>
          <w:rStyle w:val="10"/>
          <w:rFonts w:ascii="黑体" w:eastAsia="黑体"/>
          <w:bCs/>
          <w:sz w:val="28"/>
          <w:szCs w:val="28"/>
        </w:rPr>
        <w:t xml:space="preserve">开标一览表 </w:t>
      </w:r>
    </w:p>
    <w:p>
      <w:pPr>
        <w:spacing w:line="360" w:lineRule="auto"/>
        <w:jc w:val="left"/>
        <w:rPr>
          <w:rStyle w:val="10"/>
          <w:sz w:val="24"/>
        </w:rPr>
      </w:pPr>
      <w:r>
        <w:rPr>
          <w:rStyle w:val="10"/>
          <w:sz w:val="24"/>
        </w:rPr>
        <w:t xml:space="preserve">     项目编号：TZLC20220621</w:t>
      </w:r>
    </w:p>
    <w:tbl>
      <w:tblPr>
        <w:tblStyle w:val="6"/>
        <w:tblW w:w="7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96"/>
        <w:gridCol w:w="3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567" w:hRule="atLeast"/>
          <w:jc w:val="center"/>
        </w:trPr>
        <w:tc>
          <w:tcPr>
            <w:tcW w:w="389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
                <w:rFonts w:ascii="宋体" w:hAnsi="宋体"/>
                <w:bCs/>
                <w:sz w:val="24"/>
              </w:rPr>
            </w:pPr>
            <w:r>
              <w:rPr>
                <w:rStyle w:val="10"/>
                <w:rFonts w:ascii="宋体" w:hAnsi="宋体"/>
                <w:bCs/>
                <w:sz w:val="24"/>
              </w:rPr>
              <w:t>项目名称</w:t>
            </w:r>
          </w:p>
        </w:tc>
        <w:tc>
          <w:tcPr>
            <w:tcW w:w="3759"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0"/>
                <w:rFonts w:ascii="宋体" w:hAnsi="宋体"/>
                <w:bCs/>
                <w:sz w:val="24"/>
                <w:szCs w:val="24"/>
              </w:rPr>
            </w:pPr>
            <w:r>
              <w:rPr>
                <w:rStyle w:val="10"/>
                <w:rFonts w:ascii="宋体" w:hAnsi="宋体"/>
                <w:bCs/>
                <w:sz w:val="24"/>
                <w:szCs w:val="24"/>
              </w:rPr>
              <w:t>折扣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30" w:hRule="atLeast"/>
          <w:jc w:val="center"/>
        </w:trPr>
        <w:tc>
          <w:tcPr>
            <w:tcW w:w="3896" w:type="dxa"/>
            <w:tcBorders>
              <w:top w:val="single" w:color="000000" w:sz="4" w:space="0"/>
              <w:left w:val="single" w:color="000000" w:sz="4" w:space="0"/>
              <w:bottom w:val="single" w:color="000000" w:sz="4" w:space="0"/>
              <w:right w:val="single" w:color="000000" w:sz="4" w:space="0"/>
            </w:tcBorders>
            <w:vAlign w:val="center"/>
          </w:tcPr>
          <w:p>
            <w:pPr>
              <w:pStyle w:val="40"/>
              <w:spacing w:line="360" w:lineRule="auto"/>
              <w:jc w:val="center"/>
              <w:rPr>
                <w:rStyle w:val="10"/>
                <w:rFonts w:hAnsi="宋体"/>
                <w:bCs/>
                <w:kern w:val="2"/>
              </w:rPr>
            </w:pPr>
            <w:r>
              <w:rPr>
                <w:rStyle w:val="10"/>
                <w:rFonts w:hAnsi="宋体"/>
                <w:bCs/>
                <w:kern w:val="2"/>
              </w:rPr>
              <w:t>2022年折扣图书定点采购</w:t>
            </w:r>
          </w:p>
        </w:tc>
        <w:tc>
          <w:tcPr>
            <w:tcW w:w="3759" w:type="dxa"/>
            <w:tcBorders>
              <w:top w:val="single" w:color="000000" w:sz="4" w:space="0"/>
              <w:left w:val="single" w:color="000000" w:sz="4" w:space="0"/>
              <w:bottom w:val="single" w:color="000000" w:sz="4" w:space="0"/>
              <w:right w:val="single" w:color="000000" w:sz="4" w:space="0"/>
            </w:tcBorders>
            <w:vAlign w:val="center"/>
          </w:tcPr>
          <w:p>
            <w:pPr>
              <w:pStyle w:val="40"/>
              <w:spacing w:line="360" w:lineRule="auto"/>
              <w:jc w:val="center"/>
              <w:rPr>
                <w:rStyle w:val="10"/>
                <w:rFonts w:hAnsi="宋体"/>
                <w:bCs/>
                <w:kern w:val="2"/>
              </w:rPr>
            </w:pPr>
            <w:r>
              <w:rPr>
                <w:rStyle w:val="10"/>
                <w:rFonts w:hAnsi="宋体"/>
                <w:bCs/>
                <w:kern w:val="2"/>
              </w:rPr>
              <w:t>按定价的</w:t>
            </w:r>
            <w:r>
              <w:rPr>
                <w:rStyle w:val="10"/>
                <w:rFonts w:hAnsi="宋体"/>
                <w:bCs/>
                <w:kern w:val="2"/>
                <w:u w:val="single" w:color="000000"/>
              </w:rPr>
              <w:t>     </w:t>
            </w:r>
            <w:r>
              <w:rPr>
                <w:rStyle w:val="10"/>
                <w:rFonts w:hAnsi="宋体"/>
                <w:bCs/>
                <w:kern w:val="2"/>
              </w:rPr>
              <w:t>%。</w:t>
            </w:r>
          </w:p>
          <w:p>
            <w:pPr>
              <w:pStyle w:val="40"/>
              <w:spacing w:line="360" w:lineRule="auto"/>
              <w:jc w:val="center"/>
              <w:rPr>
                <w:rStyle w:val="10"/>
                <w:rFonts w:hAnsi="宋体"/>
                <w:bCs/>
                <w:kern w:val="2"/>
              </w:rPr>
            </w:pPr>
            <w:r>
              <w:rPr>
                <w:rStyle w:val="10"/>
                <w:rFonts w:hAnsi="宋体"/>
                <w:bCs/>
                <w:kern w:val="2"/>
              </w:rPr>
              <w:t>（按折扣填写）</w:t>
            </w:r>
          </w:p>
        </w:tc>
      </w:tr>
    </w:tbl>
    <w:p>
      <w:pPr>
        <w:spacing w:before="5" w:line="360" w:lineRule="auto"/>
        <w:rPr>
          <w:rStyle w:val="10"/>
          <w:b/>
          <w:bCs/>
          <w:sz w:val="24"/>
        </w:rPr>
      </w:pPr>
      <w:r>
        <w:rPr>
          <w:rStyle w:val="10"/>
          <w:sz w:val="24"/>
        </w:rPr>
        <w:t>投标人名称：（盖章）</w:t>
      </w:r>
    </w:p>
    <w:p>
      <w:pPr>
        <w:spacing w:before="5" w:line="360" w:lineRule="auto"/>
        <w:rPr>
          <w:rStyle w:val="10"/>
          <w:b/>
          <w:bCs/>
          <w:sz w:val="24"/>
        </w:rPr>
      </w:pPr>
    </w:p>
    <w:p>
      <w:pPr>
        <w:spacing w:before="5" w:line="360" w:lineRule="auto"/>
        <w:rPr>
          <w:rStyle w:val="10"/>
          <w:sz w:val="24"/>
        </w:rPr>
      </w:pPr>
      <w:r>
        <w:rPr>
          <w:rStyle w:val="10"/>
          <w:sz w:val="24"/>
        </w:rPr>
        <w:t>法定代表人或法定代表人授权代表签字或盖章：</w:t>
      </w:r>
    </w:p>
    <w:p>
      <w:pPr>
        <w:spacing w:line="360" w:lineRule="auto"/>
        <w:rPr>
          <w:rStyle w:val="10"/>
        </w:rPr>
      </w:pPr>
    </w:p>
    <w:p>
      <w:pPr>
        <w:rPr>
          <w:rStyle w:val="10"/>
        </w:rPr>
      </w:pPr>
    </w:p>
    <w:p>
      <w:pPr>
        <w:rPr>
          <w:rStyle w:val="10"/>
        </w:rPr>
      </w:pPr>
    </w:p>
    <w:p>
      <w:pPr>
        <w:pStyle w:val="36"/>
        <w:shd w:val="clear" w:color="auto" w:fill="FFFFFF"/>
        <w:snapToGrid w:val="0"/>
        <w:spacing w:line="360" w:lineRule="auto"/>
        <w:rPr>
          <w:rStyle w:val="10"/>
          <w:rFonts w:ascii="宋体" w:hAnsi="宋体"/>
        </w:rPr>
      </w:pPr>
      <w:r>
        <w:rPr>
          <w:rStyle w:val="10"/>
          <w:rFonts w:ascii="宋体" w:hAnsi="宋体"/>
        </w:rPr>
        <w:t>注: 1.本次招标的报价要求按折扣填写；</w:t>
      </w:r>
    </w:p>
    <w:p>
      <w:pPr>
        <w:pStyle w:val="36"/>
        <w:shd w:val="clear" w:color="auto" w:fill="FFFFFF"/>
        <w:snapToGrid w:val="0"/>
        <w:spacing w:line="360" w:lineRule="auto"/>
        <w:ind w:firstLine="601"/>
        <w:rPr>
          <w:rStyle w:val="10"/>
          <w:rFonts w:ascii="宋体" w:hAnsi="宋体"/>
        </w:rPr>
      </w:pPr>
      <w:r>
        <w:rPr>
          <w:rStyle w:val="10"/>
          <w:rFonts w:ascii="宋体" w:hAnsi="宋体"/>
        </w:rPr>
        <w:t>2.报价应包括但不限于运费、上卸货费、分发费、税费等一切费用，及其它涉及投标、合同签订、合同履行等必不可少的材料和费用。招标人不再支付报价之外的任何费用；</w:t>
      </w:r>
    </w:p>
    <w:p>
      <w:pPr>
        <w:spacing w:line="400" w:lineRule="exact"/>
        <w:rPr>
          <w:rStyle w:val="10"/>
          <w:rFonts w:ascii="黑体" w:eastAsia="黑体"/>
          <w:bCs/>
          <w:sz w:val="24"/>
        </w:rPr>
      </w:pPr>
    </w:p>
    <w:p>
      <w:pPr>
        <w:pStyle w:val="2"/>
        <w:ind w:left="1260"/>
        <w:rPr>
          <w:rStyle w:val="10"/>
          <w:rFonts w:ascii="黑体" w:eastAsia="黑体"/>
          <w:bCs/>
          <w:sz w:val="24"/>
        </w:rPr>
      </w:pPr>
    </w:p>
    <w:p>
      <w:pPr>
        <w:rPr>
          <w:rStyle w:val="10"/>
          <w:u w:val="single"/>
        </w:rPr>
      </w:pPr>
      <w:r>
        <w:rPr>
          <w:rStyle w:val="10"/>
          <w:rFonts w:ascii="黑体" w:eastAsia="黑体"/>
          <w:bCs/>
          <w:sz w:val="24"/>
          <w:u w:val="single" w:color="000000"/>
        </w:rPr>
        <w:t>实洋价=码洋价*折扣</w:t>
      </w:r>
    </w:p>
    <w:p>
      <w:pPr>
        <w:spacing w:line="360" w:lineRule="auto"/>
        <w:ind w:firstLine="240" w:firstLineChars="100"/>
        <w:rPr>
          <w:rStyle w:val="10"/>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widowControl/>
        <w:tabs>
          <w:tab w:val="left" w:pos="709"/>
        </w:tabs>
        <w:ind w:left="709" w:hanging="709"/>
        <w:textAlignment w:val="baseline"/>
      </w:pPr>
    </w:lvl>
    <w:lvl w:ilvl="1" w:tentative="0">
      <w:start w:val="1"/>
      <w:numFmt w:val="decimal"/>
      <w:lvlText w:val="%1.%2"/>
      <w:lvlJc w:val="left"/>
      <w:pPr>
        <w:widowControl/>
        <w:tabs>
          <w:tab w:val="left" w:pos="709"/>
        </w:tabs>
        <w:ind w:left="709" w:hanging="709"/>
        <w:textAlignment w:val="baseline"/>
      </w:pPr>
    </w:lvl>
    <w:lvl w:ilvl="2" w:tentative="0">
      <w:start w:val="1"/>
      <w:numFmt w:val="decimal"/>
      <w:lvlText w:val="%1.%2.%3."/>
      <w:lvlJc w:val="left"/>
      <w:pPr>
        <w:widowControl/>
        <w:tabs>
          <w:tab w:val="left" w:pos="425"/>
        </w:tabs>
        <w:ind w:left="425" w:hanging="425"/>
        <w:textAlignment w:val="baseline"/>
      </w:pPr>
    </w:lvl>
    <w:lvl w:ilvl="3" w:tentative="0">
      <w:start w:val="1"/>
      <w:numFmt w:val="decimal"/>
      <w:lvlText w:val="%1.%2.%3.%4."/>
      <w:lvlJc w:val="left"/>
      <w:pPr>
        <w:widowControl/>
        <w:tabs>
          <w:tab w:val="left" w:pos="851"/>
        </w:tabs>
        <w:ind w:left="851" w:hanging="851"/>
        <w:textAlignment w:val="baseline"/>
      </w:pPr>
    </w:lvl>
    <w:lvl w:ilvl="4" w:tentative="0">
      <w:start w:val="1"/>
      <w:numFmt w:val="decimal"/>
      <w:lvlText w:val="%1.%2.%3.%4.%5."/>
      <w:lvlJc w:val="left"/>
      <w:pPr>
        <w:widowControl/>
        <w:tabs>
          <w:tab w:val="left" w:pos="992"/>
        </w:tabs>
        <w:ind w:left="992" w:hanging="992"/>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1">
    <w:nsid w:val="085007CF"/>
    <w:multiLevelType w:val="multilevel"/>
    <w:tmpl w:val="085007CF"/>
    <w:lvl w:ilvl="0" w:tentative="0">
      <w:start w:val="1"/>
      <w:numFmt w:val="decimal"/>
      <w:lvlText w:val="%1."/>
      <w:lvlJc w:val="left"/>
      <w:pPr>
        <w:widowControl/>
        <w:tabs>
          <w:tab w:val="left" w:pos="630"/>
        </w:tabs>
        <w:ind w:left="630" w:hanging="420"/>
        <w:textAlignment w:val="baseline"/>
      </w:pPr>
    </w:lvl>
    <w:lvl w:ilvl="1" w:tentative="0">
      <w:start w:val="1"/>
      <w:numFmt w:val="decimal"/>
      <w:lvlText w:val="（%1）"/>
      <w:lvlJc w:val="left"/>
      <w:pPr>
        <w:widowControl/>
        <w:tabs>
          <w:tab w:val="left" w:pos="990"/>
        </w:tabs>
        <w:ind w:left="990" w:hanging="360"/>
        <w:textAlignment w:val="baseline"/>
      </w:pPr>
      <w:rPr>
        <w:rFonts w:ascii="宋体" w:hAnsi="宋体" w:eastAsia="宋体"/>
        <w:color w:val="000000"/>
      </w:rPr>
    </w:lvl>
    <w:lvl w:ilvl="2" w:tentative="0">
      <w:start w:val="1"/>
      <w:numFmt w:val="lowerRoman"/>
      <w:lvlText w:val="%1."/>
      <w:lvlJc w:val="right"/>
      <w:pPr>
        <w:widowControl/>
        <w:tabs>
          <w:tab w:val="left" w:pos="1470"/>
        </w:tabs>
        <w:ind w:left="1470" w:hanging="420"/>
        <w:textAlignment w:val="baseline"/>
      </w:pPr>
    </w:lvl>
    <w:lvl w:ilvl="3" w:tentative="0">
      <w:start w:val="1"/>
      <w:numFmt w:val="decimal"/>
      <w:lvlText w:val="%1."/>
      <w:lvlJc w:val="left"/>
      <w:pPr>
        <w:widowControl/>
        <w:tabs>
          <w:tab w:val="left" w:pos="1890"/>
        </w:tabs>
        <w:ind w:left="1890" w:hanging="420"/>
        <w:textAlignment w:val="baseline"/>
      </w:pPr>
    </w:lvl>
    <w:lvl w:ilvl="4" w:tentative="0">
      <w:start w:val="1"/>
      <w:numFmt w:val="lowerLetter"/>
      <w:lvlText w:val="%1)"/>
      <w:lvlJc w:val="left"/>
      <w:pPr>
        <w:widowControl/>
        <w:tabs>
          <w:tab w:val="left" w:pos="2310"/>
        </w:tabs>
        <w:ind w:left="2310" w:hanging="420"/>
        <w:textAlignment w:val="baseline"/>
      </w:pPr>
    </w:lvl>
    <w:lvl w:ilvl="5" w:tentative="0">
      <w:start w:val="1"/>
      <w:numFmt w:val="lowerRoman"/>
      <w:lvlText w:val="%1."/>
      <w:lvlJc w:val="right"/>
      <w:pPr>
        <w:widowControl/>
        <w:tabs>
          <w:tab w:val="left" w:pos="2730"/>
        </w:tabs>
        <w:ind w:left="2730" w:hanging="420"/>
        <w:textAlignment w:val="baseline"/>
      </w:pPr>
    </w:lvl>
    <w:lvl w:ilvl="6" w:tentative="0">
      <w:start w:val="1"/>
      <w:numFmt w:val="decimal"/>
      <w:lvlText w:val="%1."/>
      <w:lvlJc w:val="left"/>
      <w:pPr>
        <w:widowControl/>
        <w:tabs>
          <w:tab w:val="left" w:pos="3150"/>
        </w:tabs>
        <w:ind w:left="3150" w:hanging="420"/>
        <w:textAlignment w:val="baseline"/>
      </w:pPr>
    </w:lvl>
    <w:lvl w:ilvl="7" w:tentative="0">
      <w:start w:val="1"/>
      <w:numFmt w:val="lowerLetter"/>
      <w:lvlText w:val="%1)"/>
      <w:lvlJc w:val="left"/>
      <w:pPr>
        <w:widowControl/>
        <w:tabs>
          <w:tab w:val="left" w:pos="3570"/>
        </w:tabs>
        <w:ind w:left="3570" w:hanging="420"/>
        <w:textAlignment w:val="baseline"/>
      </w:pPr>
    </w:lvl>
    <w:lvl w:ilvl="8" w:tentative="0">
      <w:start w:val="1"/>
      <w:numFmt w:val="lowerRoman"/>
      <w:lvlText w:val="%1."/>
      <w:lvlJc w:val="right"/>
      <w:pPr>
        <w:widowControl/>
        <w:tabs>
          <w:tab w:val="left" w:pos="3990"/>
        </w:tabs>
        <w:ind w:left="3990" w:hanging="420"/>
        <w:textAlignment w:val="baseline"/>
      </w:pPr>
    </w:lvl>
  </w:abstractNum>
  <w:abstractNum w:abstractNumId="2">
    <w:nsid w:val="1FD96D2B"/>
    <w:multiLevelType w:val="singleLevel"/>
    <w:tmpl w:val="1FD96D2B"/>
    <w:lvl w:ilvl="0" w:tentative="0">
      <w:start w:val="1"/>
      <w:numFmt w:val="decimal"/>
      <w:lvlText w:val="（%1）"/>
      <w:lvlJc w:val="left"/>
      <w:pPr>
        <w:widowControl/>
        <w:tabs>
          <w:tab w:val="left" w:pos="1104"/>
        </w:tabs>
        <w:ind w:left="1104" w:hanging="696"/>
        <w:textAlignment w:val="baseline"/>
      </w:pPr>
      <w:rPr>
        <w:rFonts w:ascii="Times New Roman" w:hAnsi="Times New Roman" w:eastAsia="Times New Roman"/>
      </w:rPr>
    </w:lvl>
  </w:abstractNum>
  <w:abstractNum w:abstractNumId="3">
    <w:nsid w:val="213B0836"/>
    <w:multiLevelType w:val="multilevel"/>
    <w:tmpl w:val="213B0836"/>
    <w:lvl w:ilvl="0" w:tentative="0">
      <w:start w:val="1"/>
      <w:numFmt w:val="decimal"/>
      <w:lvlText w:val="%1."/>
      <w:lvlJc w:val="left"/>
      <w:pPr>
        <w:widowControl/>
        <w:tabs>
          <w:tab w:val="left" w:pos="510"/>
        </w:tabs>
        <w:ind w:left="510" w:hanging="360"/>
        <w:textAlignment w:val="baseline"/>
      </w:pPr>
    </w:lvl>
    <w:lvl w:ilvl="1" w:tentative="0">
      <w:start w:val="1"/>
      <w:numFmt w:val="decimal"/>
      <w:lvlText w:val="%1."/>
      <w:lvlJc w:val="left"/>
      <w:pPr>
        <w:widowControl/>
        <w:tabs>
          <w:tab w:val="left" w:pos="1290"/>
        </w:tabs>
        <w:ind w:left="1290" w:hanging="720"/>
        <w:textAlignment w:val="baseline"/>
      </w:pPr>
    </w:lvl>
    <w:lvl w:ilvl="2" w:tentative="0">
      <w:start w:val="3"/>
      <w:numFmt w:val="decimal"/>
      <w:lvlText w:val="（%1）"/>
      <w:lvlJc w:val="left"/>
      <w:pPr>
        <w:widowControl/>
        <w:tabs>
          <w:tab w:val="left" w:pos="1140"/>
        </w:tabs>
        <w:ind w:left="1140" w:hanging="720"/>
        <w:textAlignment w:val="baseline"/>
      </w:pPr>
    </w:lvl>
    <w:lvl w:ilvl="3" w:tentative="0">
      <w:start w:val="1"/>
      <w:numFmt w:val="decimal"/>
      <w:lvlText w:val="（%1）"/>
      <w:lvlJc w:val="left"/>
      <w:pPr>
        <w:widowControl/>
        <w:tabs>
          <w:tab w:val="left" w:pos="1830"/>
        </w:tabs>
        <w:ind w:left="1830" w:hanging="420"/>
        <w:textAlignment w:val="baseline"/>
      </w:pPr>
      <w:rPr>
        <w:rFonts w:ascii="宋体" w:hAnsi="宋体" w:eastAsia="宋体"/>
      </w:rPr>
    </w:lvl>
    <w:lvl w:ilvl="4" w:tentative="0">
      <w:start w:val="1"/>
      <w:numFmt w:val="decimal"/>
      <w:lvlText w:val="（%1）"/>
      <w:lvlJc w:val="left"/>
      <w:pPr>
        <w:widowControl/>
        <w:tabs>
          <w:tab w:val="left" w:pos="2250"/>
        </w:tabs>
        <w:ind w:left="2250" w:hanging="420"/>
        <w:textAlignment w:val="baseline"/>
      </w:pPr>
    </w:lvl>
    <w:lvl w:ilvl="5" w:tentative="0">
      <w:start w:val="10"/>
      <w:numFmt w:val="japaneseCounting"/>
      <w:lvlText w:val="（%1）"/>
      <w:lvlJc w:val="left"/>
      <w:pPr>
        <w:widowControl/>
        <w:ind w:left="2970" w:hanging="720"/>
        <w:textAlignment w:val="baseline"/>
      </w:pPr>
    </w:lvl>
    <w:lvl w:ilvl="6" w:tentative="0">
      <w:start w:val="1"/>
      <w:numFmt w:val="decimal"/>
      <w:lvlText w:val="%1."/>
      <w:lvlJc w:val="left"/>
      <w:pPr>
        <w:widowControl/>
        <w:tabs>
          <w:tab w:val="left" w:pos="3090"/>
        </w:tabs>
        <w:ind w:left="3090" w:hanging="420"/>
        <w:textAlignment w:val="baseline"/>
      </w:pPr>
    </w:lvl>
    <w:lvl w:ilvl="7" w:tentative="0">
      <w:start w:val="1"/>
      <w:numFmt w:val="lowerLetter"/>
      <w:lvlText w:val="%1)"/>
      <w:lvlJc w:val="left"/>
      <w:pPr>
        <w:widowControl/>
        <w:tabs>
          <w:tab w:val="left" w:pos="3510"/>
        </w:tabs>
        <w:ind w:left="3510" w:hanging="420"/>
        <w:textAlignment w:val="baseline"/>
      </w:pPr>
    </w:lvl>
    <w:lvl w:ilvl="8" w:tentative="0">
      <w:start w:val="1"/>
      <w:numFmt w:val="lowerRoman"/>
      <w:lvlText w:val="%1."/>
      <w:lvlJc w:val="right"/>
      <w:pPr>
        <w:widowControl/>
        <w:tabs>
          <w:tab w:val="left" w:pos="3930"/>
        </w:tabs>
        <w:ind w:left="3930" w:hanging="420"/>
        <w:textAlignment w:val="baseline"/>
      </w:pPr>
    </w:lvl>
  </w:abstractNum>
  <w:abstractNum w:abstractNumId="4">
    <w:nsid w:val="38705783"/>
    <w:multiLevelType w:val="singleLevel"/>
    <w:tmpl w:val="38705783"/>
    <w:lvl w:ilvl="0" w:tentative="0">
      <w:start w:val="1"/>
      <w:numFmt w:val="decimal"/>
      <w:lvlText w:val="%1．"/>
      <w:lvlJc w:val="left"/>
      <w:pPr>
        <w:widowControl/>
        <w:tabs>
          <w:tab w:val="left" w:pos="552"/>
        </w:tabs>
        <w:ind w:left="552" w:hanging="420"/>
        <w:textAlignment w:val="baseline"/>
      </w:pPr>
    </w:lvl>
  </w:abstractNum>
  <w:abstractNum w:abstractNumId="5">
    <w:nsid w:val="41DC48F5"/>
    <w:multiLevelType w:val="multilevel"/>
    <w:tmpl w:val="41DC48F5"/>
    <w:lvl w:ilvl="0" w:tentative="0">
      <w:start w:val="1"/>
      <w:numFmt w:val="decimal"/>
      <w:lvlText w:val="%1．"/>
      <w:lvlJc w:val="left"/>
      <w:pPr>
        <w:widowControl/>
        <w:tabs>
          <w:tab w:val="left" w:pos="898"/>
        </w:tabs>
        <w:ind w:left="898" w:hanging="720"/>
        <w:textAlignment w:val="baseline"/>
      </w:pPr>
      <w:rPr>
        <w:color w:val="000000"/>
      </w:rPr>
    </w:lvl>
    <w:lvl w:ilvl="1" w:tentative="0">
      <w:start w:val="3"/>
      <w:numFmt w:val="decimal"/>
      <w:lvlText w:val="%1."/>
      <w:lvlJc w:val="left"/>
      <w:pPr>
        <w:widowControl/>
        <w:tabs>
          <w:tab w:val="left" w:pos="958"/>
        </w:tabs>
        <w:ind w:left="958" w:hanging="360"/>
        <w:textAlignment w:val="baseline"/>
      </w:pPr>
    </w:lvl>
    <w:lvl w:ilvl="2" w:tentative="0">
      <w:start w:val="1"/>
      <w:numFmt w:val="decimalEnclosedCircle"/>
      <w:lvlText w:val="%1"/>
      <w:lvlJc w:val="left"/>
      <w:pPr>
        <w:widowControl/>
        <w:tabs>
          <w:tab w:val="left" w:pos="1378"/>
        </w:tabs>
        <w:ind w:left="1378" w:hanging="360"/>
        <w:textAlignment w:val="baseline"/>
      </w:pPr>
      <w:rPr>
        <w:color w:val="000000"/>
      </w:rPr>
    </w:lvl>
    <w:lvl w:ilvl="3" w:tentative="0">
      <w:start w:val="1"/>
      <w:numFmt w:val="decimal"/>
      <w:lvlText w:val="%1."/>
      <w:lvlJc w:val="left"/>
      <w:pPr>
        <w:widowControl/>
        <w:tabs>
          <w:tab w:val="left" w:pos="1858"/>
        </w:tabs>
        <w:ind w:left="1858" w:hanging="420"/>
        <w:textAlignment w:val="baseline"/>
      </w:pPr>
    </w:lvl>
    <w:lvl w:ilvl="4" w:tentative="0">
      <w:start w:val="1"/>
      <w:numFmt w:val="lowerLetter"/>
      <w:lvlText w:val="%1)"/>
      <w:lvlJc w:val="left"/>
      <w:pPr>
        <w:widowControl/>
        <w:tabs>
          <w:tab w:val="left" w:pos="2278"/>
        </w:tabs>
        <w:ind w:left="2278" w:hanging="420"/>
        <w:textAlignment w:val="baseline"/>
      </w:pPr>
    </w:lvl>
    <w:lvl w:ilvl="5" w:tentative="0">
      <w:start w:val="1"/>
      <w:numFmt w:val="lowerRoman"/>
      <w:lvlText w:val="%1."/>
      <w:lvlJc w:val="right"/>
      <w:pPr>
        <w:widowControl/>
        <w:tabs>
          <w:tab w:val="left" w:pos="2698"/>
        </w:tabs>
        <w:ind w:left="2698" w:hanging="420"/>
        <w:textAlignment w:val="baseline"/>
      </w:pPr>
    </w:lvl>
    <w:lvl w:ilvl="6" w:tentative="0">
      <w:start w:val="1"/>
      <w:numFmt w:val="decimal"/>
      <w:lvlText w:val="%1."/>
      <w:lvlJc w:val="left"/>
      <w:pPr>
        <w:widowControl/>
        <w:tabs>
          <w:tab w:val="left" w:pos="3118"/>
        </w:tabs>
        <w:ind w:left="3118" w:hanging="420"/>
        <w:textAlignment w:val="baseline"/>
      </w:pPr>
    </w:lvl>
    <w:lvl w:ilvl="7" w:tentative="0">
      <w:start w:val="1"/>
      <w:numFmt w:val="lowerLetter"/>
      <w:lvlText w:val="%1)"/>
      <w:lvlJc w:val="left"/>
      <w:pPr>
        <w:widowControl/>
        <w:tabs>
          <w:tab w:val="left" w:pos="3538"/>
        </w:tabs>
        <w:ind w:left="3538" w:hanging="420"/>
        <w:textAlignment w:val="baseline"/>
      </w:pPr>
    </w:lvl>
    <w:lvl w:ilvl="8" w:tentative="0">
      <w:start w:val="1"/>
      <w:numFmt w:val="lowerRoman"/>
      <w:lvlText w:val="%1."/>
      <w:lvlJc w:val="right"/>
      <w:pPr>
        <w:widowControl/>
        <w:tabs>
          <w:tab w:val="left" w:pos="3958"/>
        </w:tabs>
        <w:ind w:left="3958" w:hanging="420"/>
        <w:textAlignment w:val="baseline"/>
      </w:pPr>
    </w:lvl>
  </w:abstractNum>
  <w:abstractNum w:abstractNumId="6">
    <w:nsid w:val="4FE82BE3"/>
    <w:multiLevelType w:val="multilevel"/>
    <w:tmpl w:val="4FE82BE3"/>
    <w:lvl w:ilvl="0" w:tentative="0">
      <w:start w:val="1"/>
      <w:numFmt w:val="decimalEnclosedCircle"/>
      <w:lvlText w:val="%1"/>
      <w:lvlJc w:val="left"/>
      <w:pPr>
        <w:widowControl/>
        <w:tabs>
          <w:tab w:val="left" w:pos="881"/>
        </w:tabs>
        <w:ind w:left="881" w:hanging="360"/>
        <w:textAlignment w:val="baseline"/>
      </w:pPr>
      <w:rPr>
        <w:rFonts w:ascii="宋体" w:hAnsi="宋体" w:eastAsia="宋体"/>
      </w:rPr>
    </w:lvl>
    <w:lvl w:ilvl="1" w:tentative="0">
      <w:start w:val="1"/>
      <w:numFmt w:val="lowerLetter"/>
      <w:lvlText w:val="%1)"/>
      <w:lvlJc w:val="left"/>
      <w:pPr>
        <w:widowControl/>
        <w:tabs>
          <w:tab w:val="left" w:pos="1361"/>
        </w:tabs>
        <w:ind w:left="1361" w:hanging="420"/>
        <w:textAlignment w:val="baseline"/>
      </w:pPr>
    </w:lvl>
    <w:lvl w:ilvl="2" w:tentative="0">
      <w:start w:val="1"/>
      <w:numFmt w:val="lowerRoman"/>
      <w:lvlText w:val="%1."/>
      <w:lvlJc w:val="right"/>
      <w:pPr>
        <w:widowControl/>
        <w:tabs>
          <w:tab w:val="left" w:pos="1781"/>
        </w:tabs>
        <w:ind w:left="1781" w:hanging="420"/>
        <w:textAlignment w:val="baseline"/>
      </w:pPr>
    </w:lvl>
    <w:lvl w:ilvl="3" w:tentative="0">
      <w:start w:val="1"/>
      <w:numFmt w:val="decimal"/>
      <w:lvlText w:val="%1."/>
      <w:lvlJc w:val="left"/>
      <w:pPr>
        <w:widowControl/>
        <w:tabs>
          <w:tab w:val="left" w:pos="2201"/>
        </w:tabs>
        <w:ind w:left="2201" w:hanging="420"/>
        <w:textAlignment w:val="baseline"/>
      </w:pPr>
    </w:lvl>
    <w:lvl w:ilvl="4" w:tentative="0">
      <w:start w:val="1"/>
      <w:numFmt w:val="lowerLetter"/>
      <w:lvlText w:val="%1)"/>
      <w:lvlJc w:val="left"/>
      <w:pPr>
        <w:widowControl/>
        <w:tabs>
          <w:tab w:val="left" w:pos="2621"/>
        </w:tabs>
        <w:ind w:left="2621" w:hanging="420"/>
        <w:textAlignment w:val="baseline"/>
      </w:pPr>
    </w:lvl>
    <w:lvl w:ilvl="5" w:tentative="0">
      <w:start w:val="1"/>
      <w:numFmt w:val="lowerRoman"/>
      <w:lvlText w:val="%1."/>
      <w:lvlJc w:val="right"/>
      <w:pPr>
        <w:widowControl/>
        <w:tabs>
          <w:tab w:val="left" w:pos="3041"/>
        </w:tabs>
        <w:ind w:left="3041" w:hanging="420"/>
        <w:textAlignment w:val="baseline"/>
      </w:pPr>
    </w:lvl>
    <w:lvl w:ilvl="6" w:tentative="0">
      <w:start w:val="1"/>
      <w:numFmt w:val="decimal"/>
      <w:lvlText w:val="%1."/>
      <w:lvlJc w:val="left"/>
      <w:pPr>
        <w:widowControl/>
        <w:tabs>
          <w:tab w:val="left" w:pos="3461"/>
        </w:tabs>
        <w:ind w:left="3461" w:hanging="420"/>
        <w:textAlignment w:val="baseline"/>
      </w:pPr>
    </w:lvl>
    <w:lvl w:ilvl="7" w:tentative="0">
      <w:start w:val="1"/>
      <w:numFmt w:val="lowerLetter"/>
      <w:lvlText w:val="%1)"/>
      <w:lvlJc w:val="left"/>
      <w:pPr>
        <w:widowControl/>
        <w:tabs>
          <w:tab w:val="left" w:pos="3881"/>
        </w:tabs>
        <w:ind w:left="3881" w:hanging="420"/>
        <w:textAlignment w:val="baseline"/>
      </w:pPr>
    </w:lvl>
    <w:lvl w:ilvl="8" w:tentative="0">
      <w:start w:val="1"/>
      <w:numFmt w:val="lowerRoman"/>
      <w:lvlText w:val="%1."/>
      <w:lvlJc w:val="right"/>
      <w:pPr>
        <w:widowControl/>
        <w:tabs>
          <w:tab w:val="left" w:pos="4301"/>
        </w:tabs>
        <w:ind w:left="4301" w:hanging="420"/>
        <w:textAlignment w:val="baseline"/>
      </w:pPr>
    </w:lvl>
  </w:abstractNum>
  <w:abstractNum w:abstractNumId="7">
    <w:nsid w:val="510B6456"/>
    <w:multiLevelType w:val="singleLevel"/>
    <w:tmpl w:val="510B6456"/>
    <w:lvl w:ilvl="0" w:tentative="0">
      <w:start w:val="1"/>
      <w:numFmt w:val="decimal"/>
      <w:lvlText w:val="%1．"/>
      <w:lvlJc w:val="left"/>
      <w:pPr>
        <w:widowControl/>
        <w:tabs>
          <w:tab w:val="left" w:pos="552"/>
        </w:tabs>
        <w:ind w:left="552" w:hanging="420"/>
        <w:textAlignment w:val="baseline"/>
      </w:pPr>
    </w:lvl>
  </w:abstractNum>
  <w:abstractNum w:abstractNumId="8">
    <w:nsid w:val="64607A38"/>
    <w:multiLevelType w:val="multilevel"/>
    <w:tmpl w:val="64607A38"/>
    <w:lvl w:ilvl="0" w:tentative="0">
      <w:start w:val="1"/>
      <w:numFmt w:val="japaneseCounting"/>
      <w:lvlText w:val="%1、"/>
      <w:lvlJc w:val="left"/>
      <w:pPr>
        <w:widowControl/>
        <w:tabs>
          <w:tab w:val="left" w:pos="552"/>
        </w:tabs>
        <w:ind w:left="552" w:hanging="420"/>
        <w:textAlignment w:val="baseline"/>
      </w:pPr>
      <w:rPr>
        <w:rFonts w:ascii="Times New Roman" w:hAnsi="Times New Roman" w:eastAsia="Times New Roman"/>
        <w:color w:val="000000"/>
      </w:rPr>
    </w:lvl>
    <w:lvl w:ilvl="1" w:tentative="0">
      <w:start w:val="1"/>
      <w:numFmt w:val="lowerLetter"/>
      <w:lvlText w:val="%1)"/>
      <w:lvlJc w:val="left"/>
      <w:pPr>
        <w:widowControl/>
        <w:tabs>
          <w:tab w:val="left" w:pos="840"/>
        </w:tabs>
        <w:ind w:left="840" w:hanging="420"/>
        <w:textAlignment w:val="baseline"/>
      </w:pPr>
    </w:lvl>
    <w:lvl w:ilvl="2" w:tentative="0">
      <w:start w:val="10"/>
      <w:numFmt w:val="decimal"/>
      <w:lvlText w:val="%1."/>
      <w:lvlJc w:val="left"/>
      <w:pPr>
        <w:widowControl/>
        <w:tabs>
          <w:tab w:val="left" w:pos="1200"/>
        </w:tabs>
        <w:ind w:left="1200" w:hanging="36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9">
    <w:nsid w:val="666030AB"/>
    <w:multiLevelType w:val="multilevel"/>
    <w:tmpl w:val="666030AB"/>
    <w:lvl w:ilvl="0" w:tentative="0">
      <w:start w:val="1"/>
      <w:numFmt w:val="decimal"/>
      <w:lvlText w:val="（%1）"/>
      <w:lvlJc w:val="left"/>
      <w:pPr>
        <w:widowControl/>
        <w:tabs>
          <w:tab w:val="left" w:pos="1710"/>
        </w:tabs>
        <w:ind w:left="1710" w:hanging="720"/>
        <w:textAlignment w:val="baseline"/>
      </w:pPr>
    </w:lvl>
    <w:lvl w:ilvl="1" w:tentative="0">
      <w:start w:val="2"/>
      <w:numFmt w:val="decimal"/>
      <w:lvlText w:val="%1."/>
      <w:lvlJc w:val="left"/>
      <w:pPr>
        <w:widowControl/>
        <w:tabs>
          <w:tab w:val="left" w:pos="1770"/>
        </w:tabs>
        <w:ind w:left="1770" w:hanging="360"/>
        <w:textAlignment w:val="baseline"/>
      </w:pPr>
    </w:lvl>
    <w:lvl w:ilvl="2" w:tentative="0">
      <w:start w:val="1"/>
      <w:numFmt w:val="lowerRoman"/>
      <w:lvlText w:val="%1."/>
      <w:lvlJc w:val="right"/>
      <w:pPr>
        <w:widowControl/>
        <w:tabs>
          <w:tab w:val="left" w:pos="2250"/>
        </w:tabs>
        <w:ind w:left="2250" w:hanging="420"/>
        <w:textAlignment w:val="baseline"/>
      </w:pPr>
    </w:lvl>
    <w:lvl w:ilvl="3" w:tentative="0">
      <w:start w:val="1"/>
      <w:numFmt w:val="decimal"/>
      <w:lvlText w:val="%1."/>
      <w:lvlJc w:val="left"/>
      <w:pPr>
        <w:widowControl/>
        <w:tabs>
          <w:tab w:val="left" w:pos="2670"/>
        </w:tabs>
        <w:ind w:left="2670" w:hanging="420"/>
        <w:textAlignment w:val="baseline"/>
      </w:pPr>
    </w:lvl>
    <w:lvl w:ilvl="4" w:tentative="0">
      <w:start w:val="1"/>
      <w:numFmt w:val="lowerLetter"/>
      <w:lvlText w:val="%1)"/>
      <w:lvlJc w:val="left"/>
      <w:pPr>
        <w:widowControl/>
        <w:tabs>
          <w:tab w:val="left" w:pos="3090"/>
        </w:tabs>
        <w:ind w:left="3090" w:hanging="420"/>
        <w:textAlignment w:val="baseline"/>
      </w:pPr>
    </w:lvl>
    <w:lvl w:ilvl="5" w:tentative="0">
      <w:start w:val="1"/>
      <w:numFmt w:val="lowerRoman"/>
      <w:lvlText w:val="%1."/>
      <w:lvlJc w:val="right"/>
      <w:pPr>
        <w:widowControl/>
        <w:tabs>
          <w:tab w:val="left" w:pos="3510"/>
        </w:tabs>
        <w:ind w:left="3510" w:hanging="420"/>
        <w:textAlignment w:val="baseline"/>
      </w:pPr>
    </w:lvl>
    <w:lvl w:ilvl="6" w:tentative="0">
      <w:start w:val="1"/>
      <w:numFmt w:val="decimal"/>
      <w:lvlText w:val="%1."/>
      <w:lvlJc w:val="left"/>
      <w:pPr>
        <w:widowControl/>
        <w:tabs>
          <w:tab w:val="left" w:pos="3930"/>
        </w:tabs>
        <w:ind w:left="3930" w:hanging="420"/>
        <w:textAlignment w:val="baseline"/>
      </w:pPr>
    </w:lvl>
    <w:lvl w:ilvl="7" w:tentative="0">
      <w:start w:val="1"/>
      <w:numFmt w:val="lowerLetter"/>
      <w:lvlText w:val="%1)"/>
      <w:lvlJc w:val="left"/>
      <w:pPr>
        <w:widowControl/>
        <w:tabs>
          <w:tab w:val="left" w:pos="4350"/>
        </w:tabs>
        <w:ind w:left="4350" w:hanging="420"/>
        <w:textAlignment w:val="baseline"/>
      </w:pPr>
    </w:lvl>
    <w:lvl w:ilvl="8" w:tentative="0">
      <w:start w:val="1"/>
      <w:numFmt w:val="lowerRoman"/>
      <w:lvlText w:val="%1."/>
      <w:lvlJc w:val="right"/>
      <w:pPr>
        <w:widowControl/>
        <w:tabs>
          <w:tab w:val="left" w:pos="4770"/>
        </w:tabs>
        <w:ind w:left="4770" w:hanging="420"/>
        <w:textAlignment w:val="baseline"/>
      </w:pPr>
    </w:lvl>
  </w:abstractNum>
  <w:abstractNum w:abstractNumId="10">
    <w:nsid w:val="691E62C6"/>
    <w:multiLevelType w:val="multilevel"/>
    <w:tmpl w:val="691E62C6"/>
    <w:lvl w:ilvl="0" w:tentative="0">
      <w:start w:val="2"/>
      <w:numFmt w:val="japaneseCounting"/>
      <w:lvlText w:val="（%1）"/>
      <w:lvlJc w:val="left"/>
      <w:pPr>
        <w:widowControl/>
        <w:tabs>
          <w:tab w:val="left" w:pos="1200"/>
        </w:tabs>
        <w:ind w:left="1200" w:hanging="720"/>
        <w:textAlignment w:val="baseline"/>
      </w:pPr>
    </w:lvl>
    <w:lvl w:ilvl="1" w:tentative="0">
      <w:start w:val="1"/>
      <w:numFmt w:val="lowerLetter"/>
      <w:lvlText w:val="%1)"/>
      <w:lvlJc w:val="left"/>
      <w:pPr>
        <w:widowControl/>
        <w:tabs>
          <w:tab w:val="left" w:pos="1320"/>
        </w:tabs>
        <w:ind w:left="1320" w:hanging="420"/>
        <w:textAlignment w:val="baseline"/>
      </w:pPr>
    </w:lvl>
    <w:lvl w:ilvl="2" w:tentative="0">
      <w:start w:val="1"/>
      <w:numFmt w:val="lowerRoman"/>
      <w:lvlText w:val="%1."/>
      <w:lvlJc w:val="right"/>
      <w:pPr>
        <w:widowControl/>
        <w:tabs>
          <w:tab w:val="left" w:pos="1740"/>
        </w:tabs>
        <w:ind w:left="1740" w:hanging="420"/>
        <w:textAlignment w:val="baseline"/>
      </w:pPr>
    </w:lvl>
    <w:lvl w:ilvl="3" w:tentative="0">
      <w:start w:val="1"/>
      <w:numFmt w:val="decimal"/>
      <w:lvlText w:val="%1."/>
      <w:lvlJc w:val="left"/>
      <w:pPr>
        <w:widowControl/>
        <w:tabs>
          <w:tab w:val="left" w:pos="2160"/>
        </w:tabs>
        <w:ind w:left="2160" w:hanging="420"/>
        <w:textAlignment w:val="baseline"/>
      </w:pPr>
    </w:lvl>
    <w:lvl w:ilvl="4" w:tentative="0">
      <w:start w:val="1"/>
      <w:numFmt w:val="lowerLetter"/>
      <w:lvlText w:val="%1)"/>
      <w:lvlJc w:val="left"/>
      <w:pPr>
        <w:widowControl/>
        <w:tabs>
          <w:tab w:val="left" w:pos="2580"/>
        </w:tabs>
        <w:ind w:left="2580" w:hanging="420"/>
        <w:textAlignment w:val="baseline"/>
      </w:pPr>
    </w:lvl>
    <w:lvl w:ilvl="5" w:tentative="0">
      <w:start w:val="1"/>
      <w:numFmt w:val="lowerRoman"/>
      <w:lvlText w:val="%1."/>
      <w:lvlJc w:val="right"/>
      <w:pPr>
        <w:widowControl/>
        <w:tabs>
          <w:tab w:val="left" w:pos="3000"/>
        </w:tabs>
        <w:ind w:left="3000" w:hanging="420"/>
        <w:textAlignment w:val="baseline"/>
      </w:pPr>
    </w:lvl>
    <w:lvl w:ilvl="6" w:tentative="0">
      <w:start w:val="1"/>
      <w:numFmt w:val="decimal"/>
      <w:lvlText w:val="%1."/>
      <w:lvlJc w:val="left"/>
      <w:pPr>
        <w:widowControl/>
        <w:tabs>
          <w:tab w:val="left" w:pos="3420"/>
        </w:tabs>
        <w:ind w:left="3420" w:hanging="420"/>
        <w:textAlignment w:val="baseline"/>
      </w:pPr>
    </w:lvl>
    <w:lvl w:ilvl="7" w:tentative="0">
      <w:start w:val="1"/>
      <w:numFmt w:val="lowerLetter"/>
      <w:lvlText w:val="%1)"/>
      <w:lvlJc w:val="left"/>
      <w:pPr>
        <w:widowControl/>
        <w:tabs>
          <w:tab w:val="left" w:pos="3840"/>
        </w:tabs>
        <w:ind w:left="3840" w:hanging="420"/>
        <w:textAlignment w:val="baseline"/>
      </w:pPr>
    </w:lvl>
    <w:lvl w:ilvl="8" w:tentative="0">
      <w:start w:val="1"/>
      <w:numFmt w:val="lowerRoman"/>
      <w:lvlText w:val="%1."/>
      <w:lvlJc w:val="right"/>
      <w:pPr>
        <w:widowControl/>
        <w:tabs>
          <w:tab w:val="left" w:pos="4260"/>
        </w:tabs>
        <w:ind w:left="4260" w:hanging="420"/>
        <w:textAlignment w:val="baseline"/>
      </w:pPr>
    </w:lvl>
  </w:abstractNum>
  <w:abstractNum w:abstractNumId="11">
    <w:nsid w:val="6B7958C7"/>
    <w:multiLevelType w:val="multilevel"/>
    <w:tmpl w:val="6B7958C7"/>
    <w:lvl w:ilvl="0" w:tentative="0">
      <w:start w:val="1"/>
      <w:numFmt w:val="japaneseCounting"/>
      <w:lvlText w:val="%1．"/>
      <w:lvlJc w:val="left"/>
      <w:pPr>
        <w:widowControl/>
        <w:ind w:left="720" w:hanging="720"/>
        <w:textAlignment w:val="baseline"/>
      </w:p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2">
    <w:nsid w:val="6EE101FC"/>
    <w:multiLevelType w:val="singleLevel"/>
    <w:tmpl w:val="6EE101FC"/>
    <w:lvl w:ilvl="0" w:tentative="0">
      <w:start w:val="1"/>
      <w:numFmt w:val="decimal"/>
      <w:lvlText w:val="%1．"/>
      <w:lvlJc w:val="left"/>
      <w:pPr>
        <w:widowControl/>
        <w:tabs>
          <w:tab w:val="left" w:pos="570"/>
        </w:tabs>
        <w:ind w:left="570" w:hanging="420"/>
        <w:textAlignment w:val="baseline"/>
      </w:pPr>
    </w:lvl>
  </w:abstractNum>
  <w:abstractNum w:abstractNumId="13">
    <w:nsid w:val="73E14ABF"/>
    <w:multiLevelType w:val="multilevel"/>
    <w:tmpl w:val="73E14ABF"/>
    <w:lvl w:ilvl="0" w:tentative="0">
      <w:start w:val="1"/>
      <w:numFmt w:val="decimal"/>
      <w:lvlText w:val="%1."/>
      <w:lvlJc w:val="left"/>
      <w:pPr>
        <w:widowControl/>
        <w:tabs>
          <w:tab w:val="left" w:pos="630"/>
        </w:tabs>
        <w:ind w:left="630" w:hanging="420"/>
        <w:textAlignment w:val="baseline"/>
      </w:pPr>
    </w:lvl>
    <w:lvl w:ilvl="1" w:tentative="0">
      <w:start w:val="1"/>
      <w:numFmt w:val="bullet"/>
      <w:lvlText w:val=""/>
      <w:lvlJc w:val="left"/>
      <w:pPr>
        <w:widowControl/>
        <w:tabs>
          <w:tab w:val="left" w:pos="990"/>
        </w:tabs>
        <w:ind w:left="990" w:hanging="360"/>
        <w:textAlignment w:val="baseline"/>
      </w:pPr>
      <w:rPr>
        <w:rFonts w:hint="default" w:ascii="Wingdings" w:hAnsi="Wingdings"/>
        <w:color w:val="000000"/>
      </w:rPr>
    </w:lvl>
    <w:lvl w:ilvl="2" w:tentative="0">
      <w:start w:val="1"/>
      <w:numFmt w:val="lowerRoman"/>
      <w:lvlText w:val="%1."/>
      <w:lvlJc w:val="right"/>
      <w:pPr>
        <w:widowControl/>
        <w:tabs>
          <w:tab w:val="left" w:pos="1470"/>
        </w:tabs>
        <w:ind w:left="1470" w:hanging="420"/>
        <w:textAlignment w:val="baseline"/>
      </w:pPr>
    </w:lvl>
    <w:lvl w:ilvl="3" w:tentative="0">
      <w:start w:val="1"/>
      <w:numFmt w:val="decimal"/>
      <w:lvlText w:val="%1."/>
      <w:lvlJc w:val="left"/>
      <w:pPr>
        <w:widowControl/>
        <w:tabs>
          <w:tab w:val="left" w:pos="1890"/>
        </w:tabs>
        <w:ind w:left="1890" w:hanging="420"/>
        <w:textAlignment w:val="baseline"/>
      </w:pPr>
    </w:lvl>
    <w:lvl w:ilvl="4" w:tentative="0">
      <w:start w:val="1"/>
      <w:numFmt w:val="lowerLetter"/>
      <w:lvlText w:val="%1)"/>
      <w:lvlJc w:val="left"/>
      <w:pPr>
        <w:widowControl/>
        <w:tabs>
          <w:tab w:val="left" w:pos="2310"/>
        </w:tabs>
        <w:ind w:left="2310" w:hanging="420"/>
        <w:textAlignment w:val="baseline"/>
      </w:pPr>
    </w:lvl>
    <w:lvl w:ilvl="5" w:tentative="0">
      <w:start w:val="1"/>
      <w:numFmt w:val="lowerRoman"/>
      <w:lvlText w:val="%1."/>
      <w:lvlJc w:val="right"/>
      <w:pPr>
        <w:widowControl/>
        <w:tabs>
          <w:tab w:val="left" w:pos="2730"/>
        </w:tabs>
        <w:ind w:left="2730" w:hanging="420"/>
        <w:textAlignment w:val="baseline"/>
      </w:pPr>
    </w:lvl>
    <w:lvl w:ilvl="6" w:tentative="0">
      <w:start w:val="1"/>
      <w:numFmt w:val="decimal"/>
      <w:lvlText w:val="%1."/>
      <w:lvlJc w:val="left"/>
      <w:pPr>
        <w:widowControl/>
        <w:tabs>
          <w:tab w:val="left" w:pos="3150"/>
        </w:tabs>
        <w:ind w:left="3150" w:hanging="420"/>
        <w:textAlignment w:val="baseline"/>
      </w:pPr>
    </w:lvl>
    <w:lvl w:ilvl="7" w:tentative="0">
      <w:start w:val="1"/>
      <w:numFmt w:val="lowerLetter"/>
      <w:lvlText w:val="%1)"/>
      <w:lvlJc w:val="left"/>
      <w:pPr>
        <w:widowControl/>
        <w:tabs>
          <w:tab w:val="left" w:pos="3570"/>
        </w:tabs>
        <w:ind w:left="3570" w:hanging="420"/>
        <w:textAlignment w:val="baseline"/>
      </w:pPr>
    </w:lvl>
    <w:lvl w:ilvl="8" w:tentative="0">
      <w:start w:val="1"/>
      <w:numFmt w:val="lowerRoman"/>
      <w:lvlText w:val="%1."/>
      <w:lvlJc w:val="right"/>
      <w:pPr>
        <w:widowControl/>
        <w:tabs>
          <w:tab w:val="left" w:pos="3990"/>
        </w:tabs>
        <w:ind w:left="3990" w:hanging="420"/>
        <w:textAlignment w:val="baseline"/>
      </w:pPr>
    </w:lvl>
  </w:abstractNum>
  <w:abstractNum w:abstractNumId="14">
    <w:nsid w:val="7A672089"/>
    <w:multiLevelType w:val="singleLevel"/>
    <w:tmpl w:val="7A672089"/>
    <w:lvl w:ilvl="0" w:tentative="0">
      <w:start w:val="1"/>
      <w:numFmt w:val="decimal"/>
      <w:lvlText w:val="%1."/>
      <w:lvlJc w:val="left"/>
      <w:pPr>
        <w:widowControl/>
        <w:tabs>
          <w:tab w:val="left" w:pos="4746"/>
        </w:tabs>
        <w:ind w:left="4746" w:hanging="210"/>
        <w:textAlignment w:val="baseline"/>
      </w:pPr>
    </w:lvl>
  </w:abstractNum>
  <w:abstractNum w:abstractNumId="15">
    <w:nsid w:val="7BB75E52"/>
    <w:multiLevelType w:val="multilevel"/>
    <w:tmpl w:val="7BB75E52"/>
    <w:lvl w:ilvl="0" w:tentative="0">
      <w:start w:val="1"/>
      <w:numFmt w:val="decimal"/>
      <w:lvlText w:val="%1."/>
      <w:lvlJc w:val="left"/>
      <w:pPr>
        <w:widowControl/>
        <w:ind w:left="972" w:hanging="420"/>
        <w:textAlignment w:val="baseline"/>
      </w:pPr>
    </w:lvl>
    <w:lvl w:ilvl="1" w:tentative="0">
      <w:start w:val="1"/>
      <w:numFmt w:val="lowerLetter"/>
      <w:lvlText w:val="%1)"/>
      <w:lvlJc w:val="left"/>
      <w:pPr>
        <w:widowControl/>
        <w:ind w:left="1392" w:hanging="420"/>
        <w:textAlignment w:val="baseline"/>
      </w:pPr>
    </w:lvl>
    <w:lvl w:ilvl="2" w:tentative="0">
      <w:start w:val="1"/>
      <w:numFmt w:val="lowerRoman"/>
      <w:lvlText w:val="%1."/>
      <w:lvlJc w:val="right"/>
      <w:pPr>
        <w:widowControl/>
        <w:ind w:left="1812" w:hanging="420"/>
        <w:textAlignment w:val="baseline"/>
      </w:pPr>
    </w:lvl>
    <w:lvl w:ilvl="3" w:tentative="0">
      <w:start w:val="1"/>
      <w:numFmt w:val="decimal"/>
      <w:lvlText w:val="%1."/>
      <w:lvlJc w:val="left"/>
      <w:pPr>
        <w:widowControl/>
        <w:ind w:left="2232" w:hanging="420"/>
        <w:textAlignment w:val="baseline"/>
      </w:pPr>
    </w:lvl>
    <w:lvl w:ilvl="4" w:tentative="0">
      <w:start w:val="1"/>
      <w:numFmt w:val="lowerLetter"/>
      <w:lvlText w:val="%1)"/>
      <w:lvlJc w:val="left"/>
      <w:pPr>
        <w:widowControl/>
        <w:ind w:left="2652" w:hanging="420"/>
        <w:textAlignment w:val="baseline"/>
      </w:pPr>
    </w:lvl>
    <w:lvl w:ilvl="5" w:tentative="0">
      <w:start w:val="1"/>
      <w:numFmt w:val="lowerRoman"/>
      <w:lvlText w:val="%1."/>
      <w:lvlJc w:val="right"/>
      <w:pPr>
        <w:widowControl/>
        <w:ind w:left="3072" w:hanging="420"/>
        <w:textAlignment w:val="baseline"/>
      </w:pPr>
    </w:lvl>
    <w:lvl w:ilvl="6" w:tentative="0">
      <w:start w:val="1"/>
      <w:numFmt w:val="decimal"/>
      <w:lvlText w:val="%1."/>
      <w:lvlJc w:val="left"/>
      <w:pPr>
        <w:widowControl/>
        <w:ind w:left="3492" w:hanging="420"/>
        <w:textAlignment w:val="baseline"/>
      </w:pPr>
    </w:lvl>
    <w:lvl w:ilvl="7" w:tentative="0">
      <w:start w:val="1"/>
      <w:numFmt w:val="lowerLetter"/>
      <w:lvlText w:val="%1)"/>
      <w:lvlJc w:val="left"/>
      <w:pPr>
        <w:widowControl/>
        <w:ind w:left="3912" w:hanging="420"/>
        <w:textAlignment w:val="baseline"/>
      </w:pPr>
    </w:lvl>
    <w:lvl w:ilvl="8" w:tentative="0">
      <w:start w:val="1"/>
      <w:numFmt w:val="lowerRoman"/>
      <w:lvlText w:val="%1."/>
      <w:lvlJc w:val="right"/>
      <w:pPr>
        <w:widowControl/>
        <w:ind w:left="4332" w:hanging="420"/>
        <w:textAlignment w:val="baseline"/>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num>
  <w:num w:numId="4">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4"/>
    <w:lvlOverride w:ilvl="0">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12">
    <w:abstractNumId w:val="12"/>
    <w:lvlOverride w:ilvl="0">
      <w:startOverride w:val="1"/>
    </w:lvlOverride>
  </w:num>
  <w:num w:numId="1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num>
  <w:num w:numId="15">
    <w:abstractNumId w:val="0"/>
  </w:num>
  <w:num w:numId="16">
    <w:abstractNumId w:val="8"/>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2ZWQzZGI0ZDA0MWU0MjY1YjkyNDg1OGY3ZjE2ZDMifQ=="/>
  </w:docVars>
  <w:rsids>
    <w:rsidRoot w:val="00BC13CF"/>
    <w:rsid w:val="00217F98"/>
    <w:rsid w:val="00BC13CF"/>
    <w:rsid w:val="00C8466F"/>
    <w:rsid w:val="00E948B0"/>
    <w:rsid w:val="2E297D26"/>
    <w:rsid w:val="34474DD2"/>
    <w:rsid w:val="48492C49"/>
    <w:rsid w:val="64AB5C72"/>
    <w:rsid w:val="69760324"/>
    <w:rsid w:val="74892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jc w:val="both"/>
      <w:textAlignment w:val="baseline"/>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Index4"/>
    <w:basedOn w:val="1"/>
    <w:next w:val="1"/>
    <w:qFormat/>
    <w:uiPriority w:val="0"/>
    <w:pPr>
      <w:ind w:left="600" w:leftChars="600"/>
    </w:pPr>
    <w:rPr>
      <w:rFonts w:ascii="Verdana" w:hAnsi="Verdana"/>
      <w:szCs w:val="20"/>
    </w:rPr>
  </w:style>
  <w:style w:type="paragraph" w:styleId="3">
    <w:name w:val="Date"/>
    <w:basedOn w:val="1"/>
    <w:next w:val="1"/>
    <w:link w:val="28"/>
    <w:qFormat/>
    <w:uiPriority w:val="0"/>
    <w:pPr>
      <w:ind w:left="100" w:leftChars="2500"/>
    </w:pPr>
    <w:rPr>
      <w:kern w:val="0"/>
      <w:sz w:val="20"/>
      <w:szCs w:val="20"/>
    </w:rPr>
  </w:style>
  <w:style w:type="paragraph" w:styleId="4">
    <w:name w:val="footer"/>
    <w:basedOn w:val="1"/>
    <w:link w:val="27"/>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000000" w:sz="6" w:space="1"/>
      </w:pBdr>
      <w:tabs>
        <w:tab w:val="center" w:pos="4153"/>
        <w:tab w:val="right" w:pos="8306"/>
      </w:tabs>
      <w:snapToGrid w:val="0"/>
      <w:jc w:val="center"/>
    </w:pPr>
    <w:rPr>
      <w:kern w:val="0"/>
      <w:sz w:val="18"/>
      <w:szCs w:val="18"/>
    </w:rPr>
  </w:style>
  <w:style w:type="character" w:styleId="8">
    <w:name w:val="Hyperlink"/>
    <w:uiPriority w:val="0"/>
    <w:rPr>
      <w:color w:val="0000FF"/>
      <w:u w:val="single"/>
    </w:rPr>
  </w:style>
  <w:style w:type="paragraph" w:customStyle="1" w:styleId="9">
    <w:name w:val="Heading1"/>
    <w:basedOn w:val="1"/>
    <w:next w:val="1"/>
    <w:link w:val="14"/>
    <w:qFormat/>
    <w:uiPriority w:val="0"/>
    <w:pPr>
      <w:keepNext/>
      <w:jc w:val="center"/>
    </w:pPr>
    <w:rPr>
      <w:rFonts w:ascii="楷体_GB2312" w:hAnsi="宋体" w:eastAsia="楷体_GB2312"/>
      <w:kern w:val="0"/>
      <w:sz w:val="28"/>
      <w:szCs w:val="24"/>
    </w:rPr>
  </w:style>
  <w:style w:type="character" w:customStyle="1" w:styleId="10">
    <w:name w:val="NormalCharacter"/>
    <w:qFormat/>
    <w:uiPriority w:val="0"/>
  </w:style>
  <w:style w:type="table" w:customStyle="1" w:styleId="11">
    <w:name w:val="TableNormal"/>
    <w:qFormat/>
    <w:uiPriority w:val="0"/>
    <w:tblPr>
      <w:tblCellMar>
        <w:top w:w="0" w:type="dxa"/>
        <w:left w:w="0" w:type="dxa"/>
        <w:bottom w:w="0" w:type="dxa"/>
        <w:right w:w="0" w:type="dxa"/>
      </w:tblCellMar>
    </w:tblPr>
  </w:style>
  <w:style w:type="character" w:customStyle="1" w:styleId="12">
    <w:name w:val="HtmlTt"/>
    <w:qFormat/>
    <w:uiPriority w:val="0"/>
    <w:rPr>
      <w:rFonts w:ascii="宋体" w:hAnsi="宋体" w:eastAsia="宋体"/>
      <w:sz w:val="24"/>
      <w:szCs w:val="24"/>
    </w:rPr>
  </w:style>
  <w:style w:type="character" w:customStyle="1" w:styleId="13">
    <w:name w:val="AnnotationReference"/>
    <w:uiPriority w:val="0"/>
    <w:rPr>
      <w:sz w:val="21"/>
      <w:szCs w:val="21"/>
    </w:rPr>
  </w:style>
  <w:style w:type="character" w:customStyle="1" w:styleId="14">
    <w:name w:val="UserStyle_0"/>
    <w:link w:val="9"/>
    <w:qFormat/>
    <w:uiPriority w:val="0"/>
    <w:rPr>
      <w:rFonts w:ascii="宋体" w:hAnsi="宋体" w:eastAsia="宋体"/>
      <w:color w:val="000000"/>
      <w:sz w:val="24"/>
      <w:szCs w:val="24"/>
    </w:rPr>
  </w:style>
  <w:style w:type="character" w:customStyle="1" w:styleId="15">
    <w:name w:val="UserStyle_1"/>
    <w:link w:val="16"/>
    <w:semiHidden/>
    <w:qFormat/>
    <w:uiPriority w:val="0"/>
    <w:rPr>
      <w:kern w:val="2"/>
      <w:sz w:val="18"/>
      <w:szCs w:val="18"/>
    </w:rPr>
  </w:style>
  <w:style w:type="paragraph" w:customStyle="1" w:styleId="16">
    <w:name w:val="Acetate"/>
    <w:basedOn w:val="1"/>
    <w:link w:val="15"/>
    <w:qFormat/>
    <w:uiPriority w:val="0"/>
    <w:rPr>
      <w:sz w:val="18"/>
      <w:szCs w:val="18"/>
    </w:rPr>
  </w:style>
  <w:style w:type="character" w:customStyle="1" w:styleId="17">
    <w:name w:val="页眉 字符"/>
    <w:link w:val="5"/>
    <w:qFormat/>
    <w:uiPriority w:val="0"/>
    <w:rPr>
      <w:rFonts w:ascii="Calibri" w:hAnsi="Calibri" w:eastAsia="宋体"/>
      <w:sz w:val="18"/>
      <w:szCs w:val="18"/>
    </w:rPr>
  </w:style>
  <w:style w:type="character" w:customStyle="1" w:styleId="18">
    <w:name w:val="UserStyle_3"/>
    <w:link w:val="19"/>
    <w:semiHidden/>
    <w:qFormat/>
    <w:locked/>
    <w:uiPriority w:val="0"/>
    <w:rPr>
      <w:szCs w:val="21"/>
    </w:rPr>
  </w:style>
  <w:style w:type="paragraph" w:customStyle="1" w:styleId="19">
    <w:name w:val="NormalIndent"/>
    <w:basedOn w:val="1"/>
    <w:link w:val="18"/>
    <w:qFormat/>
    <w:uiPriority w:val="0"/>
    <w:pPr>
      <w:ind w:firstLine="420"/>
    </w:pPr>
    <w:rPr>
      <w:kern w:val="0"/>
      <w:sz w:val="20"/>
      <w:szCs w:val="21"/>
    </w:rPr>
  </w:style>
  <w:style w:type="character" w:customStyle="1" w:styleId="20">
    <w:name w:val="UserStyle_4"/>
    <w:link w:val="21"/>
    <w:semiHidden/>
    <w:qFormat/>
    <w:uiPriority w:val="0"/>
    <w:rPr>
      <w:kern w:val="2"/>
      <w:sz w:val="21"/>
      <w:szCs w:val="22"/>
    </w:rPr>
  </w:style>
  <w:style w:type="paragraph" w:customStyle="1" w:styleId="21">
    <w:name w:val="AnnotationText"/>
    <w:basedOn w:val="1"/>
    <w:link w:val="20"/>
    <w:qFormat/>
    <w:uiPriority w:val="0"/>
    <w:pPr>
      <w:jc w:val="left"/>
    </w:pPr>
  </w:style>
  <w:style w:type="character" w:customStyle="1" w:styleId="22">
    <w:name w:val="UserStyle_5"/>
    <w:semiHidden/>
    <w:uiPriority w:val="0"/>
    <w:rPr>
      <w:kern w:val="2"/>
      <w:sz w:val="21"/>
      <w:szCs w:val="22"/>
    </w:rPr>
  </w:style>
  <w:style w:type="character" w:customStyle="1" w:styleId="23">
    <w:name w:val="UserStyle_6"/>
    <w:link w:val="24"/>
    <w:semiHidden/>
    <w:qFormat/>
    <w:uiPriority w:val="0"/>
    <w:rPr>
      <w:rFonts w:ascii="Calibri" w:hAnsi="Calibri" w:eastAsia="宋体"/>
      <w:szCs w:val="24"/>
    </w:rPr>
  </w:style>
  <w:style w:type="paragraph" w:customStyle="1" w:styleId="24">
    <w:name w:val="BodyText2"/>
    <w:basedOn w:val="1"/>
    <w:link w:val="23"/>
    <w:qFormat/>
    <w:uiPriority w:val="0"/>
    <w:pPr>
      <w:spacing w:after="120" w:line="480" w:lineRule="auto"/>
    </w:pPr>
    <w:rPr>
      <w:kern w:val="0"/>
      <w:sz w:val="20"/>
      <w:szCs w:val="24"/>
    </w:rPr>
  </w:style>
  <w:style w:type="character" w:customStyle="1" w:styleId="25">
    <w:name w:val="UserStyle_7"/>
    <w:link w:val="26"/>
    <w:semiHidden/>
    <w:qFormat/>
    <w:uiPriority w:val="0"/>
    <w:rPr>
      <w:rFonts w:cs="Times New Roman"/>
      <w:b/>
      <w:bCs/>
      <w:kern w:val="2"/>
      <w:sz w:val="21"/>
      <w:szCs w:val="22"/>
    </w:rPr>
  </w:style>
  <w:style w:type="paragraph" w:customStyle="1" w:styleId="26">
    <w:name w:val="AnnotationSubject"/>
    <w:basedOn w:val="21"/>
    <w:next w:val="21"/>
    <w:link w:val="25"/>
    <w:qFormat/>
    <w:uiPriority w:val="0"/>
  </w:style>
  <w:style w:type="character" w:customStyle="1" w:styleId="27">
    <w:name w:val="页脚 字符"/>
    <w:link w:val="4"/>
    <w:qFormat/>
    <w:uiPriority w:val="0"/>
    <w:rPr>
      <w:kern w:val="2"/>
      <w:sz w:val="18"/>
      <w:szCs w:val="18"/>
    </w:rPr>
  </w:style>
  <w:style w:type="character" w:customStyle="1" w:styleId="28">
    <w:name w:val="日期 字符"/>
    <w:link w:val="3"/>
    <w:qFormat/>
    <w:uiPriority w:val="0"/>
  </w:style>
  <w:style w:type="character" w:customStyle="1" w:styleId="29">
    <w:name w:val="UserStyle_10"/>
    <w:qFormat/>
    <w:uiPriority w:val="0"/>
    <w:rPr>
      <w:rFonts w:ascii="新宋体" w:hAnsi="新宋体" w:eastAsia="新宋体"/>
      <w:color w:val="000000"/>
      <w:sz w:val="20"/>
      <w:szCs w:val="20"/>
    </w:rPr>
  </w:style>
  <w:style w:type="character" w:customStyle="1" w:styleId="30">
    <w:name w:val="UserStyle_11"/>
    <w:uiPriority w:val="0"/>
    <w:rPr>
      <w:rFonts w:ascii="宋体" w:hAnsi="宋体" w:eastAsia="宋体"/>
      <w:color w:val="000000"/>
      <w:sz w:val="24"/>
      <w:szCs w:val="24"/>
    </w:rPr>
  </w:style>
  <w:style w:type="character" w:customStyle="1" w:styleId="31">
    <w:name w:val="UserStyle_12"/>
    <w:qFormat/>
    <w:uiPriority w:val="0"/>
    <w:rPr>
      <w:rFonts w:ascii="楷体_GB2312" w:hAnsi="宋体" w:eastAsia="楷体_GB2312"/>
      <w:b/>
      <w:sz w:val="28"/>
      <w:szCs w:val="24"/>
    </w:rPr>
  </w:style>
  <w:style w:type="paragraph" w:customStyle="1" w:styleId="32">
    <w:name w:val="BodyTextIndent"/>
    <w:basedOn w:val="1"/>
    <w:qFormat/>
    <w:uiPriority w:val="0"/>
    <w:pPr>
      <w:spacing w:line="360" w:lineRule="exact"/>
      <w:ind w:firstLine="420"/>
    </w:pPr>
    <w:rPr>
      <w:szCs w:val="21"/>
    </w:rPr>
  </w:style>
  <w:style w:type="paragraph" w:customStyle="1" w:styleId="33">
    <w:name w:val="BodyText"/>
    <w:basedOn w:val="1"/>
    <w:next w:val="34"/>
    <w:qFormat/>
    <w:uiPriority w:val="0"/>
    <w:pPr>
      <w:spacing w:after="120"/>
    </w:pPr>
  </w:style>
  <w:style w:type="paragraph" w:customStyle="1" w:styleId="34">
    <w:name w:val="TOC2"/>
    <w:basedOn w:val="1"/>
    <w:next w:val="1"/>
    <w:semiHidden/>
    <w:qFormat/>
    <w:uiPriority w:val="0"/>
    <w:pPr>
      <w:ind w:left="420" w:leftChars="200"/>
    </w:pPr>
  </w:style>
  <w:style w:type="paragraph" w:customStyle="1" w:styleId="35">
    <w:name w:val="NavPane"/>
    <w:basedOn w:val="1"/>
    <w:semiHidden/>
    <w:qFormat/>
    <w:uiPriority w:val="0"/>
    <w:pPr>
      <w:shd w:val="clear" w:color="auto" w:fill="000080"/>
    </w:pPr>
  </w:style>
  <w:style w:type="paragraph" w:customStyle="1" w:styleId="36">
    <w:name w:val="HtmlNormal"/>
    <w:basedOn w:val="1"/>
    <w:qFormat/>
    <w:uiPriority w:val="0"/>
    <w:rPr>
      <w:sz w:val="24"/>
      <w:szCs w:val="24"/>
    </w:rPr>
  </w:style>
  <w:style w:type="paragraph" w:customStyle="1" w:styleId="37">
    <w:name w:val="UserStyle_13"/>
    <w:next w:val="1"/>
    <w:qFormat/>
    <w:uiPriority w:val="0"/>
    <w:pPr>
      <w:ind w:firstLine="200" w:firstLineChars="200"/>
      <w:jc w:val="both"/>
      <w:textAlignment w:val="baseline"/>
    </w:pPr>
    <w:rPr>
      <w:rFonts w:ascii="宋体" w:hAnsi="Times New Roman" w:eastAsia="宋体" w:cs="Times New Roman"/>
      <w:sz w:val="21"/>
      <w:lang w:val="en-US" w:eastAsia="zh-CN" w:bidi="ar-SA"/>
    </w:rPr>
  </w:style>
  <w:style w:type="paragraph" w:customStyle="1" w:styleId="38">
    <w:name w:val="179"/>
    <w:basedOn w:val="1"/>
    <w:qFormat/>
    <w:uiPriority w:val="0"/>
    <w:pPr>
      <w:ind w:firstLine="420" w:firstLineChars="200"/>
    </w:pPr>
    <w:rPr>
      <w:rFonts w:ascii="Calibri" w:hAnsi="Calibri"/>
      <w:szCs w:val="24"/>
    </w:rPr>
  </w:style>
  <w:style w:type="paragraph" w:customStyle="1" w:styleId="39">
    <w:name w:val="180"/>
    <w:basedOn w:val="1"/>
    <w:next w:val="1"/>
    <w:qFormat/>
    <w:uiPriority w:val="0"/>
    <w:pPr>
      <w:spacing w:before="100" w:after="100"/>
      <w:jc w:val="center"/>
    </w:pPr>
    <w:rPr>
      <w:rFonts w:ascii="宋体" w:hAnsi="宋体"/>
      <w:szCs w:val="24"/>
    </w:rPr>
  </w:style>
  <w:style w:type="paragraph" w:customStyle="1" w:styleId="40">
    <w:name w:val="UserStyle_14"/>
    <w:basedOn w:val="1"/>
    <w:next w:val="1"/>
    <w:qFormat/>
    <w:uiPriority w:val="0"/>
    <w:rPr>
      <w:rFonts w:ascii="宋体" w:hAnsi="Calibri"/>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2752</Words>
  <Characters>15693</Characters>
  <Lines>130</Lines>
  <Paragraphs>36</Paragraphs>
  <TotalTime>6</TotalTime>
  <ScaleCrop>false</ScaleCrop>
  <LinksUpToDate>false</LinksUpToDate>
  <CharactersWithSpaces>18409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2022-06-23T00:05:00Z</dcterms:created>
  <dc:creator>Administrator</dc:creator>
  <cp:lastModifiedBy>炯炯妈妈</cp:lastModifiedBy>
  <dcterms:modified xsi:type="dcterms:W3CDTF">2022-06-29T09:32:49Z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0EF611E35A9744349319C4DEBA680481</vt:lpwstr>
  </property>
</Properties>
</file>